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65600" w14:textId="77777777" w:rsidR="00820236" w:rsidRDefault="0037478D" w:rsidP="0037478D">
      <w:pPr>
        <w:autoSpaceDE w:val="0"/>
        <w:autoSpaceDN w:val="0"/>
        <w:adjustRightInd w:val="0"/>
        <w:spacing w:line="480" w:lineRule="auto"/>
        <w:rPr>
          <w:b/>
          <w:bCs/>
          <w:color w:val="000000"/>
          <w:u w:color="000000"/>
          <w:lang w:val="en-US"/>
        </w:rPr>
      </w:pPr>
      <w:bookmarkStart w:id="0" w:name="_GoBack"/>
      <w:bookmarkEnd w:id="0"/>
      <w:r w:rsidRPr="00D46214">
        <w:rPr>
          <w:b/>
          <w:bCs/>
          <w:color w:val="000000"/>
          <w:u w:color="000000"/>
          <w:lang w:val="en-US"/>
        </w:rPr>
        <w:t>ELECTRONIC APPENDIX:</w:t>
      </w:r>
    </w:p>
    <w:p w14:paraId="6583BE97" w14:textId="68FB3166" w:rsidR="0037478D" w:rsidRPr="00820236" w:rsidRDefault="00820236" w:rsidP="0037478D">
      <w:pPr>
        <w:autoSpaceDE w:val="0"/>
        <w:autoSpaceDN w:val="0"/>
        <w:adjustRightInd w:val="0"/>
        <w:spacing w:line="480" w:lineRule="auto"/>
        <w:rPr>
          <w:b/>
          <w:bCs/>
          <w:color w:val="000000"/>
          <w:u w:color="000000"/>
          <w:lang w:val="en-US"/>
        </w:rPr>
      </w:pPr>
      <w:r>
        <w:rPr>
          <w:b/>
          <w:bCs/>
          <w:color w:val="000000"/>
          <w:u w:color="000000"/>
          <w:lang w:val="en-US"/>
        </w:rPr>
        <w:t xml:space="preserve">Table 1: </w:t>
      </w:r>
      <w:r w:rsidR="0037478D" w:rsidRPr="00D46214">
        <w:rPr>
          <w:b/>
          <w:bCs/>
          <w:color w:val="000000"/>
          <w:u w:color="000000"/>
          <w:lang w:val="en-US"/>
        </w:rPr>
        <w:t xml:space="preserve">Respondent Demographics. 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60"/>
        <w:gridCol w:w="1940"/>
      </w:tblGrid>
      <w:tr w:rsidR="0037478D" w:rsidRPr="00D46214" w14:paraId="065CF827" w14:textId="77777777" w:rsidTr="00752B24"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3383C5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52D908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N (%) *</w:t>
            </w:r>
          </w:p>
        </w:tc>
      </w:tr>
      <w:tr w:rsidR="0037478D" w:rsidRPr="00D46214" w14:paraId="1AF32409" w14:textId="77777777" w:rsidTr="00752B24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A8A78A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Age (n=383)</w:t>
            </w:r>
          </w:p>
          <w:p w14:paraId="5C303BE3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20-29 years</w:t>
            </w:r>
          </w:p>
          <w:p w14:paraId="41765CBD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30-39 years</w:t>
            </w:r>
          </w:p>
          <w:p w14:paraId="74D0A05D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40-49 years</w:t>
            </w:r>
          </w:p>
          <w:p w14:paraId="02A50A99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50-59 years</w:t>
            </w:r>
          </w:p>
          <w:p w14:paraId="109437F9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60-69 years</w:t>
            </w:r>
          </w:p>
          <w:p w14:paraId="2133FB44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70 years or older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3B25D6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 xml:space="preserve"> </w:t>
            </w:r>
          </w:p>
          <w:p w14:paraId="12275D2F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10 (2.6)</w:t>
            </w:r>
          </w:p>
          <w:p w14:paraId="0B2E90C5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94 (24.5)</w:t>
            </w:r>
          </w:p>
          <w:p w14:paraId="14748DFE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122 (31.9)</w:t>
            </w:r>
          </w:p>
          <w:p w14:paraId="5677F422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96 (25.1)</w:t>
            </w:r>
          </w:p>
          <w:p w14:paraId="52DD924B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55 (14.4)</w:t>
            </w:r>
          </w:p>
          <w:p w14:paraId="19422E33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6 (1.6)</w:t>
            </w:r>
          </w:p>
        </w:tc>
      </w:tr>
      <w:tr w:rsidR="0037478D" w:rsidRPr="00D46214" w14:paraId="2469573E" w14:textId="77777777" w:rsidTr="00752B24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BA2803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Gender (n=383)</w:t>
            </w:r>
          </w:p>
          <w:p w14:paraId="0C9DE484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Male</w:t>
            </w:r>
          </w:p>
          <w:p w14:paraId="2054654F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Female</w:t>
            </w:r>
          </w:p>
          <w:p w14:paraId="60BF5ADE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Prefer not to disclose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0DE851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</w:p>
          <w:p w14:paraId="389633F5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213 (55.6)</w:t>
            </w:r>
          </w:p>
          <w:p w14:paraId="7554113F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169 (44.1)</w:t>
            </w:r>
          </w:p>
          <w:p w14:paraId="35269686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1 (0.3)</w:t>
            </w:r>
          </w:p>
        </w:tc>
      </w:tr>
      <w:tr w:rsidR="0037478D" w:rsidRPr="00D46214" w14:paraId="5B0B2460" w14:textId="77777777" w:rsidTr="00752B24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44A0B7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Marital Status (n=384)</w:t>
            </w:r>
          </w:p>
          <w:p w14:paraId="7BD67959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Single</w:t>
            </w:r>
          </w:p>
          <w:p w14:paraId="6DFA48AF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Married/Common-Law/Domestic Partnership</w:t>
            </w:r>
          </w:p>
          <w:p w14:paraId="35C35D6E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Widowed</w:t>
            </w:r>
          </w:p>
          <w:p w14:paraId="22E4288B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Divorced</w:t>
            </w:r>
          </w:p>
          <w:p w14:paraId="25F41F56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Separated</w:t>
            </w:r>
          </w:p>
          <w:p w14:paraId="2162DA9F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Prefer not to disclose</w:t>
            </w: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69B7F6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</w:p>
          <w:p w14:paraId="3AC34D08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35 (9.1)</w:t>
            </w:r>
          </w:p>
          <w:p w14:paraId="716EFEA0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327 (85.2)</w:t>
            </w:r>
          </w:p>
          <w:p w14:paraId="4A2B2E58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5 (1.3)</w:t>
            </w:r>
          </w:p>
          <w:p w14:paraId="759DC74C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12 (3.1)</w:t>
            </w:r>
          </w:p>
          <w:p w14:paraId="40F3ACF0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3 (0.8)</w:t>
            </w:r>
          </w:p>
          <w:p w14:paraId="5F3E569E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2 (0.5)</w:t>
            </w:r>
          </w:p>
          <w:p w14:paraId="758DC6A8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</w:p>
        </w:tc>
      </w:tr>
      <w:tr w:rsidR="0037478D" w:rsidRPr="00D46214" w14:paraId="4F11C476" w14:textId="77777777" w:rsidTr="00752B24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7F4EC4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ED Setting (n=382)</w:t>
            </w:r>
          </w:p>
          <w:p w14:paraId="0FFD9185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</w:p>
          <w:p w14:paraId="0DC44667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Academic Emergency Department</w:t>
            </w:r>
          </w:p>
          <w:p w14:paraId="3DCDA1E7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Non-Academic Tertiary Care Emergency Department</w:t>
            </w:r>
          </w:p>
          <w:p w14:paraId="14C8F582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Community Emergency Department (&gt;30 000 patients/year)</w:t>
            </w:r>
          </w:p>
          <w:p w14:paraId="7C7F46DA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Community Emergency Department (&lt; 30 000 patients/year)</w:t>
            </w:r>
          </w:p>
          <w:p w14:paraId="39CE161A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32B57E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</w:p>
          <w:p w14:paraId="5E6978A4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</w:p>
          <w:p w14:paraId="0F460B91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183 (47.9)</w:t>
            </w:r>
          </w:p>
          <w:p w14:paraId="0D3660F1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31 (8.1)</w:t>
            </w:r>
          </w:p>
          <w:p w14:paraId="7A31B7EB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112 (29.3)</w:t>
            </w:r>
          </w:p>
          <w:p w14:paraId="60699F51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56 (14.7)</w:t>
            </w:r>
          </w:p>
        </w:tc>
      </w:tr>
      <w:tr w:rsidR="0037478D" w:rsidRPr="00D46214" w14:paraId="186D6B4D" w14:textId="77777777" w:rsidTr="00752B24">
        <w:tblPrEx>
          <w:tblBorders>
            <w:top w:val="none" w:sz="0" w:space="0" w:color="auto"/>
          </w:tblBorders>
        </w:tblPrEx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AABB21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What type of training do you have in emergency medicine?</w:t>
            </w:r>
          </w:p>
          <w:p w14:paraId="6BD9E024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 xml:space="preserve">CCFP </w:t>
            </w:r>
          </w:p>
          <w:p w14:paraId="2078A85C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 xml:space="preserve">CCFP-EM </w:t>
            </w:r>
          </w:p>
          <w:p w14:paraId="4FDF9ED2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 xml:space="preserve">ABEM </w:t>
            </w:r>
          </w:p>
          <w:p w14:paraId="50DCD07B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 xml:space="preserve">FRCPC </w:t>
            </w:r>
          </w:p>
          <w:p w14:paraId="4236D1A1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Other</w:t>
            </w:r>
          </w:p>
          <w:p w14:paraId="4C14EA40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6B6E24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 xml:space="preserve"> </w:t>
            </w:r>
          </w:p>
          <w:p w14:paraId="096D5391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45 (11.8)</w:t>
            </w:r>
          </w:p>
          <w:p w14:paraId="422B9826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205 (53.7)</w:t>
            </w:r>
          </w:p>
          <w:p w14:paraId="1D78C5AB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5 (1.3)</w:t>
            </w:r>
          </w:p>
          <w:p w14:paraId="3D43FF1F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112 (29.3)</w:t>
            </w:r>
          </w:p>
          <w:p w14:paraId="749F2578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15 (3.9)</w:t>
            </w:r>
          </w:p>
        </w:tc>
      </w:tr>
      <w:tr w:rsidR="0037478D" w:rsidRPr="00D46214" w14:paraId="73DB1B1A" w14:textId="77777777" w:rsidTr="00752B24"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BA2272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How many years have you practiced medicine (not including residency)?</w:t>
            </w:r>
          </w:p>
          <w:p w14:paraId="57C82F1A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C3E16C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Median: 17.5</w:t>
            </w:r>
          </w:p>
          <w:p w14:paraId="36ABB212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color w:val="000000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IQR: 7.25-26.0</w:t>
            </w:r>
          </w:p>
        </w:tc>
      </w:tr>
    </w:tbl>
    <w:p w14:paraId="37ABA7FC" w14:textId="77777777" w:rsidR="0037478D" w:rsidRPr="00D46214" w:rsidRDefault="0037478D" w:rsidP="0037478D">
      <w:pPr>
        <w:autoSpaceDE w:val="0"/>
        <w:autoSpaceDN w:val="0"/>
        <w:adjustRightInd w:val="0"/>
        <w:spacing w:line="480" w:lineRule="auto"/>
        <w:rPr>
          <w:color w:val="000000"/>
          <w:u w:color="000000"/>
          <w:lang w:val="en-US"/>
        </w:rPr>
      </w:pPr>
      <w:r w:rsidRPr="00D46214">
        <w:rPr>
          <w:color w:val="000000"/>
          <w:u w:color="000000"/>
          <w:lang w:val="en-US"/>
        </w:rPr>
        <w:t xml:space="preserve"> *Unless otherwise specified</w:t>
      </w:r>
    </w:p>
    <w:p w14:paraId="4F584BFB" w14:textId="1E503BC4" w:rsidR="0037478D" w:rsidRPr="00820236" w:rsidRDefault="0037478D" w:rsidP="0037478D">
      <w:pPr>
        <w:autoSpaceDE w:val="0"/>
        <w:autoSpaceDN w:val="0"/>
        <w:adjustRightInd w:val="0"/>
        <w:spacing w:line="480" w:lineRule="auto"/>
        <w:rPr>
          <w:b/>
          <w:bCs/>
          <w:color w:val="000000"/>
          <w:u w:color="000000"/>
          <w:lang w:val="en-US"/>
        </w:rPr>
      </w:pPr>
      <w:r w:rsidRPr="00D46214">
        <w:rPr>
          <w:rFonts w:cs="Trebuchet MS"/>
          <w:color w:val="000000"/>
          <w:u w:color="000000"/>
          <w:lang w:val="en-US"/>
        </w:rPr>
        <w:br w:type="page"/>
      </w:r>
      <w:r w:rsidR="00820236" w:rsidRPr="00820236">
        <w:rPr>
          <w:rFonts w:cs="Trebuchet MS"/>
          <w:b/>
          <w:bCs/>
          <w:color w:val="000000"/>
          <w:u w:color="000000"/>
          <w:lang w:val="en-US"/>
        </w:rPr>
        <w:lastRenderedPageBreak/>
        <w:t xml:space="preserve">Table 2: </w:t>
      </w:r>
      <w:r w:rsidRPr="00820236">
        <w:rPr>
          <w:rFonts w:cs="Trebuchet MS"/>
          <w:b/>
          <w:bCs/>
          <w:color w:val="000000"/>
          <w:u w:color="000000"/>
          <w:lang w:val="en-US"/>
        </w:rPr>
        <w:t>Maslach Burnout Inventory and PHQ scores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40"/>
        <w:gridCol w:w="1960"/>
      </w:tblGrid>
      <w:tr w:rsidR="0037478D" w:rsidRPr="00D46214" w14:paraId="475C0744" w14:textId="77777777" w:rsidTr="00752B24"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67C96F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Maslach Burnout Inventory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A7545B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N (%)</w:t>
            </w:r>
          </w:p>
        </w:tc>
      </w:tr>
      <w:tr w:rsidR="0037478D" w:rsidRPr="00D46214" w14:paraId="4DF7A4BC" w14:textId="77777777" w:rsidTr="00752B24">
        <w:tblPrEx>
          <w:tblBorders>
            <w:top w:val="none" w:sz="0" w:space="0" w:color="auto"/>
          </w:tblBorders>
        </w:tblPrEx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8F9E3C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Emotional Exhaustion (n=382)</w:t>
            </w:r>
          </w:p>
          <w:p w14:paraId="10B6382B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959154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Median: 34.0</w:t>
            </w:r>
          </w:p>
          <w:p w14:paraId="39F516D6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IQR: 23.00-43.25</w:t>
            </w:r>
          </w:p>
          <w:p w14:paraId="0A79E8FC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Mean: 34.07</w:t>
            </w:r>
          </w:p>
          <w:p w14:paraId="01EBCBD7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SD: 12.37</w:t>
            </w:r>
          </w:p>
        </w:tc>
      </w:tr>
      <w:tr w:rsidR="0037478D" w:rsidRPr="00D46214" w14:paraId="39D36CFF" w14:textId="77777777" w:rsidTr="00752B24">
        <w:tblPrEx>
          <w:tblBorders>
            <w:top w:val="none" w:sz="0" w:space="0" w:color="auto"/>
          </w:tblBorders>
        </w:tblPrEx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77B1E4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Depersonalization (n=382)</w:t>
            </w:r>
          </w:p>
          <w:p w14:paraId="7AF05064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4900FD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Median: 16.00</w:t>
            </w:r>
          </w:p>
          <w:p w14:paraId="3BB7E312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IQR: 11.00-21.25</w:t>
            </w:r>
          </w:p>
          <w:p w14:paraId="188EF871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Mean: 16.35</w:t>
            </w:r>
          </w:p>
          <w:p w14:paraId="3FDDC4CB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SD: 6.86</w:t>
            </w:r>
          </w:p>
        </w:tc>
      </w:tr>
      <w:tr w:rsidR="0037478D" w:rsidRPr="00D46214" w14:paraId="7025CCFF" w14:textId="77777777" w:rsidTr="00752B24">
        <w:tblPrEx>
          <w:tblBorders>
            <w:top w:val="none" w:sz="0" w:space="0" w:color="auto"/>
          </w:tblBorders>
        </w:tblPrEx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0956E3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Personal Accomplishment (N=381)</w:t>
            </w:r>
          </w:p>
          <w:p w14:paraId="24574405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D9298A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 xml:space="preserve">Median: 47.0 </w:t>
            </w:r>
          </w:p>
          <w:p w14:paraId="201B760A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IQR: 41.00-51.00</w:t>
            </w:r>
          </w:p>
          <w:p w14:paraId="588C2E7B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Mean: 45.63</w:t>
            </w:r>
          </w:p>
          <w:p w14:paraId="14DFFE27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SD: 7.16</w:t>
            </w:r>
          </w:p>
        </w:tc>
      </w:tr>
      <w:tr w:rsidR="0037478D" w:rsidRPr="00D46214" w14:paraId="4D36CF53" w14:textId="77777777" w:rsidTr="00752B24">
        <w:tblPrEx>
          <w:tblBorders>
            <w:top w:val="none" w:sz="0" w:space="0" w:color="auto"/>
          </w:tblBorders>
        </w:tblPrEx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3640A1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PHQ-9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5A5334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N (%)</w:t>
            </w:r>
          </w:p>
        </w:tc>
      </w:tr>
      <w:tr w:rsidR="0037478D" w:rsidRPr="00D46214" w14:paraId="1C2185A2" w14:textId="77777777" w:rsidTr="00752B24"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BC9066" w14:textId="77777777" w:rsidR="0037478D" w:rsidRPr="00D46214" w:rsidRDefault="0037478D" w:rsidP="00752B24">
            <w:pPr>
              <w:tabs>
                <w:tab w:val="left" w:pos="2173"/>
              </w:tabs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PHQ-9 “Diagnosis” (n=374)</w:t>
            </w:r>
          </w:p>
          <w:p w14:paraId="3EFC6C73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Minimal Depression</w:t>
            </w:r>
          </w:p>
          <w:p w14:paraId="74D957FB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Mild Depression</w:t>
            </w:r>
          </w:p>
          <w:p w14:paraId="51114114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Moderate Depression</w:t>
            </w:r>
          </w:p>
          <w:p w14:paraId="1DFA70B6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Moderately Severe Depression</w:t>
            </w:r>
          </w:p>
          <w:p w14:paraId="2BC2C4CB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Severe Depression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046EF1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</w:p>
          <w:p w14:paraId="47211387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217 (58.0)</w:t>
            </w:r>
          </w:p>
          <w:p w14:paraId="5AF7052C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91 (24.3)</w:t>
            </w:r>
          </w:p>
          <w:p w14:paraId="518E4EBC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43 (11.5)</w:t>
            </w:r>
          </w:p>
          <w:p w14:paraId="5B6F75C3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15 (4.0)</w:t>
            </w:r>
          </w:p>
          <w:p w14:paraId="5E059028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8 (2.1)</w:t>
            </w:r>
          </w:p>
          <w:p w14:paraId="167831F7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u w:color="000000"/>
                <w:lang w:val="en-US"/>
              </w:rPr>
            </w:pPr>
          </w:p>
        </w:tc>
      </w:tr>
    </w:tbl>
    <w:p w14:paraId="4D105478" w14:textId="77777777" w:rsidR="0037478D" w:rsidRPr="00D46214" w:rsidRDefault="0037478D" w:rsidP="0037478D">
      <w:pPr>
        <w:autoSpaceDE w:val="0"/>
        <w:autoSpaceDN w:val="0"/>
        <w:adjustRightInd w:val="0"/>
        <w:rPr>
          <w:rFonts w:cs="Trebuchet MS"/>
          <w:color w:val="000000"/>
          <w:u w:color="000000"/>
          <w:lang w:val="en-US"/>
        </w:rPr>
      </w:pPr>
    </w:p>
    <w:p w14:paraId="0685576A" w14:textId="77777777" w:rsidR="0037478D" w:rsidRPr="00D46214" w:rsidRDefault="0037478D" w:rsidP="0037478D">
      <w:pPr>
        <w:autoSpaceDE w:val="0"/>
        <w:autoSpaceDN w:val="0"/>
        <w:adjustRightInd w:val="0"/>
        <w:rPr>
          <w:rFonts w:cs="Trebuchet MS"/>
          <w:color w:val="000000"/>
          <w:u w:color="000000"/>
          <w:lang w:val="en-US"/>
        </w:rPr>
      </w:pPr>
    </w:p>
    <w:p w14:paraId="44772C7D" w14:textId="77777777" w:rsidR="0037478D" w:rsidRPr="00D46214" w:rsidRDefault="0037478D" w:rsidP="0037478D">
      <w:pPr>
        <w:autoSpaceDE w:val="0"/>
        <w:autoSpaceDN w:val="0"/>
        <w:adjustRightInd w:val="0"/>
        <w:rPr>
          <w:rFonts w:cs="Trebuchet MS"/>
          <w:color w:val="000000"/>
          <w:u w:color="000000"/>
          <w:lang w:val="en-US"/>
        </w:rPr>
      </w:pPr>
    </w:p>
    <w:p w14:paraId="2AF28CFB" w14:textId="77777777" w:rsidR="0037478D" w:rsidRPr="00D46214" w:rsidRDefault="0037478D" w:rsidP="0037478D">
      <w:pPr>
        <w:autoSpaceDE w:val="0"/>
        <w:autoSpaceDN w:val="0"/>
        <w:adjustRightInd w:val="0"/>
        <w:rPr>
          <w:rFonts w:cs="Trebuchet MS"/>
          <w:color w:val="000000"/>
          <w:u w:color="000000"/>
          <w:lang w:val="en-US"/>
        </w:rPr>
      </w:pPr>
    </w:p>
    <w:p w14:paraId="36173D4B" w14:textId="7A214F12" w:rsidR="0037478D" w:rsidRPr="00820236" w:rsidRDefault="0037478D" w:rsidP="0037478D">
      <w:pPr>
        <w:autoSpaceDE w:val="0"/>
        <w:autoSpaceDN w:val="0"/>
        <w:adjustRightInd w:val="0"/>
        <w:rPr>
          <w:rFonts w:cs="Trebuchet MS"/>
          <w:b/>
          <w:bCs/>
          <w:color w:val="000000"/>
          <w:u w:color="000000"/>
          <w:lang w:val="en-US"/>
        </w:rPr>
      </w:pPr>
      <w:r w:rsidRPr="00D46214">
        <w:rPr>
          <w:rFonts w:cs="Trebuchet MS"/>
          <w:color w:val="000000"/>
          <w:u w:color="000000"/>
          <w:lang w:val="en-US"/>
        </w:rPr>
        <w:br w:type="page"/>
      </w:r>
      <w:r w:rsidR="00820236" w:rsidRPr="00820236">
        <w:rPr>
          <w:rFonts w:cs="Trebuchet MS"/>
          <w:b/>
          <w:bCs/>
          <w:color w:val="000000"/>
          <w:u w:color="000000"/>
          <w:lang w:val="en-US"/>
        </w:rPr>
        <w:lastRenderedPageBreak/>
        <w:t>Table 3:</w:t>
      </w:r>
      <w:r w:rsidR="00820236">
        <w:rPr>
          <w:rFonts w:cs="Trebuchet MS"/>
          <w:color w:val="000000"/>
          <w:u w:color="000000"/>
          <w:lang w:val="en-US"/>
        </w:rPr>
        <w:t xml:space="preserve"> </w:t>
      </w:r>
      <w:r w:rsidRPr="00820236">
        <w:rPr>
          <w:rFonts w:cs="Trebuchet MS"/>
          <w:b/>
          <w:bCs/>
          <w:color w:val="000000"/>
          <w:u w:color="000000"/>
          <w:lang w:val="en-US"/>
        </w:rPr>
        <w:t>PHQ9 category by demographics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620"/>
        <w:gridCol w:w="1080"/>
        <w:gridCol w:w="1340"/>
        <w:gridCol w:w="1540"/>
        <w:gridCol w:w="2160"/>
      </w:tblGrid>
      <w:tr w:rsidR="0037478D" w:rsidRPr="00D46214" w14:paraId="16FDAFEB" w14:textId="77777777" w:rsidTr="00752B24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97445B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</w:p>
        </w:tc>
        <w:tc>
          <w:tcPr>
            <w:tcW w:w="7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26364B" w14:textId="77777777" w:rsidR="0037478D" w:rsidRPr="00D46214" w:rsidRDefault="0037478D" w:rsidP="00752B24">
            <w:pPr>
              <w:autoSpaceDE w:val="0"/>
              <w:autoSpaceDN w:val="0"/>
              <w:adjustRightInd w:val="0"/>
              <w:jc w:val="center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PHQ Depression Category</w:t>
            </w:r>
          </w:p>
        </w:tc>
      </w:tr>
      <w:tr w:rsidR="0037478D" w:rsidRPr="00D46214" w14:paraId="1BD932F4" w14:textId="77777777" w:rsidTr="00752B24">
        <w:tblPrEx>
          <w:tblBorders>
            <w:top w:val="none" w:sz="0" w:space="0" w:color="auto"/>
          </w:tblBorders>
        </w:tblPrEx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528797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286EB2" w14:textId="77777777" w:rsidR="0037478D" w:rsidRPr="00D46214" w:rsidRDefault="0037478D" w:rsidP="00752B24">
            <w:pPr>
              <w:autoSpaceDE w:val="0"/>
              <w:autoSpaceDN w:val="0"/>
              <w:adjustRightInd w:val="0"/>
              <w:jc w:val="center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Minimal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2B5709" w14:textId="77777777" w:rsidR="0037478D" w:rsidRPr="00D46214" w:rsidRDefault="0037478D" w:rsidP="00752B24">
            <w:pPr>
              <w:autoSpaceDE w:val="0"/>
              <w:autoSpaceDN w:val="0"/>
              <w:adjustRightInd w:val="0"/>
              <w:jc w:val="center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Mild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B6F333" w14:textId="77777777" w:rsidR="0037478D" w:rsidRPr="00D46214" w:rsidRDefault="0037478D" w:rsidP="00752B24">
            <w:pPr>
              <w:autoSpaceDE w:val="0"/>
              <w:autoSpaceDN w:val="0"/>
              <w:adjustRightInd w:val="0"/>
              <w:jc w:val="center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Moderate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9CD0D5" w14:textId="77777777" w:rsidR="0037478D" w:rsidRPr="00D46214" w:rsidRDefault="0037478D" w:rsidP="00752B24">
            <w:pPr>
              <w:autoSpaceDE w:val="0"/>
              <w:autoSpaceDN w:val="0"/>
              <w:adjustRightInd w:val="0"/>
              <w:jc w:val="center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Moderately Severe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04450A" w14:textId="77777777" w:rsidR="0037478D" w:rsidRPr="00D46214" w:rsidRDefault="0037478D" w:rsidP="00752B24">
            <w:pPr>
              <w:autoSpaceDE w:val="0"/>
              <w:autoSpaceDN w:val="0"/>
              <w:adjustRightInd w:val="0"/>
              <w:jc w:val="center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Severe</w:t>
            </w:r>
          </w:p>
        </w:tc>
      </w:tr>
      <w:tr w:rsidR="0037478D" w:rsidRPr="00D46214" w14:paraId="5F6B1A68" w14:textId="77777777" w:rsidTr="00752B24">
        <w:tblPrEx>
          <w:tblBorders>
            <w:top w:val="none" w:sz="0" w:space="0" w:color="auto"/>
          </w:tblBorders>
        </w:tblPrEx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847575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Age (n=383)</w:t>
            </w:r>
          </w:p>
          <w:p w14:paraId="529B0566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20-29 years</w:t>
            </w:r>
          </w:p>
          <w:p w14:paraId="202AEDE7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30-39 years</w:t>
            </w:r>
          </w:p>
          <w:p w14:paraId="29F57436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40-49 years</w:t>
            </w:r>
          </w:p>
          <w:p w14:paraId="4878056C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50-59 years</w:t>
            </w:r>
          </w:p>
          <w:p w14:paraId="3F74D6DA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60-69 years</w:t>
            </w:r>
          </w:p>
          <w:p w14:paraId="00634224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70 years or older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ED037D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</w:p>
          <w:p w14:paraId="71ABDD40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6 (2.8%)</w:t>
            </w:r>
          </w:p>
          <w:p w14:paraId="6953DECD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43 (19.8%)</w:t>
            </w:r>
          </w:p>
          <w:p w14:paraId="519756BB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62 (28.6%)</w:t>
            </w:r>
          </w:p>
          <w:p w14:paraId="35E7323B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63 (29.0%)</w:t>
            </w:r>
          </w:p>
          <w:p w14:paraId="017EC34D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39 (18.0%)</w:t>
            </w:r>
          </w:p>
          <w:p w14:paraId="7717077C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4 (1.8%)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8707D3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</w:p>
          <w:p w14:paraId="5C43FEB2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1 (1.1%)</w:t>
            </w:r>
          </w:p>
          <w:p w14:paraId="378ED2B9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27 (30.0%)</w:t>
            </w:r>
          </w:p>
          <w:p w14:paraId="7D36D7CC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34 (37.8%)</w:t>
            </w:r>
          </w:p>
          <w:p w14:paraId="3C01B016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19 (21.1%)</w:t>
            </w:r>
          </w:p>
          <w:p w14:paraId="27CD02F3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8 (8.89%)</w:t>
            </w:r>
          </w:p>
          <w:p w14:paraId="7EF6FEA3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1 (1.84%)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93B5AA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</w:p>
          <w:p w14:paraId="11AD1DBE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1 (2.3%)</w:t>
            </w:r>
          </w:p>
          <w:p w14:paraId="395AB37A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12 (27.9%)</w:t>
            </w:r>
          </w:p>
          <w:p w14:paraId="67A424A9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21 (48.8%)</w:t>
            </w:r>
          </w:p>
          <w:p w14:paraId="1F1F6354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7 (16.3%)</w:t>
            </w:r>
          </w:p>
          <w:p w14:paraId="123251A1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1 (2.3%)</w:t>
            </w:r>
          </w:p>
          <w:p w14:paraId="2F72453C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1 (2.3%)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D6EE08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</w:p>
          <w:p w14:paraId="49767D93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1 (6.7%)</w:t>
            </w:r>
          </w:p>
          <w:p w14:paraId="61BC53FB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5 (33.3%)</w:t>
            </w:r>
          </w:p>
          <w:p w14:paraId="10EEAD63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2 (13.3%)</w:t>
            </w:r>
          </w:p>
          <w:p w14:paraId="2F7E6357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4 (26.7%)</w:t>
            </w:r>
          </w:p>
          <w:p w14:paraId="1EB5D92C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3 (20.0%)</w:t>
            </w:r>
          </w:p>
          <w:p w14:paraId="41593B49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0 (0.0%)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44323E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</w:p>
          <w:p w14:paraId="2E483C62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0 (0.0%)</w:t>
            </w:r>
          </w:p>
          <w:p w14:paraId="2441367F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2 (25.0%)</w:t>
            </w:r>
          </w:p>
          <w:p w14:paraId="74D47722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2 (25.0%)</w:t>
            </w:r>
          </w:p>
          <w:p w14:paraId="15EB3AC1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1 (12.5%)</w:t>
            </w:r>
          </w:p>
          <w:p w14:paraId="7C39CB10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3 (37.5%)</w:t>
            </w:r>
          </w:p>
          <w:p w14:paraId="5030138E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0 (0.0%)</w:t>
            </w:r>
          </w:p>
        </w:tc>
      </w:tr>
      <w:tr w:rsidR="0037478D" w:rsidRPr="00D46214" w14:paraId="24DC9468" w14:textId="77777777" w:rsidTr="00752B24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E0F03C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Gender</w:t>
            </w:r>
          </w:p>
          <w:p w14:paraId="126CE938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Male</w:t>
            </w:r>
          </w:p>
          <w:p w14:paraId="773BBE64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Female</w:t>
            </w:r>
          </w:p>
          <w:p w14:paraId="4A03F33F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i/>
                <w:iCs/>
                <w:color w:val="000000"/>
                <w:sz w:val="22"/>
                <w:szCs w:val="22"/>
                <w:u w:color="000000"/>
                <w:lang w:val="en-US"/>
              </w:rPr>
              <w:t>Prefer not to disclose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97878A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</w:p>
          <w:p w14:paraId="14376FD5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132 (60.8%)</w:t>
            </w:r>
          </w:p>
          <w:p w14:paraId="2DCA08C9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85 (39.2%)</w:t>
            </w:r>
          </w:p>
          <w:p w14:paraId="3ABFC8A8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0 (0.0%)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81B35D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</w:p>
          <w:p w14:paraId="0CCAEAED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36 (40.0%)</w:t>
            </w:r>
          </w:p>
          <w:p w14:paraId="5FA34E67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53 (58.9%)</w:t>
            </w:r>
          </w:p>
          <w:p w14:paraId="1703AA20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1 (1.1%)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A245E6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</w:p>
          <w:p w14:paraId="26604BD8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24 (55.8%)</w:t>
            </w:r>
          </w:p>
          <w:p w14:paraId="574A554B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19 (44.2%)</w:t>
            </w:r>
          </w:p>
          <w:p w14:paraId="59B6F516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0 (0.0%)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E53AD6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</w:p>
          <w:p w14:paraId="270F0886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12 (80.0%)</w:t>
            </w:r>
          </w:p>
          <w:p w14:paraId="06C6BBEC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3 (20.0%)</w:t>
            </w:r>
          </w:p>
          <w:p w14:paraId="11240BE7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1 (0.0%)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E9551E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</w:p>
          <w:p w14:paraId="48731C37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4 (50.0%)</w:t>
            </w:r>
          </w:p>
          <w:p w14:paraId="030E4C4A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4 (50.0%)</w:t>
            </w:r>
          </w:p>
          <w:p w14:paraId="56917259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0 (0.0%)</w:t>
            </w:r>
          </w:p>
        </w:tc>
      </w:tr>
    </w:tbl>
    <w:p w14:paraId="3D361C9E" w14:textId="77777777" w:rsidR="0037478D" w:rsidRPr="00D46214" w:rsidRDefault="0037478D" w:rsidP="0037478D">
      <w:pPr>
        <w:autoSpaceDE w:val="0"/>
        <w:autoSpaceDN w:val="0"/>
        <w:adjustRightInd w:val="0"/>
        <w:spacing w:line="480" w:lineRule="auto"/>
        <w:rPr>
          <w:color w:val="000000"/>
          <w:u w:color="000000"/>
          <w:lang w:val="en-US"/>
        </w:rPr>
      </w:pPr>
    </w:p>
    <w:p w14:paraId="5FF4B423" w14:textId="77777777" w:rsidR="0037478D" w:rsidRPr="00D46214" w:rsidRDefault="0037478D" w:rsidP="0037478D">
      <w:pPr>
        <w:autoSpaceDE w:val="0"/>
        <w:autoSpaceDN w:val="0"/>
        <w:adjustRightInd w:val="0"/>
        <w:rPr>
          <w:rFonts w:cs="Trebuchet MS"/>
          <w:color w:val="000000"/>
          <w:u w:color="000000"/>
          <w:lang w:val="en-US"/>
        </w:rPr>
      </w:pPr>
    </w:p>
    <w:p w14:paraId="49AF7B48" w14:textId="77777777" w:rsidR="0037478D" w:rsidRPr="00D46214" w:rsidRDefault="0037478D" w:rsidP="0037478D">
      <w:pPr>
        <w:autoSpaceDE w:val="0"/>
        <w:autoSpaceDN w:val="0"/>
        <w:adjustRightInd w:val="0"/>
        <w:rPr>
          <w:rFonts w:cs="Trebuchet MS"/>
          <w:color w:val="000000"/>
          <w:u w:color="000000"/>
          <w:lang w:val="en-US"/>
        </w:rPr>
      </w:pPr>
    </w:p>
    <w:p w14:paraId="6C194774" w14:textId="3083694B" w:rsidR="0037478D" w:rsidRPr="00820236" w:rsidRDefault="0037478D" w:rsidP="0037478D">
      <w:pPr>
        <w:autoSpaceDE w:val="0"/>
        <w:autoSpaceDN w:val="0"/>
        <w:adjustRightInd w:val="0"/>
        <w:rPr>
          <w:rFonts w:cs="Trebuchet MS"/>
          <w:b/>
          <w:bCs/>
          <w:color w:val="000000"/>
          <w:u w:color="000000"/>
          <w:lang w:val="en-US"/>
        </w:rPr>
      </w:pPr>
      <w:r w:rsidRPr="00D46214">
        <w:rPr>
          <w:rFonts w:cs="Trebuchet MS"/>
          <w:color w:val="000000"/>
          <w:u w:color="000000"/>
          <w:lang w:val="en-US"/>
        </w:rPr>
        <w:br w:type="page"/>
      </w:r>
      <w:r w:rsidR="00820236" w:rsidRPr="00820236">
        <w:rPr>
          <w:rFonts w:cs="Trebuchet MS"/>
          <w:b/>
          <w:bCs/>
          <w:color w:val="000000"/>
          <w:u w:color="000000"/>
          <w:lang w:val="en-US"/>
        </w:rPr>
        <w:lastRenderedPageBreak/>
        <w:t xml:space="preserve">Table 4: </w:t>
      </w:r>
      <w:r w:rsidRPr="00820236">
        <w:rPr>
          <w:rFonts w:cs="Trebuchet MS"/>
          <w:b/>
          <w:bCs/>
          <w:color w:val="000000"/>
          <w:u w:color="000000"/>
          <w:lang w:val="en-US"/>
        </w:rPr>
        <w:t>Maslach Thresholds for Low, Moderate and Severe</w:t>
      </w:r>
    </w:p>
    <w:p w14:paraId="20D7263A" w14:textId="77777777" w:rsidR="0037478D" w:rsidRPr="00D46214" w:rsidRDefault="0037478D" w:rsidP="0037478D">
      <w:pPr>
        <w:autoSpaceDE w:val="0"/>
        <w:autoSpaceDN w:val="0"/>
        <w:adjustRightInd w:val="0"/>
        <w:rPr>
          <w:rFonts w:cs="Trebuchet MS"/>
          <w:color w:val="000000"/>
          <w:u w:color="000000"/>
          <w:lang w:val="en-US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4320"/>
      </w:tblGrid>
      <w:tr w:rsidR="0037478D" w:rsidRPr="00D46214" w14:paraId="24948F3B" w14:textId="77777777" w:rsidTr="00752B24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E246EC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C7D35B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Burnout Severity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041B34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N (%)</w:t>
            </w:r>
          </w:p>
        </w:tc>
      </w:tr>
      <w:tr w:rsidR="0037478D" w:rsidRPr="00D46214" w14:paraId="2E7C57CA" w14:textId="77777777" w:rsidTr="00752B24">
        <w:tblPrEx>
          <w:tblBorders>
            <w:top w:val="none" w:sz="0" w:space="0" w:color="auto"/>
          </w:tblBorders>
        </w:tblPrEx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478F24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EE</w:t>
            </w:r>
          </w:p>
          <w:p w14:paraId="3E4B4792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N=382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0590AA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Low ≤18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8BC7CA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38 (9.9%)</w:t>
            </w:r>
          </w:p>
        </w:tc>
      </w:tr>
      <w:tr w:rsidR="0037478D" w:rsidRPr="00D46214" w14:paraId="7FB7E154" w14:textId="77777777" w:rsidTr="00752B24">
        <w:tblPrEx>
          <w:tblBorders>
            <w:top w:val="none" w:sz="0" w:space="0" w:color="auto"/>
          </w:tblBorders>
        </w:tblPrEx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40BE31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CD4787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Moderate (19-26)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3DC4E7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82 (21.5%)</w:t>
            </w:r>
          </w:p>
        </w:tc>
      </w:tr>
      <w:tr w:rsidR="0037478D" w:rsidRPr="00D46214" w14:paraId="428F4CA7" w14:textId="77777777" w:rsidTr="00752B24">
        <w:tblPrEx>
          <w:tblBorders>
            <w:top w:val="none" w:sz="0" w:space="0" w:color="auto"/>
          </w:tblBorders>
        </w:tblPrEx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4C46D4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4621D6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High (≥27) *</w:t>
            </w:r>
          </w:p>
          <w:p w14:paraId="0E8CDB06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BB2535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262 (68.6%)</w:t>
            </w:r>
          </w:p>
        </w:tc>
      </w:tr>
      <w:tr w:rsidR="0037478D" w:rsidRPr="00D46214" w14:paraId="1CAFF98D" w14:textId="77777777" w:rsidTr="00752B24">
        <w:tblPrEx>
          <w:tblBorders>
            <w:top w:val="none" w:sz="0" w:space="0" w:color="auto"/>
          </w:tblBorders>
        </w:tblPrEx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7C79D0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DP</w:t>
            </w:r>
          </w:p>
          <w:p w14:paraId="5859DD8E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N=382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9564E2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Low ≤5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4BF2D8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9 (2.4%)</w:t>
            </w:r>
          </w:p>
        </w:tc>
      </w:tr>
      <w:tr w:rsidR="0037478D" w:rsidRPr="00D46214" w14:paraId="2D847176" w14:textId="77777777" w:rsidTr="00752B24">
        <w:tblPrEx>
          <w:tblBorders>
            <w:top w:val="none" w:sz="0" w:space="0" w:color="auto"/>
          </w:tblBorders>
        </w:tblPrEx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0548BA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C3CB62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Moderate (6-9)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5E30D6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63 (16.5%)</w:t>
            </w:r>
          </w:p>
        </w:tc>
      </w:tr>
      <w:tr w:rsidR="0037478D" w:rsidRPr="00D46214" w14:paraId="63B151FE" w14:textId="77777777" w:rsidTr="00752B24">
        <w:tblPrEx>
          <w:tblBorders>
            <w:top w:val="none" w:sz="0" w:space="0" w:color="auto"/>
          </w:tblBorders>
        </w:tblPrEx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018F1D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DC1DCE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High (≥10) *</w:t>
            </w:r>
          </w:p>
          <w:p w14:paraId="4A70529C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1DFE4B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310 (81.1%)</w:t>
            </w:r>
          </w:p>
        </w:tc>
      </w:tr>
      <w:tr w:rsidR="0037478D" w:rsidRPr="00D46214" w14:paraId="68C09C37" w14:textId="77777777" w:rsidTr="00752B24">
        <w:tblPrEx>
          <w:tblBorders>
            <w:top w:val="none" w:sz="0" w:space="0" w:color="auto"/>
          </w:tblBorders>
        </w:tblPrEx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A379CE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PA</w:t>
            </w:r>
          </w:p>
          <w:p w14:paraId="2E84A955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N=381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60DF06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High (≥40)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58A50C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308 (80.8%)</w:t>
            </w:r>
          </w:p>
        </w:tc>
      </w:tr>
      <w:tr w:rsidR="0037478D" w:rsidRPr="00D46214" w14:paraId="265DA222" w14:textId="77777777" w:rsidTr="00752B24">
        <w:tblPrEx>
          <w:tblBorders>
            <w:top w:val="none" w:sz="0" w:space="0" w:color="auto"/>
          </w:tblBorders>
        </w:tblPrEx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35E889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26A197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Moderate (34-39)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12052F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51 (13.4%)</w:t>
            </w:r>
          </w:p>
        </w:tc>
      </w:tr>
      <w:tr w:rsidR="0037478D" w:rsidRPr="00D46214" w14:paraId="0792A13B" w14:textId="77777777" w:rsidTr="00752B24"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21C5D2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AEF077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Low (≤33) *</w:t>
            </w:r>
          </w:p>
          <w:p w14:paraId="4D4BE3B7" w14:textId="77777777" w:rsidR="0037478D" w:rsidRPr="00D46214" w:rsidRDefault="0037478D" w:rsidP="00752B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1"/>
                <w:u w:color="000000"/>
                <w:lang w:val="en-US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6BBF31" w14:textId="77777777" w:rsidR="0037478D" w:rsidRPr="00D46214" w:rsidRDefault="0037478D" w:rsidP="00752B24">
            <w:pPr>
              <w:autoSpaceDE w:val="0"/>
              <w:autoSpaceDN w:val="0"/>
              <w:adjustRightInd w:val="0"/>
              <w:rPr>
                <w:rFonts w:cs="Trebuchet MS"/>
                <w:color w:val="000000"/>
                <w:u w:color="000000"/>
                <w:lang w:val="en-US"/>
              </w:rPr>
            </w:pPr>
            <w:r w:rsidRPr="00D46214">
              <w:rPr>
                <w:rFonts w:cs="Trebuchet MS"/>
                <w:color w:val="000000"/>
                <w:sz w:val="22"/>
                <w:szCs w:val="22"/>
                <w:u w:color="000000"/>
                <w:lang w:val="en-US"/>
              </w:rPr>
              <w:t>22 (5.8%)</w:t>
            </w:r>
          </w:p>
        </w:tc>
      </w:tr>
    </w:tbl>
    <w:p w14:paraId="1F40139A" w14:textId="77777777" w:rsidR="0037478D" w:rsidRPr="00D46214" w:rsidRDefault="0037478D" w:rsidP="0037478D">
      <w:pPr>
        <w:autoSpaceDE w:val="0"/>
        <w:autoSpaceDN w:val="0"/>
        <w:adjustRightInd w:val="0"/>
        <w:rPr>
          <w:rFonts w:cs="Trebuchet MS"/>
          <w:color w:val="000000"/>
          <w:u w:color="000000"/>
          <w:lang w:val="en-US"/>
        </w:rPr>
      </w:pPr>
      <w:r w:rsidRPr="00D46214">
        <w:rPr>
          <w:rFonts w:cs="Trebuchet MS"/>
          <w:color w:val="000000"/>
          <w:u w:color="000000"/>
          <w:lang w:val="en-US"/>
        </w:rPr>
        <w:t>*At risk for burnout according to MBI definitions</w:t>
      </w:r>
    </w:p>
    <w:p w14:paraId="783CB323" w14:textId="5F26F3AE" w:rsidR="0037478D" w:rsidRDefault="0037478D" w:rsidP="0037478D">
      <w:pPr>
        <w:autoSpaceDE w:val="0"/>
        <w:autoSpaceDN w:val="0"/>
        <w:adjustRightInd w:val="0"/>
        <w:rPr>
          <w:rFonts w:cs="Trebuchet MS"/>
          <w:color w:val="000000"/>
          <w:u w:color="000000"/>
          <w:lang w:val="en-US"/>
        </w:rPr>
      </w:pPr>
    </w:p>
    <w:p w14:paraId="745F3938" w14:textId="355A91FD" w:rsidR="00804758" w:rsidRDefault="00804758" w:rsidP="0037478D">
      <w:pPr>
        <w:autoSpaceDE w:val="0"/>
        <w:autoSpaceDN w:val="0"/>
        <w:adjustRightInd w:val="0"/>
        <w:rPr>
          <w:rFonts w:cs="Trebuchet MS"/>
          <w:b/>
          <w:bCs/>
          <w:color w:val="000000"/>
          <w:u w:color="000000"/>
          <w:lang w:val="en-US"/>
        </w:rPr>
      </w:pPr>
      <w:r w:rsidRPr="00804758">
        <w:rPr>
          <w:rFonts w:cs="Trebuchet MS"/>
          <w:b/>
          <w:bCs/>
          <w:color w:val="000000"/>
          <w:u w:color="000000"/>
          <w:lang w:val="en-US"/>
        </w:rPr>
        <w:t>Table 5:  Maslach Domain Scores</w:t>
      </w:r>
    </w:p>
    <w:p w14:paraId="6E9F6462" w14:textId="77777777" w:rsidR="00804758" w:rsidRPr="00804758" w:rsidRDefault="00804758" w:rsidP="0037478D">
      <w:pPr>
        <w:autoSpaceDE w:val="0"/>
        <w:autoSpaceDN w:val="0"/>
        <w:adjustRightInd w:val="0"/>
        <w:rPr>
          <w:rFonts w:cs="Trebuchet MS"/>
          <w:b/>
          <w:bCs/>
          <w:color w:val="000000"/>
          <w:u w:color="00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3"/>
        <w:gridCol w:w="2137"/>
      </w:tblGrid>
      <w:tr w:rsidR="00804758" w14:paraId="3490CDD1" w14:textId="77777777" w:rsidTr="00032A7B">
        <w:tc>
          <w:tcPr>
            <w:tcW w:w="7398" w:type="dxa"/>
          </w:tcPr>
          <w:p w14:paraId="75CC1DA3" w14:textId="77777777" w:rsidR="00804758" w:rsidRDefault="00804758" w:rsidP="00032A7B">
            <w:r>
              <w:t>Emotional Exhaustion (n=382)</w:t>
            </w:r>
          </w:p>
          <w:p w14:paraId="3299E14A" w14:textId="77777777" w:rsidR="00804758" w:rsidRDefault="00804758" w:rsidP="00032A7B">
            <w:r w:rsidRPr="00AE1D7C">
              <w:rPr>
                <w:i/>
                <w:sz w:val="16"/>
              </w:rPr>
              <w:t>*Not normally distributed</w:t>
            </w:r>
            <w:r>
              <w:rPr>
                <w:i/>
                <w:sz w:val="16"/>
              </w:rPr>
              <w:t>. But most literature reports mean</w:t>
            </w:r>
          </w:p>
        </w:tc>
        <w:tc>
          <w:tcPr>
            <w:tcW w:w="2178" w:type="dxa"/>
          </w:tcPr>
          <w:p w14:paraId="54649D16" w14:textId="77777777" w:rsidR="00804758" w:rsidRDefault="00804758" w:rsidP="00032A7B">
            <w:r>
              <w:t>Median: 34.0</w:t>
            </w:r>
          </w:p>
          <w:p w14:paraId="32EB4097" w14:textId="77777777" w:rsidR="00804758" w:rsidRDefault="00804758" w:rsidP="00032A7B">
            <w:r>
              <w:t>IQR: 23.00-43.25</w:t>
            </w:r>
          </w:p>
          <w:p w14:paraId="0619B468" w14:textId="77777777" w:rsidR="00804758" w:rsidRDefault="00804758" w:rsidP="00032A7B">
            <w:r>
              <w:t>Mean: 34.07</w:t>
            </w:r>
          </w:p>
          <w:p w14:paraId="232A9B34" w14:textId="77777777" w:rsidR="00804758" w:rsidRDefault="00804758" w:rsidP="00032A7B">
            <w:r>
              <w:t>SD: 12.37</w:t>
            </w:r>
          </w:p>
        </w:tc>
      </w:tr>
      <w:tr w:rsidR="00804758" w14:paraId="588F15A7" w14:textId="77777777" w:rsidTr="00032A7B">
        <w:tc>
          <w:tcPr>
            <w:tcW w:w="7398" w:type="dxa"/>
          </w:tcPr>
          <w:p w14:paraId="3234A00C" w14:textId="77777777" w:rsidR="00804758" w:rsidRDefault="00804758" w:rsidP="00032A7B">
            <w:r>
              <w:t>Depersonalization (n=382)</w:t>
            </w:r>
          </w:p>
          <w:p w14:paraId="27ECAD06" w14:textId="77777777" w:rsidR="00804758" w:rsidRPr="002076C1" w:rsidRDefault="00804758" w:rsidP="00032A7B">
            <w:r w:rsidRPr="00AE1D7C">
              <w:rPr>
                <w:i/>
                <w:sz w:val="16"/>
              </w:rPr>
              <w:t>*Not normally distributed</w:t>
            </w:r>
            <w:r>
              <w:rPr>
                <w:i/>
                <w:sz w:val="16"/>
              </w:rPr>
              <w:t>. But most literature reports mean</w:t>
            </w:r>
          </w:p>
        </w:tc>
        <w:tc>
          <w:tcPr>
            <w:tcW w:w="2178" w:type="dxa"/>
          </w:tcPr>
          <w:p w14:paraId="3DB68FA7" w14:textId="77777777" w:rsidR="00804758" w:rsidRDefault="00804758" w:rsidP="00032A7B">
            <w:r>
              <w:t>Median: 16.00</w:t>
            </w:r>
          </w:p>
          <w:p w14:paraId="1FB1D6A8" w14:textId="77777777" w:rsidR="00804758" w:rsidRDefault="00804758" w:rsidP="00032A7B">
            <w:r>
              <w:t>IQR: 11.00-21.25</w:t>
            </w:r>
          </w:p>
          <w:p w14:paraId="0484AE78" w14:textId="77777777" w:rsidR="00804758" w:rsidRDefault="00804758" w:rsidP="00032A7B">
            <w:r>
              <w:t>Mean: 16.35</w:t>
            </w:r>
          </w:p>
          <w:p w14:paraId="7125F759" w14:textId="77777777" w:rsidR="00804758" w:rsidRDefault="00804758" w:rsidP="00032A7B">
            <w:r>
              <w:t>SD: 6.86</w:t>
            </w:r>
          </w:p>
        </w:tc>
      </w:tr>
      <w:tr w:rsidR="00804758" w14:paraId="1369DBEE" w14:textId="77777777" w:rsidTr="00032A7B">
        <w:tc>
          <w:tcPr>
            <w:tcW w:w="7398" w:type="dxa"/>
          </w:tcPr>
          <w:p w14:paraId="043E9F7B" w14:textId="77777777" w:rsidR="00804758" w:rsidRDefault="00804758" w:rsidP="00032A7B">
            <w:r>
              <w:t>Personal Accomplishment (N=381)</w:t>
            </w:r>
          </w:p>
          <w:p w14:paraId="7178F62A" w14:textId="77777777" w:rsidR="00804758" w:rsidRPr="002076C1" w:rsidRDefault="00804758" w:rsidP="00032A7B">
            <w:r w:rsidRPr="00AE1D7C">
              <w:rPr>
                <w:i/>
                <w:sz w:val="16"/>
              </w:rPr>
              <w:t>*Not normally distributed</w:t>
            </w:r>
            <w:r>
              <w:rPr>
                <w:i/>
                <w:sz w:val="16"/>
              </w:rPr>
              <w:t>. But most literature reports mean</w:t>
            </w:r>
          </w:p>
        </w:tc>
        <w:tc>
          <w:tcPr>
            <w:tcW w:w="2178" w:type="dxa"/>
          </w:tcPr>
          <w:p w14:paraId="4888AA36" w14:textId="77777777" w:rsidR="00804758" w:rsidRDefault="00804758" w:rsidP="00032A7B">
            <w:r>
              <w:t xml:space="preserve">Median: 47.0 </w:t>
            </w:r>
          </w:p>
          <w:p w14:paraId="3DF6A452" w14:textId="77777777" w:rsidR="00804758" w:rsidRDefault="00804758" w:rsidP="00032A7B">
            <w:r>
              <w:t>IQR: 41.00-51.00</w:t>
            </w:r>
          </w:p>
          <w:p w14:paraId="3A0ABB4D" w14:textId="77777777" w:rsidR="00804758" w:rsidRDefault="00804758" w:rsidP="00032A7B">
            <w:r>
              <w:t>Mean: 45.63</w:t>
            </w:r>
          </w:p>
          <w:p w14:paraId="48C046D3" w14:textId="77777777" w:rsidR="00804758" w:rsidRDefault="00804758" w:rsidP="00032A7B">
            <w:r>
              <w:t>SD: 7.16</w:t>
            </w:r>
          </w:p>
        </w:tc>
      </w:tr>
    </w:tbl>
    <w:p w14:paraId="4D64A9C7" w14:textId="41690AB2" w:rsidR="00804758" w:rsidRPr="00D46214" w:rsidRDefault="00804758" w:rsidP="0037478D">
      <w:pPr>
        <w:autoSpaceDE w:val="0"/>
        <w:autoSpaceDN w:val="0"/>
        <w:adjustRightInd w:val="0"/>
        <w:rPr>
          <w:rFonts w:cs="Trebuchet MS"/>
          <w:color w:val="000000"/>
          <w:u w:color="000000"/>
          <w:lang w:val="en-US"/>
        </w:rPr>
      </w:pPr>
    </w:p>
    <w:p w14:paraId="04756BDF" w14:textId="77777777" w:rsidR="005553ED" w:rsidRDefault="005553ED" w:rsidP="005553ED">
      <w:pPr>
        <w:autoSpaceDE w:val="0"/>
        <w:autoSpaceDN w:val="0"/>
        <w:adjustRightInd w:val="0"/>
        <w:rPr>
          <w:rFonts w:cs="Trebuchet MS"/>
          <w:b/>
          <w:bCs/>
          <w:color w:val="000000"/>
          <w:u w:color="000000"/>
          <w:lang w:val="en-US"/>
        </w:rPr>
      </w:pPr>
    </w:p>
    <w:p w14:paraId="7E271207" w14:textId="4039CCDF" w:rsidR="00820236" w:rsidRDefault="00820236" w:rsidP="005553ED">
      <w:pPr>
        <w:autoSpaceDE w:val="0"/>
        <w:autoSpaceDN w:val="0"/>
        <w:adjustRightInd w:val="0"/>
        <w:rPr>
          <w:rFonts w:cs="Trebuchet MS"/>
          <w:b/>
          <w:bCs/>
          <w:color w:val="000000"/>
          <w:u w:color="000000"/>
          <w:lang w:val="en-US"/>
        </w:rPr>
      </w:pPr>
      <w:r w:rsidRPr="00820236">
        <w:rPr>
          <w:rFonts w:cs="Trebuchet MS"/>
          <w:b/>
          <w:bCs/>
          <w:color w:val="000000"/>
          <w:u w:color="000000"/>
          <w:lang w:val="en-US"/>
        </w:rPr>
        <w:t>Additional References:</w:t>
      </w:r>
    </w:p>
    <w:p w14:paraId="70C2C2D5" w14:textId="77777777" w:rsidR="005553ED" w:rsidRPr="005553ED" w:rsidRDefault="005553ED" w:rsidP="005553ED">
      <w:pPr>
        <w:autoSpaceDE w:val="0"/>
        <w:autoSpaceDN w:val="0"/>
        <w:adjustRightInd w:val="0"/>
        <w:rPr>
          <w:rFonts w:eastAsiaTheme="minorHAnsi" w:cs="Trebuchet MS"/>
          <w:b/>
          <w:bCs/>
          <w:color w:val="000000"/>
          <w:u w:color="000000"/>
          <w:lang w:val="en-US"/>
        </w:rPr>
      </w:pPr>
    </w:p>
    <w:p w14:paraId="3BEB9339" w14:textId="35EFAF25" w:rsidR="00820236" w:rsidRPr="005B499A" w:rsidRDefault="00820236" w:rsidP="00820236">
      <w:pPr>
        <w:pStyle w:val="ListParagraph"/>
        <w:numPr>
          <w:ilvl w:val="0"/>
          <w:numId w:val="1"/>
        </w:numPr>
        <w:spacing w:before="240" w:after="240"/>
        <w:rPr>
          <w:rFonts w:eastAsia="Times New Roman" w:cstheme="minorHAnsi"/>
          <w:color w:val="000000" w:themeColor="text1"/>
        </w:rPr>
      </w:pPr>
      <w:proofErr w:type="spellStart"/>
      <w:r w:rsidRPr="005B499A">
        <w:rPr>
          <w:rFonts w:eastAsia="Times New Roman" w:cstheme="minorHAnsi"/>
          <w:color w:val="000000" w:themeColor="text1"/>
        </w:rPr>
        <w:t>Shanafelt</w:t>
      </w:r>
      <w:proofErr w:type="spellEnd"/>
      <w:r w:rsidRPr="005B499A">
        <w:rPr>
          <w:rFonts w:eastAsia="Times New Roman" w:cstheme="minorHAnsi"/>
          <w:color w:val="000000" w:themeColor="text1"/>
        </w:rPr>
        <w:t xml:space="preserve"> T, Boone S, Tan L, et al. Burnout and satisfaction with </w:t>
      </w:r>
      <w:proofErr w:type="spellStart"/>
      <w:r w:rsidRPr="005B499A">
        <w:rPr>
          <w:rFonts w:eastAsia="Times New Roman" w:cstheme="minorHAnsi"/>
          <w:color w:val="000000" w:themeColor="text1"/>
        </w:rPr>
        <w:t>worklife</w:t>
      </w:r>
      <w:proofErr w:type="spellEnd"/>
      <w:r w:rsidRPr="005B499A">
        <w:rPr>
          <w:rFonts w:eastAsia="Times New Roman" w:cstheme="minorHAnsi"/>
          <w:color w:val="000000" w:themeColor="text1"/>
        </w:rPr>
        <w:t xml:space="preserve"> balance among US physicians relative to the general US population. Arch Intern Med. </w:t>
      </w:r>
      <w:proofErr w:type="gramStart"/>
      <w:r w:rsidRPr="005B499A">
        <w:rPr>
          <w:rFonts w:eastAsia="Times New Roman" w:cstheme="minorHAnsi"/>
          <w:color w:val="000000" w:themeColor="text1"/>
        </w:rPr>
        <w:t>2012;172:1377</w:t>
      </w:r>
      <w:proofErr w:type="gramEnd"/>
      <w:r w:rsidRPr="005B499A">
        <w:rPr>
          <w:rFonts w:eastAsia="Times New Roman" w:cstheme="minorHAnsi"/>
          <w:color w:val="000000" w:themeColor="text1"/>
        </w:rPr>
        <w:t>-1385.</w:t>
      </w:r>
    </w:p>
    <w:p w14:paraId="577BD523" w14:textId="58622EB2" w:rsidR="00820236" w:rsidRPr="005B499A" w:rsidRDefault="00820236" w:rsidP="00820236">
      <w:pPr>
        <w:pStyle w:val="ListParagraph"/>
        <w:numPr>
          <w:ilvl w:val="0"/>
          <w:numId w:val="1"/>
        </w:numPr>
        <w:spacing w:before="240" w:after="240"/>
        <w:rPr>
          <w:rFonts w:eastAsia="Times New Roman" w:cstheme="minorHAnsi"/>
          <w:color w:val="000000" w:themeColor="text1"/>
        </w:rPr>
      </w:pPr>
      <w:proofErr w:type="spellStart"/>
      <w:r w:rsidRPr="005B499A">
        <w:rPr>
          <w:rFonts w:eastAsia="Times New Roman" w:cstheme="minorHAnsi"/>
          <w:color w:val="000000" w:themeColor="text1"/>
        </w:rPr>
        <w:t>Shanafelt</w:t>
      </w:r>
      <w:proofErr w:type="spellEnd"/>
      <w:r w:rsidRPr="005B499A">
        <w:rPr>
          <w:rFonts w:eastAsia="Times New Roman" w:cstheme="minorHAnsi"/>
          <w:color w:val="000000" w:themeColor="text1"/>
        </w:rPr>
        <w:t xml:space="preserve"> TD, West CP, </w:t>
      </w:r>
      <w:proofErr w:type="spellStart"/>
      <w:r w:rsidRPr="005B499A">
        <w:rPr>
          <w:rFonts w:eastAsia="Times New Roman" w:cstheme="minorHAnsi"/>
          <w:color w:val="000000" w:themeColor="text1"/>
        </w:rPr>
        <w:t>Sinsky</w:t>
      </w:r>
      <w:proofErr w:type="spellEnd"/>
      <w:r w:rsidRPr="005B499A">
        <w:rPr>
          <w:rFonts w:eastAsia="Times New Roman" w:cstheme="minorHAnsi"/>
          <w:color w:val="000000" w:themeColor="text1"/>
        </w:rPr>
        <w:t xml:space="preserve"> C, et al. Changes in burnout and satisfaction with work-life integration in physicians and the general US working population between 2011 and 2017. Mayo Clin Proc. 2019;94(9):1681-1694. </w:t>
      </w:r>
      <w:r w:rsidRPr="005B499A">
        <w:rPr>
          <w:rFonts w:eastAsia="Times New Roman" w:cstheme="minorHAnsi"/>
          <w:color w:val="000000" w:themeColor="text1"/>
          <w:u w:val="single"/>
        </w:rPr>
        <w:t>http://doi.org/10.1016/j.mayocp.2018.10.023</w:t>
      </w:r>
    </w:p>
    <w:p w14:paraId="44AC7AFA" w14:textId="2CF0342A" w:rsidR="00820236" w:rsidRPr="005B499A" w:rsidRDefault="00820236" w:rsidP="00820236">
      <w:pPr>
        <w:pStyle w:val="ListParagraph"/>
        <w:numPr>
          <w:ilvl w:val="0"/>
          <w:numId w:val="1"/>
        </w:numPr>
        <w:spacing w:before="240" w:after="240"/>
        <w:rPr>
          <w:rFonts w:eastAsia="Times New Roman" w:cstheme="minorHAnsi"/>
          <w:color w:val="000000" w:themeColor="text1"/>
        </w:rPr>
      </w:pPr>
      <w:r w:rsidRPr="005B499A">
        <w:rPr>
          <w:rFonts w:eastAsia="Times New Roman" w:cstheme="minorHAnsi"/>
          <w:color w:val="000000" w:themeColor="text1"/>
        </w:rPr>
        <w:t xml:space="preserve">Taher, A., Crawford, S., </w:t>
      </w:r>
      <w:proofErr w:type="spellStart"/>
      <w:r w:rsidRPr="005B499A">
        <w:rPr>
          <w:rFonts w:eastAsia="Times New Roman" w:cstheme="minorHAnsi"/>
          <w:color w:val="000000" w:themeColor="text1"/>
        </w:rPr>
        <w:t>Koczerginski</w:t>
      </w:r>
      <w:proofErr w:type="spellEnd"/>
      <w:r w:rsidRPr="005B499A">
        <w:rPr>
          <w:rFonts w:eastAsia="Times New Roman" w:cstheme="minorHAnsi"/>
          <w:color w:val="000000" w:themeColor="text1"/>
        </w:rPr>
        <w:t xml:space="preserve">, J., </w:t>
      </w:r>
      <w:proofErr w:type="spellStart"/>
      <w:r w:rsidRPr="005B499A">
        <w:rPr>
          <w:rFonts w:eastAsia="Times New Roman" w:cstheme="minorHAnsi"/>
          <w:color w:val="000000" w:themeColor="text1"/>
        </w:rPr>
        <w:t>Argintaru</w:t>
      </w:r>
      <w:proofErr w:type="spellEnd"/>
      <w:r w:rsidRPr="005B499A">
        <w:rPr>
          <w:rFonts w:eastAsia="Times New Roman" w:cstheme="minorHAnsi"/>
          <w:color w:val="000000" w:themeColor="text1"/>
        </w:rPr>
        <w:t>, N., Beaumont-Boileau, R., Hart, A., &amp; Bigham, B. (2018). Position Statement on Resident Wellness.</w:t>
      </w:r>
      <w:r w:rsidRPr="005B499A">
        <w:rPr>
          <w:rFonts w:eastAsia="MS Gothic" w:cstheme="minorHAnsi"/>
          <w:color w:val="000000" w:themeColor="text1"/>
        </w:rPr>
        <w:t xml:space="preserve">　</w:t>
      </w:r>
      <w:r w:rsidRPr="005B499A">
        <w:rPr>
          <w:rFonts w:eastAsia="Times New Roman" w:cstheme="minorHAnsi"/>
          <w:color w:val="000000" w:themeColor="text1"/>
        </w:rPr>
        <w:t>CJEM,</w:t>
      </w:r>
      <w:r w:rsidRPr="005B499A">
        <w:rPr>
          <w:rFonts w:eastAsia="MS Gothic" w:cstheme="minorHAnsi"/>
          <w:color w:val="000000" w:themeColor="text1"/>
        </w:rPr>
        <w:t xml:space="preserve">　</w:t>
      </w:r>
      <w:r w:rsidRPr="005B499A">
        <w:rPr>
          <w:rFonts w:eastAsia="Times New Roman" w:cstheme="minorHAnsi"/>
          <w:color w:val="000000" w:themeColor="text1"/>
        </w:rPr>
        <w:t>20(5), 671-684. doi:10.1017/cem.2018.</w:t>
      </w:r>
    </w:p>
    <w:p w14:paraId="27F6ABCD" w14:textId="3C0B5E0C" w:rsidR="00820236" w:rsidRPr="005B499A" w:rsidRDefault="00820236" w:rsidP="00820236">
      <w:pPr>
        <w:pStyle w:val="ListParagraph"/>
        <w:numPr>
          <w:ilvl w:val="0"/>
          <w:numId w:val="1"/>
        </w:numPr>
        <w:spacing w:before="240" w:after="240"/>
        <w:rPr>
          <w:rFonts w:eastAsia="Times New Roman" w:cstheme="minorHAnsi"/>
          <w:color w:val="000000" w:themeColor="text1"/>
        </w:rPr>
      </w:pPr>
      <w:r w:rsidRPr="005B499A">
        <w:rPr>
          <w:rFonts w:eastAsia="Times New Roman" w:cstheme="minorHAnsi"/>
          <w:color w:val="000000" w:themeColor="text1"/>
        </w:rPr>
        <w:lastRenderedPageBreak/>
        <w:t xml:space="preserve">Reith TP. Burnout in United States Healthcare Professionals: a narrative review. </w:t>
      </w:r>
      <w:proofErr w:type="spellStart"/>
      <w:r w:rsidRPr="005B499A">
        <w:rPr>
          <w:rFonts w:eastAsia="Times New Roman" w:cstheme="minorHAnsi"/>
          <w:color w:val="000000" w:themeColor="text1"/>
        </w:rPr>
        <w:t>Cureus</w:t>
      </w:r>
      <w:proofErr w:type="spellEnd"/>
      <w:r w:rsidRPr="005B499A">
        <w:rPr>
          <w:rFonts w:eastAsia="Times New Roman" w:cstheme="minorHAnsi"/>
          <w:color w:val="000000" w:themeColor="text1"/>
        </w:rPr>
        <w:t>. 2018. 10(12): e3681.</w:t>
      </w:r>
      <w:r w:rsidRPr="005B499A">
        <w:rPr>
          <w:rFonts w:eastAsia="MS Gothic" w:cstheme="minorHAnsi"/>
          <w:color w:val="000000" w:themeColor="text1"/>
        </w:rPr>
        <w:t xml:space="preserve">　</w:t>
      </w:r>
      <w:proofErr w:type="spellStart"/>
      <w:r w:rsidRPr="005B499A">
        <w:rPr>
          <w:rFonts w:eastAsia="Times New Roman" w:cstheme="minorHAnsi"/>
          <w:color w:val="000000" w:themeColor="text1"/>
        </w:rPr>
        <w:t>doi</w:t>
      </w:r>
      <w:proofErr w:type="spellEnd"/>
      <w:r w:rsidRPr="005B499A">
        <w:rPr>
          <w:rFonts w:eastAsia="Times New Roman" w:cstheme="minorHAnsi"/>
          <w:color w:val="000000" w:themeColor="text1"/>
        </w:rPr>
        <w:t>:</w:t>
      </w:r>
      <w:r w:rsidRPr="005B499A">
        <w:rPr>
          <w:rFonts w:eastAsia="MS Gothic" w:cstheme="minorHAnsi"/>
          <w:color w:val="000000" w:themeColor="text1"/>
        </w:rPr>
        <w:t xml:space="preserve">　</w:t>
      </w:r>
      <w:r w:rsidRPr="005B499A">
        <w:rPr>
          <w:rFonts w:eastAsia="Times New Roman" w:cstheme="minorHAnsi"/>
          <w:color w:val="000000" w:themeColor="text1"/>
          <w:u w:val="single"/>
        </w:rPr>
        <w:t>10.7759/cureus.3681</w:t>
      </w:r>
    </w:p>
    <w:p w14:paraId="503E8440" w14:textId="77777777" w:rsidR="005B499A" w:rsidRPr="005B499A" w:rsidRDefault="00820236" w:rsidP="005B499A">
      <w:pPr>
        <w:pStyle w:val="ListParagraph"/>
        <w:numPr>
          <w:ilvl w:val="0"/>
          <w:numId w:val="1"/>
        </w:numPr>
        <w:spacing w:before="240" w:after="240"/>
        <w:rPr>
          <w:rFonts w:eastAsia="Times New Roman" w:cstheme="minorHAnsi"/>
          <w:color w:val="000000" w:themeColor="text1"/>
        </w:rPr>
      </w:pPr>
      <w:r w:rsidRPr="005B499A">
        <w:rPr>
          <w:rFonts w:eastAsia="Times New Roman" w:cstheme="minorHAnsi"/>
          <w:color w:val="000000" w:themeColor="text1"/>
        </w:rPr>
        <w:t xml:space="preserve">American Psychiatric Association. APA Wellbeing Ambassador Toolkit: Physician Burnout and Depression: Challenges and Opportunities. January 2018. </w:t>
      </w:r>
      <w:r w:rsidRPr="005B499A">
        <w:rPr>
          <w:rFonts w:eastAsia="Times New Roman" w:cstheme="minorHAnsi"/>
          <w:color w:val="000000" w:themeColor="text1"/>
          <w:u w:val="single"/>
        </w:rPr>
        <w:t>https://www.psychiatry.org/psychiatrists/practice/well-being-and-burnout/well-being-resources</w:t>
      </w:r>
      <w:r w:rsidRPr="005B499A">
        <w:rPr>
          <w:rFonts w:eastAsia="Times New Roman" w:cstheme="minorHAnsi"/>
          <w:color w:val="000000" w:themeColor="text1"/>
        </w:rPr>
        <w:t xml:space="preserve"> Accessed November 15, 2019.</w:t>
      </w:r>
    </w:p>
    <w:p w14:paraId="6EDEDCFC" w14:textId="77777777" w:rsidR="005B499A" w:rsidRPr="005B499A" w:rsidRDefault="005B499A" w:rsidP="005B499A">
      <w:pPr>
        <w:pStyle w:val="ListParagraph"/>
        <w:numPr>
          <w:ilvl w:val="0"/>
          <w:numId w:val="1"/>
        </w:numPr>
        <w:spacing w:before="240" w:after="240"/>
        <w:rPr>
          <w:rFonts w:eastAsia="Times New Roman" w:cstheme="minorHAnsi"/>
          <w:color w:val="000000" w:themeColor="text1"/>
        </w:rPr>
      </w:pPr>
      <w:r w:rsidRPr="005B499A">
        <w:rPr>
          <w:color w:val="000000" w:themeColor="text1"/>
        </w:rPr>
        <w:t xml:space="preserve">Lin M, </w:t>
      </w:r>
      <w:proofErr w:type="spellStart"/>
      <w:r w:rsidRPr="005B499A">
        <w:rPr>
          <w:color w:val="000000" w:themeColor="text1"/>
        </w:rPr>
        <w:t>Battaglioli</w:t>
      </w:r>
      <w:proofErr w:type="spellEnd"/>
      <w:r w:rsidRPr="005B499A">
        <w:rPr>
          <w:color w:val="000000" w:themeColor="text1"/>
        </w:rPr>
        <w:t xml:space="preserve"> N, Melamed M, Mott SE, Chung AS, Robinson DW. High prevalence of burnout among US emergency medicine residents: results from the 2017 National Emergency Medicine Wellness Survey. Annals of emergency medicine. 2019 Nov 1;74(5):682-90.</w:t>
      </w:r>
    </w:p>
    <w:p w14:paraId="5CBBA9A3" w14:textId="2EA0EE33" w:rsidR="00820236" w:rsidRPr="005B499A" w:rsidRDefault="00820236" w:rsidP="005B499A">
      <w:pPr>
        <w:pStyle w:val="ListParagraph"/>
        <w:numPr>
          <w:ilvl w:val="0"/>
          <w:numId w:val="1"/>
        </w:numPr>
        <w:spacing w:before="240" w:after="240"/>
        <w:rPr>
          <w:rFonts w:eastAsia="Times New Roman" w:cstheme="minorHAnsi"/>
          <w:color w:val="000000" w:themeColor="text1"/>
        </w:rPr>
      </w:pPr>
      <w:r w:rsidRPr="005B499A">
        <w:rPr>
          <w:rFonts w:cstheme="minorHAnsi"/>
          <w:color w:val="000000" w:themeColor="text1"/>
        </w:rPr>
        <w:t xml:space="preserve">Patel R S, </w:t>
      </w:r>
      <w:proofErr w:type="spellStart"/>
      <w:r w:rsidRPr="005B499A">
        <w:rPr>
          <w:rFonts w:cstheme="minorHAnsi"/>
          <w:color w:val="000000" w:themeColor="text1"/>
        </w:rPr>
        <w:t>Sekhri</w:t>
      </w:r>
      <w:proofErr w:type="spellEnd"/>
      <w:r w:rsidRPr="005B499A">
        <w:rPr>
          <w:rFonts w:cstheme="minorHAnsi"/>
          <w:color w:val="000000" w:themeColor="text1"/>
        </w:rPr>
        <w:t xml:space="preserve"> S, </w:t>
      </w:r>
      <w:proofErr w:type="spellStart"/>
      <w:r w:rsidRPr="005B499A">
        <w:rPr>
          <w:rFonts w:cstheme="minorHAnsi"/>
          <w:color w:val="000000" w:themeColor="text1"/>
        </w:rPr>
        <w:t>Bhimanadham</w:t>
      </w:r>
      <w:proofErr w:type="spellEnd"/>
      <w:r w:rsidRPr="005B499A">
        <w:rPr>
          <w:rFonts w:cstheme="minorHAnsi"/>
          <w:color w:val="000000" w:themeColor="text1"/>
        </w:rPr>
        <w:t xml:space="preserve"> N </w:t>
      </w:r>
      <w:proofErr w:type="spellStart"/>
      <w:r w:rsidRPr="005B499A">
        <w:rPr>
          <w:rFonts w:cstheme="minorHAnsi"/>
          <w:color w:val="000000" w:themeColor="text1"/>
        </w:rPr>
        <w:t>N</w:t>
      </w:r>
      <w:proofErr w:type="spellEnd"/>
      <w:r w:rsidRPr="005B499A">
        <w:rPr>
          <w:rFonts w:cstheme="minorHAnsi"/>
          <w:color w:val="000000" w:themeColor="text1"/>
        </w:rPr>
        <w:t xml:space="preserve">, et al. A Review on Strategies to Manage Physician Burnout. </w:t>
      </w:r>
      <w:proofErr w:type="spellStart"/>
      <w:r w:rsidRPr="005B499A">
        <w:rPr>
          <w:rFonts w:cstheme="minorHAnsi"/>
          <w:color w:val="000000" w:themeColor="text1"/>
          <w:lang w:val="fr-FR"/>
        </w:rPr>
        <w:t>Cureus</w:t>
      </w:r>
      <w:proofErr w:type="spellEnd"/>
      <w:r w:rsidRPr="005B499A">
        <w:rPr>
          <w:rFonts w:cstheme="minorHAnsi"/>
          <w:color w:val="000000" w:themeColor="text1"/>
          <w:lang w:val="fr-FR"/>
        </w:rPr>
        <w:t xml:space="preserve">. </w:t>
      </w:r>
      <w:proofErr w:type="gramStart"/>
      <w:r w:rsidRPr="005B499A">
        <w:rPr>
          <w:rFonts w:cstheme="minorHAnsi"/>
          <w:color w:val="000000" w:themeColor="text1"/>
          <w:lang w:val="fr-FR"/>
        </w:rPr>
        <w:t>2019;</w:t>
      </w:r>
      <w:proofErr w:type="gramEnd"/>
      <w:r w:rsidRPr="005B499A">
        <w:rPr>
          <w:rFonts w:cstheme="minorHAnsi"/>
          <w:color w:val="000000" w:themeColor="text1"/>
          <w:lang w:val="fr-FR"/>
        </w:rPr>
        <w:t>11(6): e4805. DOI 10.7759/cureus.4805</w:t>
      </w:r>
    </w:p>
    <w:p w14:paraId="2667BCB1" w14:textId="5FF58720" w:rsidR="00820236" w:rsidRPr="005B499A" w:rsidRDefault="00820236" w:rsidP="00820236">
      <w:pPr>
        <w:pStyle w:val="ListParagraph"/>
        <w:numPr>
          <w:ilvl w:val="0"/>
          <w:numId w:val="1"/>
        </w:numPr>
        <w:spacing w:before="240" w:after="240"/>
        <w:rPr>
          <w:rFonts w:eastAsia="Times New Roman" w:cstheme="minorHAnsi"/>
          <w:color w:val="000000" w:themeColor="text1"/>
        </w:rPr>
      </w:pPr>
      <w:r w:rsidRPr="005B499A">
        <w:rPr>
          <w:rFonts w:eastAsia="Times New Roman" w:cstheme="minorHAnsi"/>
          <w:color w:val="000000" w:themeColor="text1"/>
          <w:lang w:val="fr-FR"/>
        </w:rPr>
        <w:t xml:space="preserve">Atkinson, P., Ducharme, J., &amp; Campbell, S. (2017). </w:t>
      </w:r>
      <w:r w:rsidRPr="005B499A">
        <w:rPr>
          <w:rFonts w:eastAsia="Times New Roman" w:cstheme="minorHAnsi"/>
          <w:color w:val="000000" w:themeColor="text1"/>
        </w:rPr>
        <w:t>CJEM Debate Series: #Burnout – Burnout is inevitable in clinical emergency medicine practice.</w:t>
      </w:r>
      <w:r w:rsidRPr="005B499A">
        <w:rPr>
          <w:rFonts w:eastAsia="MS Gothic" w:cstheme="minorHAnsi"/>
          <w:color w:val="000000" w:themeColor="text1"/>
        </w:rPr>
        <w:t xml:space="preserve">　</w:t>
      </w:r>
      <w:r w:rsidRPr="005B499A">
        <w:rPr>
          <w:rFonts w:eastAsia="Times New Roman" w:cstheme="minorHAnsi"/>
          <w:color w:val="000000" w:themeColor="text1"/>
        </w:rPr>
        <w:t>CJEM,</w:t>
      </w:r>
      <w:r w:rsidRPr="005B499A">
        <w:rPr>
          <w:rFonts w:eastAsia="MS Gothic" w:cstheme="minorHAnsi"/>
          <w:color w:val="000000" w:themeColor="text1"/>
        </w:rPr>
        <w:t xml:space="preserve">　</w:t>
      </w:r>
      <w:r w:rsidRPr="005B499A">
        <w:rPr>
          <w:rFonts w:eastAsia="Times New Roman" w:cstheme="minorHAnsi"/>
          <w:color w:val="000000" w:themeColor="text1"/>
        </w:rPr>
        <w:t>19(5), 386-389. doi:10.1017/cem.2017.395</w:t>
      </w:r>
    </w:p>
    <w:p w14:paraId="74BEA10C" w14:textId="056C7E05" w:rsidR="00820236" w:rsidRPr="005B499A" w:rsidRDefault="00820236" w:rsidP="00820236">
      <w:pPr>
        <w:pStyle w:val="ListParagraph"/>
        <w:numPr>
          <w:ilvl w:val="0"/>
          <w:numId w:val="1"/>
        </w:numPr>
        <w:spacing w:before="240" w:after="240"/>
        <w:rPr>
          <w:rFonts w:eastAsia="Times New Roman" w:cstheme="minorHAnsi"/>
          <w:color w:val="000000" w:themeColor="text1"/>
        </w:rPr>
      </w:pPr>
      <w:r w:rsidRPr="005B499A">
        <w:rPr>
          <w:rFonts w:eastAsia="Times New Roman" w:cstheme="minorHAnsi"/>
          <w:color w:val="000000" w:themeColor="text1"/>
        </w:rPr>
        <w:t xml:space="preserve">Patel RS, </w:t>
      </w:r>
      <w:proofErr w:type="spellStart"/>
      <w:r w:rsidRPr="005B499A">
        <w:rPr>
          <w:rFonts w:eastAsia="Times New Roman" w:cstheme="minorHAnsi"/>
          <w:color w:val="000000" w:themeColor="text1"/>
        </w:rPr>
        <w:t>Bachu</w:t>
      </w:r>
      <w:proofErr w:type="spellEnd"/>
      <w:r w:rsidRPr="005B499A">
        <w:rPr>
          <w:rFonts w:eastAsia="Times New Roman" w:cstheme="minorHAnsi"/>
          <w:color w:val="000000" w:themeColor="text1"/>
        </w:rPr>
        <w:t xml:space="preserve"> R, </w:t>
      </w:r>
      <w:proofErr w:type="spellStart"/>
      <w:r w:rsidRPr="005B499A">
        <w:rPr>
          <w:rFonts w:eastAsia="Times New Roman" w:cstheme="minorHAnsi"/>
          <w:color w:val="000000" w:themeColor="text1"/>
        </w:rPr>
        <w:t>Adikey</w:t>
      </w:r>
      <w:proofErr w:type="spellEnd"/>
      <w:r w:rsidRPr="005B499A">
        <w:rPr>
          <w:rFonts w:eastAsia="Times New Roman" w:cstheme="minorHAnsi"/>
          <w:color w:val="000000" w:themeColor="text1"/>
        </w:rPr>
        <w:t xml:space="preserve"> A, Malik M, Shah M. Factors related to physician burnout and its consequences: a review. </w:t>
      </w:r>
      <w:proofErr w:type="spellStart"/>
      <w:r w:rsidRPr="005B499A">
        <w:rPr>
          <w:rFonts w:eastAsia="Times New Roman" w:cstheme="minorHAnsi"/>
          <w:color w:val="000000" w:themeColor="text1"/>
          <w:u w:val="single"/>
        </w:rPr>
        <w:t>Behav</w:t>
      </w:r>
      <w:proofErr w:type="spellEnd"/>
      <w:r w:rsidRPr="005B499A">
        <w:rPr>
          <w:rFonts w:eastAsia="Times New Roman" w:cstheme="minorHAnsi"/>
          <w:color w:val="000000" w:themeColor="text1"/>
          <w:u w:val="single"/>
        </w:rPr>
        <w:t xml:space="preserve"> Sci (Basel)</w:t>
      </w:r>
      <w:r w:rsidRPr="005B499A">
        <w:rPr>
          <w:rFonts w:eastAsia="Times New Roman" w:cstheme="minorHAnsi"/>
          <w:color w:val="000000" w:themeColor="text1"/>
        </w:rPr>
        <w:t>. 2018 Nov; 8(11): 98.</w:t>
      </w:r>
      <w:r w:rsidRPr="005B499A">
        <w:rPr>
          <w:rFonts w:eastAsia="MS Gothic" w:cstheme="minorHAnsi"/>
          <w:color w:val="000000" w:themeColor="text1"/>
        </w:rPr>
        <w:t xml:space="preserve">　</w:t>
      </w:r>
      <w:r w:rsidRPr="005B499A">
        <w:rPr>
          <w:rFonts w:eastAsia="Times New Roman" w:cstheme="minorHAnsi"/>
          <w:color w:val="000000" w:themeColor="text1"/>
        </w:rPr>
        <w:t>doi:</w:t>
      </w:r>
      <w:r w:rsidRPr="005B499A">
        <w:rPr>
          <w:rFonts w:eastAsia="Times New Roman" w:cstheme="minorHAnsi"/>
          <w:color w:val="000000" w:themeColor="text1"/>
          <w:u w:val="single"/>
        </w:rPr>
        <w:t>10.3390/bs8110098</w:t>
      </w:r>
    </w:p>
    <w:p w14:paraId="503545E4" w14:textId="045339AB" w:rsidR="00820236" w:rsidRPr="005B499A" w:rsidRDefault="00820236" w:rsidP="00820236">
      <w:pPr>
        <w:pStyle w:val="ListParagraph"/>
        <w:numPr>
          <w:ilvl w:val="0"/>
          <w:numId w:val="1"/>
        </w:numPr>
        <w:spacing w:before="240" w:after="240"/>
        <w:rPr>
          <w:rFonts w:eastAsia="Times New Roman" w:cstheme="minorHAnsi"/>
          <w:color w:val="000000" w:themeColor="text1"/>
        </w:rPr>
      </w:pPr>
      <w:r w:rsidRPr="005B499A">
        <w:rPr>
          <w:rFonts w:eastAsia="Times New Roman" w:cstheme="minorHAnsi"/>
          <w:color w:val="000000" w:themeColor="text1"/>
        </w:rPr>
        <w:t xml:space="preserve">Lee FJ, Stewart M, Brown JB. Stress, burnout, and strategies for reducing them. What’s the situation among Canadian family physicians? Can Fam Physician. </w:t>
      </w:r>
      <w:proofErr w:type="gramStart"/>
      <w:r w:rsidRPr="005B499A">
        <w:rPr>
          <w:rFonts w:eastAsia="Times New Roman" w:cstheme="minorHAnsi"/>
          <w:color w:val="000000" w:themeColor="text1"/>
        </w:rPr>
        <w:t>2008;54:234</w:t>
      </w:r>
      <w:proofErr w:type="gramEnd"/>
      <w:r w:rsidRPr="005B499A">
        <w:rPr>
          <w:rFonts w:eastAsia="Times New Roman" w:cstheme="minorHAnsi"/>
          <w:color w:val="000000" w:themeColor="text1"/>
        </w:rPr>
        <w:t>-5.e1-5</w:t>
      </w:r>
    </w:p>
    <w:p w14:paraId="26C71179" w14:textId="3B884D6E" w:rsidR="00820236" w:rsidRPr="005B499A" w:rsidRDefault="00820236" w:rsidP="00820236">
      <w:pPr>
        <w:pStyle w:val="ListParagraph"/>
        <w:numPr>
          <w:ilvl w:val="0"/>
          <w:numId w:val="1"/>
        </w:numPr>
        <w:spacing w:before="240" w:after="240"/>
        <w:rPr>
          <w:rFonts w:eastAsia="Times New Roman" w:cstheme="minorHAnsi"/>
          <w:color w:val="000000" w:themeColor="text1"/>
        </w:rPr>
      </w:pPr>
      <w:r w:rsidRPr="005B499A">
        <w:rPr>
          <w:rFonts w:eastAsia="Times New Roman" w:cstheme="minorHAnsi"/>
          <w:color w:val="000000" w:themeColor="text1"/>
        </w:rPr>
        <w:t xml:space="preserve">West CP, </w:t>
      </w:r>
      <w:proofErr w:type="spellStart"/>
      <w:r w:rsidRPr="005B499A">
        <w:rPr>
          <w:rFonts w:eastAsia="Times New Roman" w:cstheme="minorHAnsi"/>
          <w:color w:val="000000" w:themeColor="text1"/>
        </w:rPr>
        <w:t>Dyrbye</w:t>
      </w:r>
      <w:proofErr w:type="spellEnd"/>
      <w:r w:rsidRPr="005B499A">
        <w:rPr>
          <w:rFonts w:eastAsia="Times New Roman" w:cstheme="minorHAnsi"/>
          <w:color w:val="000000" w:themeColor="text1"/>
        </w:rPr>
        <w:t xml:space="preserve"> LN, Erwin PJ, </w:t>
      </w:r>
      <w:proofErr w:type="spellStart"/>
      <w:r w:rsidRPr="005B499A">
        <w:rPr>
          <w:rFonts w:eastAsia="Times New Roman" w:cstheme="minorHAnsi"/>
          <w:color w:val="000000" w:themeColor="text1"/>
        </w:rPr>
        <w:t>Shanafelt</w:t>
      </w:r>
      <w:proofErr w:type="spellEnd"/>
      <w:r w:rsidRPr="005B499A">
        <w:rPr>
          <w:rFonts w:eastAsia="Times New Roman" w:cstheme="minorHAnsi"/>
          <w:color w:val="000000" w:themeColor="text1"/>
        </w:rPr>
        <w:t xml:space="preserve"> TD. Interventions to prevent and reduce physician burnout: a systematic review and meta-analysis. Lancet. 2016 Nov 5;388(10057):2272-2281. </w:t>
      </w:r>
      <w:proofErr w:type="spellStart"/>
      <w:r w:rsidRPr="005B499A">
        <w:rPr>
          <w:rFonts w:eastAsia="Times New Roman" w:cstheme="minorHAnsi"/>
          <w:color w:val="000000" w:themeColor="text1"/>
        </w:rPr>
        <w:t>doi</w:t>
      </w:r>
      <w:proofErr w:type="spellEnd"/>
      <w:r w:rsidRPr="005B499A">
        <w:rPr>
          <w:rFonts w:eastAsia="Times New Roman" w:cstheme="minorHAnsi"/>
          <w:color w:val="000000" w:themeColor="text1"/>
        </w:rPr>
        <w:t xml:space="preserve">: 10.1016/S0140-6736(16)31279-X. </w:t>
      </w:r>
      <w:proofErr w:type="spellStart"/>
      <w:r w:rsidRPr="005B499A">
        <w:rPr>
          <w:rFonts w:eastAsia="Times New Roman" w:cstheme="minorHAnsi"/>
          <w:color w:val="000000" w:themeColor="text1"/>
        </w:rPr>
        <w:t>Epub</w:t>
      </w:r>
      <w:proofErr w:type="spellEnd"/>
      <w:r w:rsidRPr="005B499A">
        <w:rPr>
          <w:rFonts w:eastAsia="Times New Roman" w:cstheme="minorHAnsi"/>
          <w:color w:val="000000" w:themeColor="text1"/>
        </w:rPr>
        <w:t xml:space="preserve"> 2016 Sep 28.</w:t>
      </w:r>
    </w:p>
    <w:p w14:paraId="0245AFA5" w14:textId="113EAC4B" w:rsidR="00820236" w:rsidRPr="005B499A" w:rsidRDefault="00820236" w:rsidP="00820236">
      <w:pPr>
        <w:pStyle w:val="ListParagraph"/>
        <w:numPr>
          <w:ilvl w:val="0"/>
          <w:numId w:val="1"/>
        </w:numPr>
        <w:spacing w:before="240" w:after="240"/>
        <w:rPr>
          <w:rFonts w:eastAsia="Times New Roman" w:cstheme="minorHAnsi"/>
          <w:color w:val="000000" w:themeColor="text1"/>
        </w:rPr>
      </w:pPr>
      <w:r w:rsidRPr="005B499A">
        <w:rPr>
          <w:rFonts w:eastAsia="Times New Roman" w:cstheme="minorHAnsi"/>
          <w:color w:val="000000" w:themeColor="text1"/>
        </w:rPr>
        <w:t xml:space="preserve">Taher, A., Hart, A., </w:t>
      </w:r>
      <w:proofErr w:type="spellStart"/>
      <w:r w:rsidRPr="005B499A">
        <w:rPr>
          <w:rFonts w:eastAsia="Times New Roman" w:cstheme="minorHAnsi"/>
          <w:color w:val="000000" w:themeColor="text1"/>
        </w:rPr>
        <w:t>Dattani</w:t>
      </w:r>
      <w:proofErr w:type="spellEnd"/>
      <w:r w:rsidRPr="005B499A">
        <w:rPr>
          <w:rFonts w:eastAsia="Times New Roman" w:cstheme="minorHAnsi"/>
          <w:color w:val="000000" w:themeColor="text1"/>
        </w:rPr>
        <w:t xml:space="preserve">, N., </w:t>
      </w:r>
      <w:proofErr w:type="spellStart"/>
      <w:r w:rsidRPr="005B499A">
        <w:rPr>
          <w:rFonts w:eastAsia="Times New Roman" w:cstheme="minorHAnsi"/>
          <w:color w:val="000000" w:themeColor="text1"/>
        </w:rPr>
        <w:t>Poonja</w:t>
      </w:r>
      <w:proofErr w:type="spellEnd"/>
      <w:r w:rsidRPr="005B499A">
        <w:rPr>
          <w:rFonts w:eastAsia="Times New Roman" w:cstheme="minorHAnsi"/>
          <w:color w:val="000000" w:themeColor="text1"/>
        </w:rPr>
        <w:t xml:space="preserve">, Z., </w:t>
      </w:r>
      <w:proofErr w:type="spellStart"/>
      <w:r w:rsidRPr="005B499A">
        <w:rPr>
          <w:rFonts w:eastAsia="Times New Roman" w:cstheme="minorHAnsi"/>
          <w:color w:val="000000" w:themeColor="text1"/>
        </w:rPr>
        <w:t>Bova</w:t>
      </w:r>
      <w:proofErr w:type="spellEnd"/>
      <w:r w:rsidRPr="005B499A">
        <w:rPr>
          <w:rFonts w:eastAsia="Times New Roman" w:cstheme="minorHAnsi"/>
          <w:color w:val="000000" w:themeColor="text1"/>
        </w:rPr>
        <w:t xml:space="preserve">, C., </w:t>
      </w:r>
      <w:proofErr w:type="spellStart"/>
      <w:r w:rsidRPr="005B499A">
        <w:rPr>
          <w:rFonts w:eastAsia="Times New Roman" w:cstheme="minorHAnsi"/>
          <w:color w:val="000000" w:themeColor="text1"/>
        </w:rPr>
        <w:t>Bandiera</w:t>
      </w:r>
      <w:proofErr w:type="spellEnd"/>
      <w:r w:rsidRPr="005B499A">
        <w:rPr>
          <w:rFonts w:eastAsia="Times New Roman" w:cstheme="minorHAnsi"/>
          <w:color w:val="000000" w:themeColor="text1"/>
        </w:rPr>
        <w:t xml:space="preserve">, G., &amp; </w:t>
      </w:r>
      <w:proofErr w:type="spellStart"/>
      <w:r w:rsidRPr="005B499A">
        <w:rPr>
          <w:rFonts w:eastAsia="Times New Roman" w:cstheme="minorHAnsi"/>
          <w:color w:val="000000" w:themeColor="text1"/>
        </w:rPr>
        <w:t>Pardhan</w:t>
      </w:r>
      <w:proofErr w:type="spellEnd"/>
      <w:r w:rsidRPr="005B499A">
        <w:rPr>
          <w:rFonts w:eastAsia="Times New Roman" w:cstheme="minorHAnsi"/>
          <w:color w:val="000000" w:themeColor="text1"/>
        </w:rPr>
        <w:t>, K. (2018). Emergency medicine resident wellness: Lessons learned from a national survey. CJEM, 20(5), 721-724. doi:10.1017/cem.2018.416</w:t>
      </w:r>
    </w:p>
    <w:p w14:paraId="4506FCBE" w14:textId="4CD7A91C" w:rsidR="00820236" w:rsidRPr="005B499A" w:rsidRDefault="00820236" w:rsidP="00820236">
      <w:pPr>
        <w:pStyle w:val="ListParagraph"/>
        <w:numPr>
          <w:ilvl w:val="0"/>
          <w:numId w:val="1"/>
        </w:numPr>
        <w:spacing w:before="240" w:after="240"/>
        <w:rPr>
          <w:rFonts w:eastAsia="Times New Roman" w:cstheme="minorHAnsi"/>
          <w:color w:val="000000" w:themeColor="text1"/>
        </w:rPr>
      </w:pPr>
      <w:proofErr w:type="spellStart"/>
      <w:r w:rsidRPr="005B499A">
        <w:rPr>
          <w:rFonts w:eastAsia="Times New Roman" w:cstheme="minorHAnsi"/>
          <w:color w:val="000000" w:themeColor="text1"/>
        </w:rPr>
        <w:t>Cydulka</w:t>
      </w:r>
      <w:proofErr w:type="spellEnd"/>
      <w:r w:rsidRPr="005B499A">
        <w:rPr>
          <w:rFonts w:eastAsia="Times New Roman" w:cstheme="minorHAnsi"/>
          <w:color w:val="000000" w:themeColor="text1"/>
        </w:rPr>
        <w:t xml:space="preserve"> Rita K, Korte Robert. Career satisfaction in emergency medicine: the ABEM longitudinal study of emergency physicians. Ann of </w:t>
      </w:r>
      <w:proofErr w:type="spellStart"/>
      <w:r w:rsidRPr="005B499A">
        <w:rPr>
          <w:rFonts w:eastAsia="Times New Roman" w:cstheme="minorHAnsi"/>
          <w:color w:val="000000" w:themeColor="text1"/>
        </w:rPr>
        <w:t>Emerg</w:t>
      </w:r>
      <w:proofErr w:type="spellEnd"/>
      <w:r w:rsidRPr="005B499A">
        <w:rPr>
          <w:rFonts w:eastAsia="Times New Roman" w:cstheme="minorHAnsi"/>
          <w:color w:val="000000" w:themeColor="text1"/>
        </w:rPr>
        <w:t xml:space="preserve"> Med. 2008;51(6):714–722. </w:t>
      </w:r>
    </w:p>
    <w:p w14:paraId="11C058F3" w14:textId="77777777" w:rsidR="00820236" w:rsidRPr="005B499A" w:rsidRDefault="00820236" w:rsidP="00820236">
      <w:pPr>
        <w:pStyle w:val="ListParagraph"/>
        <w:numPr>
          <w:ilvl w:val="0"/>
          <w:numId w:val="1"/>
        </w:numPr>
        <w:spacing w:before="240" w:after="240"/>
        <w:rPr>
          <w:rFonts w:eastAsia="Times New Roman" w:cstheme="minorHAnsi"/>
          <w:color w:val="000000" w:themeColor="text1"/>
        </w:rPr>
      </w:pPr>
      <w:r w:rsidRPr="005B499A">
        <w:rPr>
          <w:rFonts w:eastAsia="Times New Roman" w:cstheme="minorHAnsi"/>
          <w:color w:val="000000" w:themeColor="text1"/>
        </w:rPr>
        <w:t xml:space="preserve">Landon BE, </w:t>
      </w:r>
      <w:proofErr w:type="spellStart"/>
      <w:r w:rsidRPr="005B499A">
        <w:rPr>
          <w:rFonts w:eastAsia="Times New Roman" w:cstheme="minorHAnsi"/>
          <w:color w:val="000000" w:themeColor="text1"/>
        </w:rPr>
        <w:t>Reschovsky</w:t>
      </w:r>
      <w:proofErr w:type="spellEnd"/>
      <w:r w:rsidRPr="005B499A">
        <w:rPr>
          <w:rFonts w:eastAsia="Times New Roman" w:cstheme="minorHAnsi"/>
          <w:color w:val="000000" w:themeColor="text1"/>
        </w:rPr>
        <w:t xml:space="preserve"> JD, Pham HH, et al. Leaving medicine: the consequences of physician dissatisfaction. Med Care. 2006; 44:234-242.</w:t>
      </w:r>
    </w:p>
    <w:p w14:paraId="169D1688" w14:textId="77777777" w:rsidR="00820236" w:rsidRPr="005B499A" w:rsidRDefault="00820236" w:rsidP="00820236">
      <w:pPr>
        <w:pStyle w:val="ListParagraph"/>
        <w:numPr>
          <w:ilvl w:val="0"/>
          <w:numId w:val="1"/>
        </w:numPr>
        <w:spacing w:before="240" w:after="240"/>
        <w:rPr>
          <w:rFonts w:eastAsia="Times New Roman" w:cstheme="minorHAnsi"/>
          <w:color w:val="000000" w:themeColor="text1"/>
        </w:rPr>
      </w:pPr>
      <w:proofErr w:type="spellStart"/>
      <w:r w:rsidRPr="005B499A">
        <w:rPr>
          <w:rFonts w:cstheme="minorHAnsi"/>
          <w:color w:val="000000" w:themeColor="text1"/>
        </w:rPr>
        <w:t>Kimo</w:t>
      </w:r>
      <w:proofErr w:type="spellEnd"/>
      <w:r w:rsidRPr="005B499A">
        <w:rPr>
          <w:rFonts w:cstheme="minorHAnsi"/>
          <w:color w:val="000000" w:themeColor="text1"/>
        </w:rPr>
        <w:t xml:space="preserve"> </w:t>
      </w:r>
      <w:proofErr w:type="spellStart"/>
      <w:r w:rsidRPr="005B499A">
        <w:rPr>
          <w:rFonts w:cstheme="minorHAnsi"/>
          <w:color w:val="000000" w:themeColor="text1"/>
        </w:rPr>
        <w:t>Takayesu</w:t>
      </w:r>
      <w:proofErr w:type="spellEnd"/>
      <w:r w:rsidRPr="005B499A">
        <w:rPr>
          <w:rFonts w:cstheme="minorHAnsi"/>
          <w:color w:val="000000" w:themeColor="text1"/>
        </w:rPr>
        <w:t xml:space="preserve"> J, </w:t>
      </w:r>
      <w:proofErr w:type="spellStart"/>
      <w:r w:rsidRPr="005B499A">
        <w:rPr>
          <w:rFonts w:cstheme="minorHAnsi"/>
          <w:color w:val="000000" w:themeColor="text1"/>
        </w:rPr>
        <w:t>Ramoska</w:t>
      </w:r>
      <w:proofErr w:type="spellEnd"/>
      <w:r w:rsidRPr="005B499A">
        <w:rPr>
          <w:rFonts w:cstheme="minorHAnsi"/>
          <w:color w:val="000000" w:themeColor="text1"/>
        </w:rPr>
        <w:t xml:space="preserve"> EA, Clark TR, </w:t>
      </w:r>
      <w:proofErr w:type="spellStart"/>
      <w:r w:rsidRPr="005B499A">
        <w:rPr>
          <w:rFonts w:cstheme="minorHAnsi"/>
          <w:color w:val="000000" w:themeColor="text1"/>
        </w:rPr>
        <w:t>Hansoti</w:t>
      </w:r>
      <w:proofErr w:type="spellEnd"/>
      <w:r w:rsidRPr="005B499A">
        <w:rPr>
          <w:rFonts w:cstheme="minorHAnsi"/>
          <w:color w:val="000000" w:themeColor="text1"/>
        </w:rPr>
        <w:t xml:space="preserve"> B, Dougherty J, Freeman W, Weaver KR, Chang Y, Gross E. Factors associated with burnout during emergency medicine residency. Academic Emergency Medicine. 2014 Sep;21(9):1031-5.</w:t>
      </w:r>
    </w:p>
    <w:p w14:paraId="0AC9614C" w14:textId="77777777" w:rsidR="00820236" w:rsidRPr="005B499A" w:rsidRDefault="00820236" w:rsidP="00820236">
      <w:pPr>
        <w:pStyle w:val="ListParagraph"/>
        <w:numPr>
          <w:ilvl w:val="0"/>
          <w:numId w:val="1"/>
        </w:numPr>
        <w:spacing w:before="240" w:after="240"/>
        <w:rPr>
          <w:rFonts w:eastAsia="Times New Roman" w:cstheme="minorHAnsi"/>
          <w:color w:val="000000" w:themeColor="text1"/>
        </w:rPr>
      </w:pPr>
      <w:r w:rsidRPr="005B499A">
        <w:rPr>
          <w:rFonts w:cstheme="minorHAnsi"/>
          <w:color w:val="000000" w:themeColor="text1"/>
        </w:rPr>
        <w:t xml:space="preserve">Lloyd S, </w:t>
      </w:r>
      <w:proofErr w:type="spellStart"/>
      <w:r w:rsidRPr="005B499A">
        <w:rPr>
          <w:rFonts w:cstheme="minorHAnsi"/>
          <w:color w:val="000000" w:themeColor="text1"/>
        </w:rPr>
        <w:t>Streiner</w:t>
      </w:r>
      <w:proofErr w:type="spellEnd"/>
      <w:r w:rsidRPr="005B499A">
        <w:rPr>
          <w:rFonts w:cstheme="minorHAnsi"/>
          <w:color w:val="000000" w:themeColor="text1"/>
        </w:rPr>
        <w:t xml:space="preserve"> D, Shannon S. Burnout, depression, life and job satisfaction among Canadian emergency physicians. The Journal of emergency medicine. 1994 Jul 1;12(4):559-65.</w:t>
      </w:r>
    </w:p>
    <w:p w14:paraId="2F4FC4F6" w14:textId="77777777" w:rsidR="00820236" w:rsidRPr="005B499A" w:rsidRDefault="00820236" w:rsidP="00820236">
      <w:pPr>
        <w:pStyle w:val="ListParagraph"/>
        <w:numPr>
          <w:ilvl w:val="0"/>
          <w:numId w:val="1"/>
        </w:numPr>
        <w:spacing w:before="240" w:after="240"/>
        <w:rPr>
          <w:rFonts w:eastAsia="Times New Roman" w:cstheme="minorHAnsi"/>
          <w:color w:val="000000" w:themeColor="text1"/>
        </w:rPr>
      </w:pPr>
      <w:r w:rsidRPr="005B499A">
        <w:rPr>
          <w:rFonts w:cstheme="minorHAnsi"/>
          <w:color w:val="000000" w:themeColor="text1"/>
        </w:rPr>
        <w:t>Kuhn G, Goldberg R, Compton S. Tolerance for uncertainty, burnout, and satisfaction with the career of emergency medicine. Annals of emergency medicine. 2009 Jul 1;54(1):106-13.</w:t>
      </w:r>
    </w:p>
    <w:p w14:paraId="6EE6F374" w14:textId="77777777" w:rsidR="00820236" w:rsidRPr="005B499A" w:rsidRDefault="00820236" w:rsidP="00820236">
      <w:pPr>
        <w:pStyle w:val="ListParagraph"/>
        <w:numPr>
          <w:ilvl w:val="0"/>
          <w:numId w:val="1"/>
        </w:numPr>
        <w:spacing w:before="240" w:after="240"/>
        <w:rPr>
          <w:rFonts w:eastAsia="Times New Roman" w:cstheme="minorHAnsi"/>
          <w:color w:val="000000" w:themeColor="text1"/>
        </w:rPr>
      </w:pPr>
      <w:r w:rsidRPr="005B499A">
        <w:rPr>
          <w:rFonts w:cstheme="minorHAnsi"/>
          <w:color w:val="000000" w:themeColor="text1"/>
        </w:rPr>
        <w:t xml:space="preserve">Popa F, Arafat R, </w:t>
      </w:r>
      <w:proofErr w:type="spellStart"/>
      <w:r w:rsidRPr="005B499A">
        <w:rPr>
          <w:rFonts w:cstheme="minorHAnsi"/>
          <w:color w:val="000000" w:themeColor="text1"/>
        </w:rPr>
        <w:t>Purcărea</w:t>
      </w:r>
      <w:proofErr w:type="spellEnd"/>
      <w:r w:rsidRPr="005B499A">
        <w:rPr>
          <w:rFonts w:cstheme="minorHAnsi"/>
          <w:color w:val="000000" w:themeColor="text1"/>
        </w:rPr>
        <w:t xml:space="preserve"> VL, </w:t>
      </w:r>
      <w:proofErr w:type="spellStart"/>
      <w:r w:rsidRPr="005B499A">
        <w:rPr>
          <w:rFonts w:cstheme="minorHAnsi"/>
          <w:color w:val="000000" w:themeColor="text1"/>
        </w:rPr>
        <w:t>Lală</w:t>
      </w:r>
      <w:proofErr w:type="spellEnd"/>
      <w:r w:rsidRPr="005B499A">
        <w:rPr>
          <w:rFonts w:cstheme="minorHAnsi"/>
          <w:color w:val="000000" w:themeColor="text1"/>
        </w:rPr>
        <w:t xml:space="preserve"> A, </w:t>
      </w:r>
      <w:proofErr w:type="spellStart"/>
      <w:r w:rsidRPr="005B499A">
        <w:rPr>
          <w:rFonts w:cstheme="minorHAnsi"/>
          <w:color w:val="000000" w:themeColor="text1"/>
        </w:rPr>
        <w:t>Bobirnac</w:t>
      </w:r>
      <w:proofErr w:type="spellEnd"/>
      <w:r w:rsidRPr="005B499A">
        <w:rPr>
          <w:rFonts w:cstheme="minorHAnsi"/>
          <w:color w:val="000000" w:themeColor="text1"/>
        </w:rPr>
        <w:t xml:space="preserve"> G. Occupational Burnout levels in Emergency Medicine–a nationwide study and analysis. Journal of medicine and life. 2010 Aug 15;3(3):207.</w:t>
      </w:r>
    </w:p>
    <w:p w14:paraId="42EA7401" w14:textId="77777777" w:rsidR="00820236" w:rsidRPr="005B499A" w:rsidRDefault="00820236" w:rsidP="00820236">
      <w:pPr>
        <w:pStyle w:val="ListParagraph"/>
        <w:numPr>
          <w:ilvl w:val="0"/>
          <w:numId w:val="1"/>
        </w:numPr>
        <w:spacing w:before="240" w:after="240"/>
        <w:rPr>
          <w:rFonts w:eastAsia="Times New Roman" w:cstheme="minorHAnsi"/>
          <w:color w:val="000000" w:themeColor="text1"/>
        </w:rPr>
      </w:pPr>
      <w:r w:rsidRPr="005B499A">
        <w:rPr>
          <w:rFonts w:cstheme="minorHAnsi"/>
          <w:color w:val="000000" w:themeColor="text1"/>
        </w:rPr>
        <w:t xml:space="preserve">Jalili M, </w:t>
      </w:r>
      <w:proofErr w:type="spellStart"/>
      <w:r w:rsidRPr="005B499A">
        <w:rPr>
          <w:rFonts w:cstheme="minorHAnsi"/>
          <w:color w:val="000000" w:themeColor="text1"/>
        </w:rPr>
        <w:t>Roodsari</w:t>
      </w:r>
      <w:proofErr w:type="spellEnd"/>
      <w:r w:rsidRPr="005B499A">
        <w:rPr>
          <w:rFonts w:cstheme="minorHAnsi"/>
          <w:color w:val="000000" w:themeColor="text1"/>
        </w:rPr>
        <w:t xml:space="preserve"> GS, Nia AB. Burnout and associated factors among Iranian emergency medicine practitioners. Iranian journal of public health. 2013 Sep;42(9):1034.</w:t>
      </w:r>
    </w:p>
    <w:p w14:paraId="10918459" w14:textId="77777777" w:rsidR="00820236" w:rsidRPr="005B499A" w:rsidRDefault="00820236" w:rsidP="00820236">
      <w:pPr>
        <w:pStyle w:val="ListParagraph"/>
        <w:numPr>
          <w:ilvl w:val="0"/>
          <w:numId w:val="1"/>
        </w:numPr>
        <w:spacing w:before="240" w:after="240"/>
        <w:rPr>
          <w:rFonts w:eastAsia="Times New Roman" w:cstheme="minorHAnsi"/>
          <w:color w:val="000000" w:themeColor="text1"/>
        </w:rPr>
      </w:pPr>
      <w:proofErr w:type="spellStart"/>
      <w:r w:rsidRPr="005B499A">
        <w:rPr>
          <w:rFonts w:cstheme="minorHAnsi"/>
          <w:color w:val="000000" w:themeColor="text1"/>
        </w:rPr>
        <w:lastRenderedPageBreak/>
        <w:t>Bragard</w:t>
      </w:r>
      <w:proofErr w:type="spellEnd"/>
      <w:r w:rsidRPr="005B499A">
        <w:rPr>
          <w:rFonts w:cstheme="minorHAnsi"/>
          <w:color w:val="000000" w:themeColor="text1"/>
        </w:rPr>
        <w:t xml:space="preserve"> I, Dupuis G, Fleet R. Quality of work life, burnout, and stress in emergency department physicians: a qualitative review. European Journal of Emergency Medicine. 2015 Aug 1;22(4):227-34.</w:t>
      </w:r>
    </w:p>
    <w:p w14:paraId="448B7B28" w14:textId="77777777" w:rsidR="00820236" w:rsidRPr="005B499A" w:rsidRDefault="00820236" w:rsidP="00820236">
      <w:pPr>
        <w:pStyle w:val="ListParagraph"/>
        <w:numPr>
          <w:ilvl w:val="0"/>
          <w:numId w:val="1"/>
        </w:numPr>
        <w:spacing w:before="240" w:after="240"/>
        <w:rPr>
          <w:rFonts w:eastAsia="Times New Roman" w:cstheme="minorHAnsi"/>
          <w:color w:val="000000" w:themeColor="text1"/>
        </w:rPr>
      </w:pPr>
      <w:r w:rsidRPr="005B499A">
        <w:rPr>
          <w:rFonts w:cstheme="minorHAnsi"/>
          <w:color w:val="000000" w:themeColor="text1"/>
        </w:rPr>
        <w:t xml:space="preserve"> Xiao Y, Wang J, Chen S, Wu Z, Cai J, Weng Z, Li C, Zhang X. Psychological distress, burnout level and job satisfaction in emergency medicine: A cross‐sectional study of physicians in China. Emergency Medicine Australasia. 2014 Dec;26(6):538-42.</w:t>
      </w:r>
    </w:p>
    <w:p w14:paraId="4575A221" w14:textId="77777777" w:rsidR="00820236" w:rsidRPr="005B499A" w:rsidRDefault="00820236" w:rsidP="00820236">
      <w:pPr>
        <w:pStyle w:val="ListParagraph"/>
        <w:numPr>
          <w:ilvl w:val="0"/>
          <w:numId w:val="1"/>
        </w:numPr>
        <w:spacing w:before="240" w:after="240"/>
        <w:rPr>
          <w:rFonts w:eastAsia="Times New Roman" w:cstheme="minorHAnsi"/>
          <w:color w:val="000000" w:themeColor="text1"/>
        </w:rPr>
      </w:pPr>
      <w:r w:rsidRPr="005B499A">
        <w:rPr>
          <w:rFonts w:cstheme="minorHAnsi"/>
          <w:color w:val="000000" w:themeColor="text1"/>
        </w:rPr>
        <w:t>Howlett M, Doody K, Murray J, LeBlanc-</w:t>
      </w:r>
      <w:proofErr w:type="spellStart"/>
      <w:r w:rsidRPr="005B499A">
        <w:rPr>
          <w:rFonts w:cstheme="minorHAnsi"/>
          <w:color w:val="000000" w:themeColor="text1"/>
        </w:rPr>
        <w:t>Duchin</w:t>
      </w:r>
      <w:proofErr w:type="spellEnd"/>
      <w:r w:rsidRPr="005B499A">
        <w:rPr>
          <w:rFonts w:cstheme="minorHAnsi"/>
          <w:color w:val="000000" w:themeColor="text1"/>
        </w:rPr>
        <w:t xml:space="preserve"> D, Fraser J, Atkinson PR. Burnout in emergency department healthcare professionals is associated with coping style: a cross-sectional survey. </w:t>
      </w:r>
      <w:proofErr w:type="spellStart"/>
      <w:r w:rsidRPr="005B499A">
        <w:rPr>
          <w:rFonts w:cstheme="minorHAnsi"/>
          <w:color w:val="000000" w:themeColor="text1"/>
        </w:rPr>
        <w:t>Emerg</w:t>
      </w:r>
      <w:proofErr w:type="spellEnd"/>
      <w:r w:rsidRPr="005B499A">
        <w:rPr>
          <w:rFonts w:cstheme="minorHAnsi"/>
          <w:color w:val="000000" w:themeColor="text1"/>
        </w:rPr>
        <w:t xml:space="preserve"> Med J. 2015 Sep 1;32(9):722-7Wilson W, Raj JP, Narayan G, </w:t>
      </w:r>
      <w:proofErr w:type="spellStart"/>
      <w:r w:rsidRPr="005B499A">
        <w:rPr>
          <w:rFonts w:cstheme="minorHAnsi"/>
          <w:color w:val="000000" w:themeColor="text1"/>
        </w:rPr>
        <w:t>Ghiya</w:t>
      </w:r>
      <w:proofErr w:type="spellEnd"/>
      <w:r w:rsidRPr="005B499A">
        <w:rPr>
          <w:rFonts w:cstheme="minorHAnsi"/>
          <w:color w:val="000000" w:themeColor="text1"/>
        </w:rPr>
        <w:t xml:space="preserve"> M, </w:t>
      </w:r>
      <w:proofErr w:type="spellStart"/>
      <w:r w:rsidRPr="005B499A">
        <w:rPr>
          <w:rFonts w:cstheme="minorHAnsi"/>
          <w:color w:val="000000" w:themeColor="text1"/>
        </w:rPr>
        <w:t>Murty</w:t>
      </w:r>
      <w:proofErr w:type="spellEnd"/>
      <w:r w:rsidRPr="005B499A">
        <w:rPr>
          <w:rFonts w:cstheme="minorHAnsi"/>
          <w:color w:val="000000" w:themeColor="text1"/>
        </w:rPr>
        <w:t xml:space="preserve"> S, Joseph B. Quantifying burnout among emergency medicine professionals. Journal of emergencies, trauma, and shock. 2017 Oct;10(4):199.</w:t>
      </w:r>
    </w:p>
    <w:p w14:paraId="3DCB6DA3" w14:textId="77777777" w:rsidR="005553ED" w:rsidRPr="005B499A" w:rsidRDefault="00820236" w:rsidP="005553ED">
      <w:pPr>
        <w:pStyle w:val="ListParagraph"/>
        <w:numPr>
          <w:ilvl w:val="0"/>
          <w:numId w:val="1"/>
        </w:numPr>
        <w:spacing w:before="240" w:after="240"/>
        <w:rPr>
          <w:rFonts w:eastAsia="Times New Roman" w:cstheme="minorHAnsi"/>
          <w:color w:val="000000" w:themeColor="text1"/>
        </w:rPr>
      </w:pPr>
      <w:r w:rsidRPr="005B499A">
        <w:rPr>
          <w:rFonts w:cstheme="minorHAnsi"/>
          <w:color w:val="000000" w:themeColor="text1"/>
        </w:rPr>
        <w:t xml:space="preserve">Gorelick MH, </w:t>
      </w:r>
      <w:proofErr w:type="spellStart"/>
      <w:r w:rsidRPr="005B499A">
        <w:rPr>
          <w:rFonts w:cstheme="minorHAnsi"/>
          <w:color w:val="000000" w:themeColor="text1"/>
        </w:rPr>
        <w:t>Schremmer</w:t>
      </w:r>
      <w:proofErr w:type="spellEnd"/>
      <w:r w:rsidRPr="005B499A">
        <w:rPr>
          <w:rFonts w:cstheme="minorHAnsi"/>
          <w:color w:val="000000" w:themeColor="text1"/>
        </w:rPr>
        <w:t xml:space="preserve"> R, Ruch‐Ross H, </w:t>
      </w:r>
      <w:proofErr w:type="spellStart"/>
      <w:r w:rsidRPr="005B499A">
        <w:rPr>
          <w:rFonts w:cstheme="minorHAnsi"/>
          <w:color w:val="000000" w:themeColor="text1"/>
        </w:rPr>
        <w:t>Radabaugh</w:t>
      </w:r>
      <w:proofErr w:type="spellEnd"/>
      <w:r w:rsidRPr="005B499A">
        <w:rPr>
          <w:rFonts w:cstheme="minorHAnsi"/>
          <w:color w:val="000000" w:themeColor="text1"/>
        </w:rPr>
        <w:t xml:space="preserve"> C, </w:t>
      </w:r>
      <w:proofErr w:type="spellStart"/>
      <w:r w:rsidRPr="005B499A">
        <w:rPr>
          <w:rFonts w:cstheme="minorHAnsi"/>
          <w:color w:val="000000" w:themeColor="text1"/>
        </w:rPr>
        <w:t>Selbst</w:t>
      </w:r>
      <w:proofErr w:type="spellEnd"/>
      <w:r w:rsidRPr="005B499A">
        <w:rPr>
          <w:rFonts w:cstheme="minorHAnsi"/>
          <w:color w:val="000000" w:themeColor="text1"/>
        </w:rPr>
        <w:t xml:space="preserve"> S. Current workforce characteristics and burnout in pediatric emergency medicine. Academic Emergency Medicine. 2016 Jan;23(1):48-54.</w:t>
      </w:r>
    </w:p>
    <w:p w14:paraId="1AFC7F54" w14:textId="7C074412" w:rsidR="00820236" w:rsidRPr="005B499A" w:rsidRDefault="00820236" w:rsidP="005553ED">
      <w:pPr>
        <w:pStyle w:val="ListParagraph"/>
        <w:numPr>
          <w:ilvl w:val="0"/>
          <w:numId w:val="1"/>
        </w:numPr>
        <w:spacing w:before="240" w:after="240"/>
        <w:rPr>
          <w:rFonts w:eastAsia="Times New Roman" w:cstheme="minorHAnsi"/>
          <w:color w:val="000000" w:themeColor="text1"/>
        </w:rPr>
      </w:pPr>
      <w:r w:rsidRPr="005B499A">
        <w:rPr>
          <w:color w:val="000000" w:themeColor="text1"/>
        </w:rPr>
        <w:t xml:space="preserve">Schooley B, Hikmet N, </w:t>
      </w:r>
      <w:proofErr w:type="spellStart"/>
      <w:r w:rsidRPr="005B499A">
        <w:rPr>
          <w:color w:val="000000" w:themeColor="text1"/>
        </w:rPr>
        <w:t>Tarcan</w:t>
      </w:r>
      <w:proofErr w:type="spellEnd"/>
      <w:r w:rsidRPr="005B499A">
        <w:rPr>
          <w:color w:val="000000" w:themeColor="text1"/>
        </w:rPr>
        <w:t xml:space="preserve"> M, </w:t>
      </w:r>
      <w:proofErr w:type="spellStart"/>
      <w:r w:rsidRPr="005B499A">
        <w:rPr>
          <w:color w:val="000000" w:themeColor="text1"/>
        </w:rPr>
        <w:t>Yorgancioglu</w:t>
      </w:r>
      <w:proofErr w:type="spellEnd"/>
      <w:r w:rsidRPr="005B499A">
        <w:rPr>
          <w:color w:val="000000" w:themeColor="text1"/>
        </w:rPr>
        <w:t xml:space="preserve"> G. Comparing burnout across emergency physicians, nurses, technicians, and health information technicians working for the same organization. Medicine. 2016 Mar;95(10).</w:t>
      </w:r>
    </w:p>
    <w:p w14:paraId="63AD7FF2" w14:textId="63F56DB5" w:rsidR="00820236" w:rsidRPr="005B499A" w:rsidRDefault="00820236" w:rsidP="00820236">
      <w:pPr>
        <w:pStyle w:val="PlainTex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B499A">
        <w:rPr>
          <w:color w:val="000000" w:themeColor="text1"/>
          <w:sz w:val="24"/>
          <w:szCs w:val="24"/>
        </w:rPr>
        <w:t xml:space="preserve">Doan–Wiggins L, </w:t>
      </w:r>
      <w:proofErr w:type="spellStart"/>
      <w:r w:rsidRPr="005B499A">
        <w:rPr>
          <w:color w:val="000000" w:themeColor="text1"/>
          <w:sz w:val="24"/>
          <w:szCs w:val="24"/>
        </w:rPr>
        <w:t>Zun</w:t>
      </w:r>
      <w:proofErr w:type="spellEnd"/>
      <w:r w:rsidRPr="005B499A">
        <w:rPr>
          <w:color w:val="000000" w:themeColor="text1"/>
          <w:sz w:val="24"/>
          <w:szCs w:val="24"/>
        </w:rPr>
        <w:t xml:space="preserve"> L, Cooper MA, Meyers DL, Chen EH, Force FT. Practice satisfaction, occupational stress, and attrition of emergency physicians. Academic Emergency Medicine. 1995 Jun;2(6):556-63.</w:t>
      </w:r>
    </w:p>
    <w:p w14:paraId="12125D3B" w14:textId="1E1A9DFB" w:rsidR="00820236" w:rsidRPr="005B499A" w:rsidRDefault="00820236" w:rsidP="00820236">
      <w:pPr>
        <w:pStyle w:val="PlainTex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B499A">
        <w:rPr>
          <w:color w:val="000000" w:themeColor="text1"/>
          <w:sz w:val="24"/>
          <w:szCs w:val="24"/>
        </w:rPr>
        <w:t xml:space="preserve">Chen KY, Yang CM, Lien CH, </w:t>
      </w:r>
      <w:proofErr w:type="spellStart"/>
      <w:r w:rsidRPr="005B499A">
        <w:rPr>
          <w:color w:val="000000" w:themeColor="text1"/>
          <w:sz w:val="24"/>
          <w:szCs w:val="24"/>
        </w:rPr>
        <w:t>Chiou</w:t>
      </w:r>
      <w:proofErr w:type="spellEnd"/>
      <w:r w:rsidRPr="005B499A">
        <w:rPr>
          <w:color w:val="000000" w:themeColor="text1"/>
          <w:sz w:val="24"/>
          <w:szCs w:val="24"/>
        </w:rPr>
        <w:t xml:space="preserve"> HY, Lin MR, Chang HR, Chiu WT. Burnout, job satisfaction, and medical malpractice among physicians. International journal of medical sciences. 2013;10(11):1471.</w:t>
      </w:r>
    </w:p>
    <w:p w14:paraId="457C0FDC" w14:textId="252F3D4C" w:rsidR="00820236" w:rsidRPr="005B499A" w:rsidRDefault="00820236" w:rsidP="00820236">
      <w:pPr>
        <w:pStyle w:val="PlainTex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B499A">
        <w:rPr>
          <w:color w:val="000000" w:themeColor="text1"/>
          <w:sz w:val="24"/>
          <w:szCs w:val="24"/>
        </w:rPr>
        <w:t xml:space="preserve">Stehman CR, </w:t>
      </w:r>
      <w:proofErr w:type="spellStart"/>
      <w:r w:rsidRPr="005B499A">
        <w:rPr>
          <w:color w:val="000000" w:themeColor="text1"/>
          <w:sz w:val="24"/>
          <w:szCs w:val="24"/>
        </w:rPr>
        <w:t>Testo</w:t>
      </w:r>
      <w:proofErr w:type="spellEnd"/>
      <w:r w:rsidRPr="005B499A">
        <w:rPr>
          <w:color w:val="000000" w:themeColor="text1"/>
          <w:sz w:val="24"/>
          <w:szCs w:val="24"/>
        </w:rPr>
        <w:t xml:space="preserve"> Z, </w:t>
      </w:r>
      <w:proofErr w:type="spellStart"/>
      <w:r w:rsidRPr="005B499A">
        <w:rPr>
          <w:color w:val="000000" w:themeColor="text1"/>
          <w:sz w:val="24"/>
          <w:szCs w:val="24"/>
        </w:rPr>
        <w:t>Gershaw</w:t>
      </w:r>
      <w:proofErr w:type="spellEnd"/>
      <w:r w:rsidRPr="005B499A">
        <w:rPr>
          <w:color w:val="000000" w:themeColor="text1"/>
          <w:sz w:val="24"/>
          <w:szCs w:val="24"/>
        </w:rPr>
        <w:t xml:space="preserve"> RS, Kellogg AR. Burnout, drop out, suicide: physician loss in emergency medicine, part I. Western journal of emergency medicine. 2019 May;20(3):485.</w:t>
      </w:r>
    </w:p>
    <w:p w14:paraId="71E3E4D2" w14:textId="77777777" w:rsidR="005B499A" w:rsidRPr="005B499A" w:rsidRDefault="00820236" w:rsidP="005553ED">
      <w:pPr>
        <w:pStyle w:val="PlainText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 w:rsidRPr="005B499A">
        <w:rPr>
          <w:color w:val="000000" w:themeColor="text1"/>
          <w:sz w:val="24"/>
          <w:szCs w:val="24"/>
        </w:rPr>
        <w:t>Soltanifar</w:t>
      </w:r>
      <w:proofErr w:type="spellEnd"/>
      <w:r w:rsidRPr="005B499A">
        <w:rPr>
          <w:color w:val="000000" w:themeColor="text1"/>
          <w:sz w:val="24"/>
          <w:szCs w:val="24"/>
        </w:rPr>
        <w:t xml:space="preserve"> A, </w:t>
      </w:r>
      <w:proofErr w:type="spellStart"/>
      <w:r w:rsidRPr="005B499A">
        <w:rPr>
          <w:color w:val="000000" w:themeColor="text1"/>
          <w:sz w:val="24"/>
          <w:szCs w:val="24"/>
        </w:rPr>
        <w:t>Pishbin</w:t>
      </w:r>
      <w:proofErr w:type="spellEnd"/>
      <w:r w:rsidRPr="005B499A">
        <w:rPr>
          <w:color w:val="000000" w:themeColor="text1"/>
          <w:sz w:val="24"/>
          <w:szCs w:val="24"/>
        </w:rPr>
        <w:t xml:space="preserve"> E, Attaran </w:t>
      </w:r>
      <w:proofErr w:type="spellStart"/>
      <w:r w:rsidRPr="005B499A">
        <w:rPr>
          <w:color w:val="000000" w:themeColor="text1"/>
          <w:sz w:val="24"/>
          <w:szCs w:val="24"/>
        </w:rPr>
        <w:t>Mashhadi</w:t>
      </w:r>
      <w:proofErr w:type="spellEnd"/>
      <w:r w:rsidRPr="005B499A">
        <w:rPr>
          <w:color w:val="000000" w:themeColor="text1"/>
          <w:sz w:val="24"/>
          <w:szCs w:val="24"/>
        </w:rPr>
        <w:t xml:space="preserve"> N, Najaf Najafi M, </w:t>
      </w:r>
      <w:proofErr w:type="spellStart"/>
      <w:r w:rsidRPr="005B499A">
        <w:rPr>
          <w:color w:val="000000" w:themeColor="text1"/>
          <w:sz w:val="24"/>
          <w:szCs w:val="24"/>
        </w:rPr>
        <w:t>Siahtir</w:t>
      </w:r>
      <w:proofErr w:type="spellEnd"/>
      <w:r w:rsidRPr="005B499A">
        <w:rPr>
          <w:color w:val="000000" w:themeColor="text1"/>
          <w:sz w:val="24"/>
          <w:szCs w:val="24"/>
        </w:rPr>
        <w:t xml:space="preserve"> M. Burnout among female emergency medicine physicians: a nationwide study. Emergency Medicine Australasia. 2018 Aug;30(4):517-22.</w:t>
      </w:r>
    </w:p>
    <w:p w14:paraId="5A50DB6B" w14:textId="7F49AC44" w:rsidR="005B499A" w:rsidRPr="005B499A" w:rsidRDefault="005553ED" w:rsidP="005553ED">
      <w:pPr>
        <w:pStyle w:val="PlainTex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B499A">
        <w:rPr>
          <w:sz w:val="24"/>
          <w:szCs w:val="24"/>
        </w:rPr>
        <w:t xml:space="preserve">Peckham C, (2018, January 17). Medscape National Physician Burnout, Depression &amp; Suicide Report 2018. Retrieved from https://www.medscape.com/slideshow/2018-lifestyle-burnout-depression6009235#4 37. Kane L, (2019 January 16) Medscape National Physician Burnout, Depression &amp; Suicide Report 2019. Retrieved from </w:t>
      </w:r>
      <w:hyperlink r:id="rId5" w:anchor="29" w:history="1">
        <w:r w:rsidR="005B499A" w:rsidRPr="005B499A">
          <w:rPr>
            <w:rStyle w:val="Hyperlink"/>
            <w:sz w:val="24"/>
            <w:szCs w:val="24"/>
          </w:rPr>
          <w:t>https://www.medscape.com/slideshow/2019-lifestyle-burnout-depression6011056#29</w:t>
        </w:r>
      </w:hyperlink>
      <w:r w:rsidRPr="005B499A">
        <w:rPr>
          <w:sz w:val="24"/>
          <w:szCs w:val="24"/>
        </w:rPr>
        <w:t xml:space="preserve"> </w:t>
      </w:r>
    </w:p>
    <w:p w14:paraId="3F27212A" w14:textId="77777777" w:rsidR="005B499A" w:rsidRPr="005B499A" w:rsidRDefault="005553ED" w:rsidP="005553ED">
      <w:pPr>
        <w:pStyle w:val="PlainTex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B499A">
        <w:rPr>
          <w:sz w:val="24"/>
          <w:szCs w:val="24"/>
        </w:rPr>
        <w:t xml:space="preserve">Canadian Medical Association (2018 October) CMA National Physician Health Survey: A National Snapshot. Retrieved from https://www.cma.ca/sites/default/files/pdf/Media-Releases/nph-survey-e.pdf </w:t>
      </w:r>
    </w:p>
    <w:p w14:paraId="2304F083" w14:textId="6224F711" w:rsidR="005553ED" w:rsidRPr="005B499A" w:rsidRDefault="005553ED" w:rsidP="005553ED">
      <w:pPr>
        <w:pStyle w:val="PlainTex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B499A">
        <w:rPr>
          <w:sz w:val="24"/>
          <w:szCs w:val="24"/>
        </w:rPr>
        <w:t>Davies M, (2013 June 4) Revealed: Half of GPs at high risk of burnout. Retrieved from http://www.pulsetoday.co.uk/home/battling-burnout/revealedhalf-of-gps-at-high-risk-of-burnout/20003157.article#.VW2B5UaRa4E</w:t>
      </w:r>
    </w:p>
    <w:p w14:paraId="2F83560A" w14:textId="77777777" w:rsidR="005553ED" w:rsidRPr="00820236" w:rsidRDefault="005553ED" w:rsidP="0037478D">
      <w:pPr>
        <w:autoSpaceDE w:val="0"/>
        <w:autoSpaceDN w:val="0"/>
        <w:adjustRightInd w:val="0"/>
        <w:rPr>
          <w:color w:val="000000" w:themeColor="text1"/>
        </w:rPr>
      </w:pPr>
    </w:p>
    <w:sectPr w:rsidR="005553ED" w:rsidRPr="00820236" w:rsidSect="00752B2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A7963"/>
    <w:multiLevelType w:val="hybridMultilevel"/>
    <w:tmpl w:val="D4C62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8D"/>
    <w:rsid w:val="001E0042"/>
    <w:rsid w:val="001E687B"/>
    <w:rsid w:val="0037478D"/>
    <w:rsid w:val="005553ED"/>
    <w:rsid w:val="005B499A"/>
    <w:rsid w:val="00790AA2"/>
    <w:rsid w:val="00804758"/>
    <w:rsid w:val="00820236"/>
    <w:rsid w:val="00A221EE"/>
    <w:rsid w:val="00B5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239C"/>
  <w15:chartTrackingRefBased/>
  <w15:docId w15:val="{B721ACCB-4489-C74B-943C-570DBB9C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3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2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023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82023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236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236"/>
    <w:rPr>
      <w:rFonts w:ascii="Times New Roman" w:hAnsi="Times New Roman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20236"/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20236"/>
    <w:rPr>
      <w:rFonts w:ascii="Calibri" w:hAnsi="Calibri"/>
      <w:sz w:val="22"/>
      <w:szCs w:val="21"/>
      <w:lang w:val="en-US"/>
    </w:rPr>
  </w:style>
  <w:style w:type="table" w:styleId="TableGrid">
    <w:name w:val="Table Grid"/>
    <w:basedOn w:val="TableNormal"/>
    <w:uiPriority w:val="59"/>
    <w:rsid w:val="00804758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dscape.com/slideshow/2019-lifestyle-burnout-depression60110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Rodrick Lim</dc:creator>
  <cp:keywords/>
  <dc:description/>
  <cp:lastModifiedBy>Fraser, Jacqueline (HorizonNB)</cp:lastModifiedBy>
  <cp:revision>2</cp:revision>
  <cp:lastPrinted>2020-06-06T17:39:00Z</cp:lastPrinted>
  <dcterms:created xsi:type="dcterms:W3CDTF">2020-06-16T13:45:00Z</dcterms:created>
  <dcterms:modified xsi:type="dcterms:W3CDTF">2020-06-16T13:45:00Z</dcterms:modified>
</cp:coreProperties>
</file>