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6F6" w:rsidRDefault="00B8347A" w:rsidP="00B42D6F">
      <w:pPr>
        <w:pStyle w:val="NoSpacing"/>
      </w:pPr>
      <w:r w:rsidRPr="00B8347A">
        <w:t xml:space="preserve">Matthew </w:t>
      </w:r>
      <w:r>
        <w:t xml:space="preserve">M. </w:t>
      </w:r>
      <w:r w:rsidR="00D316F6" w:rsidRPr="00A86967">
        <w:t>Singer,</w:t>
      </w:r>
      <w:bookmarkStart w:id="0" w:name="_GoBack"/>
      <w:bookmarkEnd w:id="0"/>
      <w:r w:rsidR="00D316F6" w:rsidRPr="00A86967">
        <w:t xml:space="preserve"> Informal Sector Work and Evaluations of the Incumbent</w:t>
      </w:r>
      <w:r w:rsidRPr="00B8347A">
        <w:t>: The Electoral Effect of Vulnerability</w:t>
      </w:r>
      <w:r>
        <w:t xml:space="preserve"> on Economic Voting</w:t>
      </w:r>
    </w:p>
    <w:p w:rsidR="00214FC2" w:rsidRPr="00214FC2" w:rsidRDefault="00214FC2" w:rsidP="00214FC2">
      <w:pPr>
        <w:autoSpaceDN w:val="0"/>
        <w:rPr>
          <w:rFonts w:eastAsia="Times New Roman"/>
          <w:kern w:val="28"/>
          <w:lang w:bidi="ar-SA"/>
        </w:rPr>
      </w:pPr>
      <w:r w:rsidRPr="00214FC2">
        <w:rPr>
          <w:rFonts w:eastAsia="Times New Roman"/>
          <w:i/>
          <w:kern w:val="28"/>
          <w:lang w:bidi="ar-SA"/>
        </w:rPr>
        <w:t>Latin American Politics and Society</w:t>
      </w:r>
      <w:r w:rsidRPr="00214FC2">
        <w:rPr>
          <w:rFonts w:eastAsia="Times New Roman"/>
          <w:kern w:val="28"/>
          <w:lang w:bidi="ar-SA"/>
        </w:rPr>
        <w:t xml:space="preserve"> vol. 58, no. 2 (Summer 2016)</w:t>
      </w:r>
    </w:p>
    <w:p w:rsidR="00D316F6" w:rsidRDefault="00D316F6" w:rsidP="00B42D6F">
      <w:pPr>
        <w:pStyle w:val="NoSpacing"/>
      </w:pPr>
    </w:p>
    <w:p w:rsidR="00B8347A" w:rsidRDefault="00B8347A" w:rsidP="00B42D6F">
      <w:pPr>
        <w:pStyle w:val="NoSpacing"/>
      </w:pPr>
    </w:p>
    <w:p w:rsidR="00B8347A" w:rsidRPr="00A86967" w:rsidRDefault="00B8347A" w:rsidP="00B42D6F">
      <w:pPr>
        <w:pStyle w:val="NoSpacing"/>
      </w:pPr>
    </w:p>
    <w:p w:rsidR="00D61E6A" w:rsidRDefault="00D61E6A" w:rsidP="00B42D6F">
      <w:pPr>
        <w:pStyle w:val="NoSpacing"/>
        <w:rPr>
          <w:b/>
        </w:rPr>
      </w:pPr>
      <w:r>
        <w:rPr>
          <w:b/>
        </w:rPr>
        <w:t>Web Appendix 1: Questions and Codes Used in the 2005 Buenos Aires Survey</w:t>
      </w:r>
    </w:p>
    <w:p w:rsidR="00D61E6A" w:rsidRDefault="00D61E6A" w:rsidP="00B42D6F">
      <w:pPr>
        <w:pStyle w:val="NoSpacing"/>
        <w:rPr>
          <w:b/>
        </w:rPr>
      </w:pPr>
    </w:p>
    <w:p w:rsidR="00534A1D" w:rsidRDefault="00534A1D" w:rsidP="00B42D6F">
      <w:pPr>
        <w:spacing w:after="240"/>
      </w:pPr>
      <w:r>
        <w:rPr>
          <w:i/>
        </w:rPr>
        <w:t>Vote for Kirchner</w:t>
      </w:r>
      <w:r>
        <w:t xml:space="preserve">: The dependent variable is a dummy variable coded from a closed-ended question “If today were the presidential election, whom would you vote for?”  Respondents who specifically named Kirchner were coded as 1, all others were coded as 0.  </w:t>
      </w:r>
    </w:p>
    <w:p w:rsidR="00D61E6A" w:rsidRPr="00083038" w:rsidRDefault="00D61E6A" w:rsidP="00B42D6F">
      <w:pPr>
        <w:rPr>
          <w:rFonts w:eastAsia="Times New Roman"/>
          <w:color w:val="000000"/>
          <w:lang w:bidi="ar-SA"/>
        </w:rPr>
      </w:pPr>
      <w:r w:rsidRPr="009550DD">
        <w:rPr>
          <w:rFonts w:eastAsia="Times New Roman"/>
          <w:color w:val="000000"/>
          <w:lang w:bidi="ar-SA"/>
        </w:rPr>
        <w:t>[Informal Sector</w:t>
      </w:r>
      <w:r w:rsidR="00534A1D" w:rsidRPr="009550DD">
        <w:rPr>
          <w:rFonts w:eastAsia="Times New Roman"/>
          <w:color w:val="000000"/>
          <w:lang w:bidi="ar-SA"/>
        </w:rPr>
        <w:t xml:space="preserve"> Measurement]: </w:t>
      </w:r>
      <w:r w:rsidR="009550DD" w:rsidRPr="009550DD">
        <w:rPr>
          <w:rFonts w:eastAsia="Times New Roman"/>
          <w:color w:val="000000"/>
          <w:lang w:bidi="ar-SA"/>
        </w:rPr>
        <w:t>Generated from three questions, as described in the text: Does the principal source of household income have a formal contract with his employer?, In the head of households' work, does his or her employer withhold payments for retirement/pensions?, In his work, does the principal income source get paid sick leave?.  Three dummy variables are created from these measures, with 1 representing an affirmative answer. Two additional variables are generated from their combination: one representing their sum (from 0-3) and a dummy that takes the value of 1 if they sum to 3 and 0 otherwise.  For the combined measures, non-respondents on any question are coded as missing for the index.</w:t>
      </w:r>
      <w:r w:rsidR="009550DD">
        <w:rPr>
          <w:rFonts w:eastAsia="Times New Roman"/>
          <w:color w:val="000000"/>
          <w:lang w:bidi="ar-SA"/>
        </w:rPr>
        <w:t xml:space="preserve">  </w:t>
      </w:r>
    </w:p>
    <w:p w:rsidR="00D61E6A" w:rsidRPr="00083038" w:rsidRDefault="00D61E6A" w:rsidP="00B42D6F">
      <w:pPr>
        <w:rPr>
          <w:rFonts w:eastAsia="Times New Roman"/>
          <w:color w:val="000000"/>
          <w:lang w:bidi="ar-SA"/>
        </w:rPr>
      </w:pPr>
    </w:p>
    <w:p w:rsidR="00534A1D" w:rsidRDefault="00D61E6A" w:rsidP="00B42D6F">
      <w:pPr>
        <w:spacing w:after="240"/>
        <w:rPr>
          <w:i/>
        </w:rPr>
      </w:pPr>
      <w:r>
        <w:rPr>
          <w:rFonts w:eastAsia="Times New Roman"/>
          <w:color w:val="000000"/>
          <w:lang w:bidi="ar-SA"/>
        </w:rPr>
        <w:t>Sociotropic Prospective Economic Expectation</w:t>
      </w:r>
      <w:r w:rsidR="00534A1D">
        <w:rPr>
          <w:rFonts w:eastAsia="Times New Roman"/>
          <w:color w:val="000000"/>
          <w:lang w:bidi="ar-SA"/>
        </w:rPr>
        <w:t xml:space="preserve">: </w:t>
      </w:r>
      <w:r w:rsidR="00534A1D">
        <w:t xml:space="preserve">A 4-point variable coded from the question “With respect to the future of the country over the next year, how do you think things will be over the next few months?”  Possible responses are [0] Worse, [1] the same-bad, [2] the same-good, and [3] better.  </w:t>
      </w:r>
    </w:p>
    <w:p w:rsidR="00534A1D" w:rsidRDefault="00D61E6A" w:rsidP="00B42D6F">
      <w:r w:rsidRPr="00534A1D">
        <w:rPr>
          <w:rFonts w:eastAsia="Times New Roman"/>
          <w:i/>
          <w:color w:val="000000"/>
          <w:lang w:bidi="ar-SA"/>
        </w:rPr>
        <w:t>Peronist Party Identifier</w:t>
      </w:r>
      <w:r w:rsidR="00534A1D">
        <w:rPr>
          <w:rFonts w:eastAsia="Times New Roman"/>
          <w:color w:val="000000"/>
          <w:lang w:bidi="ar-SA"/>
        </w:rPr>
        <w:t xml:space="preserve">: Respondents were asked “which party do you consider yourself a sympathizer with?”  </w:t>
      </w:r>
      <w:r w:rsidR="00534A1D">
        <w:t xml:space="preserve">A dummy variable that takes the value of 1 if the respondent considers herself a peronist sympathizer and 0 otherwise.  </w:t>
      </w:r>
    </w:p>
    <w:p w:rsidR="00534A1D" w:rsidRDefault="00534A1D" w:rsidP="00B42D6F"/>
    <w:p w:rsidR="00D61E6A" w:rsidRPr="00534A1D" w:rsidRDefault="00D61E6A" w:rsidP="00B42D6F">
      <w:pPr>
        <w:rPr>
          <w:rFonts w:eastAsia="Times New Roman"/>
          <w:color w:val="000000"/>
          <w:lang w:bidi="ar-SA"/>
        </w:rPr>
      </w:pPr>
      <w:r w:rsidRPr="00534A1D">
        <w:rPr>
          <w:rFonts w:eastAsia="Times New Roman"/>
          <w:i/>
          <w:color w:val="000000"/>
          <w:lang w:bidi="ar-SA"/>
        </w:rPr>
        <w:t>No Party Identification</w:t>
      </w:r>
      <w:r w:rsidR="00534A1D">
        <w:rPr>
          <w:rFonts w:eastAsia="Times New Roman"/>
          <w:color w:val="000000"/>
          <w:lang w:bidi="ar-SA"/>
        </w:rPr>
        <w:t xml:space="preserve">: From the party sympathy question, a dummy variable that takes the value of 1 if the respondent said “none” or “am independent” and 0 otherwise.  </w:t>
      </w:r>
    </w:p>
    <w:p w:rsidR="00D61E6A" w:rsidRPr="00083038" w:rsidRDefault="00D61E6A" w:rsidP="00B42D6F">
      <w:pPr>
        <w:rPr>
          <w:rFonts w:eastAsia="Times New Roman"/>
          <w:color w:val="000000"/>
          <w:lang w:bidi="ar-SA"/>
        </w:rPr>
      </w:pPr>
    </w:p>
    <w:p w:rsidR="00D61E6A" w:rsidRPr="00534A1D" w:rsidRDefault="00D61E6A" w:rsidP="00B42D6F">
      <w:pPr>
        <w:rPr>
          <w:rFonts w:eastAsia="Times New Roman"/>
          <w:color w:val="000000"/>
          <w:lang w:bidi="ar-SA"/>
        </w:rPr>
      </w:pPr>
      <w:r w:rsidRPr="00534A1D">
        <w:rPr>
          <w:rFonts w:eastAsia="Times New Roman"/>
          <w:i/>
          <w:color w:val="000000"/>
          <w:lang w:bidi="ar-SA"/>
        </w:rPr>
        <w:t>Income Sufficient to Meet Needs</w:t>
      </w:r>
      <w:r w:rsidR="00534A1D">
        <w:rPr>
          <w:rFonts w:eastAsia="Times New Roman"/>
          <w:color w:val="000000"/>
          <w:lang w:bidi="ar-SA"/>
        </w:rPr>
        <w:t xml:space="preserve">: A 4 point variable coded from the question “during the past year, could your family [0] had to borrow money, [1] spent savings, [2] barely made ends meet, [3] was able to save.  </w:t>
      </w:r>
    </w:p>
    <w:p w:rsidR="00D61E6A" w:rsidRPr="00083038" w:rsidRDefault="00D61E6A" w:rsidP="00B42D6F">
      <w:pPr>
        <w:rPr>
          <w:rFonts w:eastAsia="Times New Roman"/>
          <w:color w:val="000000"/>
          <w:lang w:bidi="ar-SA"/>
        </w:rPr>
      </w:pPr>
    </w:p>
    <w:p w:rsidR="00534A1D" w:rsidRDefault="00534A1D" w:rsidP="00B42D6F">
      <w:pPr>
        <w:spacing w:after="240"/>
      </w:pPr>
      <w:r>
        <w:rPr>
          <w:i/>
        </w:rPr>
        <w:t>Age</w:t>
      </w:r>
      <w:r>
        <w:t>: Age in years</w:t>
      </w:r>
    </w:p>
    <w:p w:rsidR="00534A1D" w:rsidRDefault="00534A1D" w:rsidP="00B42D6F">
      <w:pPr>
        <w:spacing w:after="240"/>
      </w:pPr>
      <w:r>
        <w:rPr>
          <w:i/>
        </w:rPr>
        <w:t>Education Level</w:t>
      </w:r>
      <w:r>
        <w:t xml:space="preserve">: A categorical variable taking three values: [0] for all respondents with an incomplete secondary education or less, [4] for all respondents with at least a secondary education but who did not finish the university, and [13] for those who completed the university.  </w:t>
      </w:r>
    </w:p>
    <w:p w:rsidR="00534A1D" w:rsidRDefault="00534A1D" w:rsidP="00B42D6F">
      <w:pPr>
        <w:spacing w:after="240"/>
      </w:pPr>
      <w:r>
        <w:rPr>
          <w:i/>
        </w:rPr>
        <w:lastRenderedPageBreak/>
        <w:t>Male</w:t>
      </w:r>
      <w:r>
        <w:t xml:space="preserve">: A dummy variable that takes the value of 1 if the respondent is male and 0 if she is female.  </w:t>
      </w:r>
    </w:p>
    <w:p w:rsidR="00534A1D" w:rsidRDefault="00D61E6A" w:rsidP="00B42D6F">
      <w:pPr>
        <w:spacing w:after="240"/>
      </w:pPr>
      <w:r w:rsidRPr="00534A1D">
        <w:rPr>
          <w:rFonts w:eastAsia="Times New Roman"/>
          <w:i/>
          <w:color w:val="000000"/>
          <w:lang w:bidi="ar-SA"/>
        </w:rPr>
        <w:t>Lives Outside Capital</w:t>
      </w:r>
      <w:r w:rsidR="00534A1D">
        <w:rPr>
          <w:rFonts w:eastAsia="Times New Roman"/>
          <w:color w:val="000000"/>
          <w:lang w:bidi="ar-SA"/>
        </w:rPr>
        <w:t xml:space="preserve">: </w:t>
      </w:r>
      <w:r w:rsidR="00534A1D">
        <w:t xml:space="preserve">A dummy variable that takes the value of 0 if the respondent lived in the capital district and 1 if he or she lived in the suburbs of greater Buenos Aires.  </w:t>
      </w:r>
    </w:p>
    <w:p w:rsidR="00905A85" w:rsidRDefault="00905A85" w:rsidP="00B42D6F">
      <w:pPr>
        <w:pStyle w:val="NoSpacing"/>
        <w:widowControl w:val="0"/>
        <w:spacing w:line="480" w:lineRule="auto"/>
        <w:rPr>
          <w:b/>
          <w:szCs w:val="24"/>
        </w:rPr>
      </w:pPr>
    </w:p>
    <w:p w:rsidR="00905A85" w:rsidRDefault="00905A85" w:rsidP="00B42D6F">
      <w:pPr>
        <w:pStyle w:val="NoSpacing"/>
        <w:widowControl w:val="0"/>
        <w:spacing w:line="480" w:lineRule="auto"/>
        <w:rPr>
          <w:b/>
          <w:szCs w:val="24"/>
        </w:rPr>
      </w:pPr>
    </w:p>
    <w:p w:rsidR="00905A85" w:rsidRDefault="00905A85" w:rsidP="00B42D6F">
      <w:pPr>
        <w:pStyle w:val="NoSpacing"/>
        <w:widowControl w:val="0"/>
        <w:spacing w:line="480" w:lineRule="auto"/>
        <w:rPr>
          <w:b/>
          <w:szCs w:val="24"/>
        </w:rPr>
      </w:pPr>
    </w:p>
    <w:p w:rsidR="002152FB" w:rsidRPr="00323513" w:rsidRDefault="002152FB" w:rsidP="00B42D6F">
      <w:pPr>
        <w:pStyle w:val="NoSpacing"/>
        <w:widowControl w:val="0"/>
        <w:spacing w:line="480" w:lineRule="auto"/>
        <w:rPr>
          <w:b/>
          <w:szCs w:val="24"/>
        </w:rPr>
      </w:pPr>
      <w:r>
        <w:rPr>
          <w:b/>
          <w:szCs w:val="24"/>
        </w:rPr>
        <w:t xml:space="preserve">Web Appendix 2: </w:t>
      </w:r>
      <w:r w:rsidRPr="00323513">
        <w:rPr>
          <w:b/>
          <w:szCs w:val="24"/>
        </w:rPr>
        <w:t>Government Approval, Urban Centers and Selected Rural Areas, 2006</w:t>
      </w:r>
    </w:p>
    <w:p w:rsidR="002152FB" w:rsidRPr="00323513" w:rsidRDefault="002152FB" w:rsidP="00B42D6F">
      <w:pPr>
        <w:pStyle w:val="NoSpacing"/>
        <w:widowControl w:val="0"/>
        <w:spacing w:line="480" w:lineRule="auto"/>
        <w:rPr>
          <w:i/>
          <w:szCs w:val="24"/>
        </w:rPr>
      </w:pPr>
      <w:r w:rsidRPr="00323513">
        <w:rPr>
          <w:i/>
          <w:szCs w:val="24"/>
        </w:rPr>
        <w:t>Data</w:t>
      </w:r>
    </w:p>
    <w:p w:rsidR="002152FB" w:rsidRPr="00323513" w:rsidRDefault="002152FB" w:rsidP="00B42D6F">
      <w:pPr>
        <w:pStyle w:val="NoSpacing"/>
        <w:widowControl w:val="0"/>
        <w:spacing w:line="480" w:lineRule="auto"/>
        <w:ind w:firstLine="720"/>
        <w:rPr>
          <w:szCs w:val="24"/>
        </w:rPr>
      </w:pPr>
      <w:r w:rsidRPr="00323513">
        <w:rPr>
          <w:szCs w:val="24"/>
        </w:rPr>
        <w:t>The initial results from Greater Buenos Aires provide evidence that informal employment enhances the economy’s salience.</w:t>
      </w:r>
      <w:r>
        <w:rPr>
          <w:szCs w:val="24"/>
        </w:rPr>
        <w:t xml:space="preserve"> </w:t>
      </w:r>
      <w:r w:rsidRPr="00323513">
        <w:rPr>
          <w:szCs w:val="24"/>
        </w:rPr>
        <w:t>There is a significant interactive effect between sociotropic perceptions and informal status no matter how informality is operationalized.</w:t>
      </w:r>
      <w:r>
        <w:rPr>
          <w:szCs w:val="24"/>
        </w:rPr>
        <w:t xml:space="preserve"> </w:t>
      </w:r>
      <w:r w:rsidRPr="00323513">
        <w:rPr>
          <w:szCs w:val="24"/>
        </w:rPr>
        <w:t>The analysis is limited, however, by its small size and its limited geographic scope.</w:t>
      </w:r>
      <w:r>
        <w:rPr>
          <w:szCs w:val="24"/>
        </w:rPr>
        <w:t xml:space="preserve"> </w:t>
      </w:r>
    </w:p>
    <w:p w:rsidR="002152FB" w:rsidRPr="00323513" w:rsidRDefault="002152FB" w:rsidP="00B42D6F">
      <w:pPr>
        <w:pStyle w:val="NoSpacing"/>
        <w:widowControl w:val="0"/>
        <w:spacing w:line="480" w:lineRule="auto"/>
        <w:ind w:firstLine="720"/>
        <w:rPr>
          <w:szCs w:val="24"/>
        </w:rPr>
      </w:pPr>
      <w:r w:rsidRPr="00323513">
        <w:rPr>
          <w:szCs w:val="24"/>
        </w:rPr>
        <w:t xml:space="preserve">To further explore the effect of informality on how citizens evaluate political leaders, I added a question on informal employment to an omnibus survey conducted by the polling firm </w:t>
      </w:r>
      <w:r w:rsidRPr="00323513">
        <w:rPr>
          <w:i/>
          <w:iCs/>
          <w:szCs w:val="24"/>
        </w:rPr>
        <w:t>IPOSOS Mora y Araujo</w:t>
      </w:r>
      <w:r w:rsidRPr="00323513">
        <w:rPr>
          <w:szCs w:val="24"/>
        </w:rPr>
        <w:t xml:space="preserve"> in June 2006.</w:t>
      </w:r>
      <w:r>
        <w:rPr>
          <w:szCs w:val="24"/>
        </w:rPr>
        <w:t xml:space="preserve"> </w:t>
      </w:r>
      <w:r w:rsidRPr="00323513">
        <w:rPr>
          <w:szCs w:val="24"/>
        </w:rPr>
        <w:t xml:space="preserve">While this survey is not truly national in scope (very few surveys in Argentina at the time used </w:t>
      </w:r>
      <w:r>
        <w:rPr>
          <w:szCs w:val="24"/>
        </w:rPr>
        <w:t>true</w:t>
      </w:r>
      <w:r w:rsidRPr="00323513">
        <w:rPr>
          <w:szCs w:val="24"/>
        </w:rPr>
        <w:t xml:space="preserve"> national samples except during election</w:t>
      </w:r>
      <w:r>
        <w:rPr>
          <w:szCs w:val="24"/>
        </w:rPr>
        <w:t>s</w:t>
      </w:r>
      <w:r w:rsidRPr="00323513">
        <w:rPr>
          <w:szCs w:val="24"/>
        </w:rPr>
        <w:t>), it includes face-to-face interviews with nearly 1200 citizens from GBA, other large urban centers (Mar del Plata, Rosario, Cordoba, Mendoza, and Neuquén), and a couple of smaller cities and rural areas (General Paz, Olavarría, and rural Buenos Aires Province).</w:t>
      </w:r>
      <w:r>
        <w:rPr>
          <w:szCs w:val="24"/>
        </w:rPr>
        <w:t xml:space="preserve"> </w:t>
      </w:r>
      <w:r w:rsidRPr="00323513">
        <w:rPr>
          <w:szCs w:val="24"/>
        </w:rPr>
        <w:t>These cities represent over 75% of Argentina’s population and the major geographic regions of the country.</w:t>
      </w:r>
      <w:r>
        <w:rPr>
          <w:szCs w:val="24"/>
        </w:rPr>
        <w:t xml:space="preserve"> </w:t>
      </w:r>
      <w:r w:rsidRPr="00323513">
        <w:rPr>
          <w:szCs w:val="24"/>
        </w:rPr>
        <w:t>The interviews were conducted face-to-face over a two week period.</w:t>
      </w:r>
      <w:r>
        <w:rPr>
          <w:szCs w:val="24"/>
        </w:rPr>
        <w:t xml:space="preserve"> </w:t>
      </w:r>
    </w:p>
    <w:p w:rsidR="002152FB" w:rsidRPr="00323513" w:rsidRDefault="002152FB" w:rsidP="00B42D6F">
      <w:pPr>
        <w:pStyle w:val="NoSpacing"/>
        <w:widowControl w:val="0"/>
        <w:spacing w:line="480" w:lineRule="auto"/>
        <w:ind w:firstLine="720"/>
        <w:rPr>
          <w:szCs w:val="24"/>
        </w:rPr>
      </w:pPr>
      <w:r>
        <w:rPr>
          <w:szCs w:val="24"/>
        </w:rPr>
        <w:lastRenderedPageBreak/>
        <w:t>T</w:t>
      </w:r>
      <w:r w:rsidRPr="00323513">
        <w:rPr>
          <w:szCs w:val="24"/>
        </w:rPr>
        <w:t>he difficulty in working with an omnibus survey is that one cannot change the other variables in the survey.</w:t>
      </w:r>
      <w:r>
        <w:rPr>
          <w:szCs w:val="24"/>
        </w:rPr>
        <w:t xml:space="preserve"> </w:t>
      </w:r>
      <w:r w:rsidRPr="00323513">
        <w:rPr>
          <w:szCs w:val="24"/>
        </w:rPr>
        <w:t>The analysis in this section thus diverge from those in the previous section in four important ways.</w:t>
      </w:r>
      <w:r>
        <w:rPr>
          <w:szCs w:val="24"/>
        </w:rPr>
        <w:t xml:space="preserve"> </w:t>
      </w:r>
      <w:r w:rsidRPr="00323513">
        <w:rPr>
          <w:szCs w:val="24"/>
        </w:rPr>
        <w:t>First, while the previous section focused on vote choice in a hypothetical election, the dependent variable in this survey is approval of the incumbent president, Nestor Kirchner.</w:t>
      </w:r>
      <w:r>
        <w:rPr>
          <w:szCs w:val="24"/>
        </w:rPr>
        <w:t xml:space="preserve"> </w:t>
      </w:r>
      <w:r w:rsidRPr="00323513">
        <w:rPr>
          <w:szCs w:val="24"/>
        </w:rPr>
        <w:t xml:space="preserve">Yet </w:t>
      </w:r>
      <w:r>
        <w:rPr>
          <w:szCs w:val="24"/>
        </w:rPr>
        <w:t>vote intention</w:t>
      </w:r>
      <w:r w:rsidRPr="00323513">
        <w:rPr>
          <w:szCs w:val="24"/>
        </w:rPr>
        <w:t xml:space="preserve"> and government approval measures both track evaluations of government competence and respond to economic performance in a comparable manner (Gélineau 2013) and both are often used interchangeably in accountability studies (see Lewis-Beck a</w:t>
      </w:r>
      <w:r>
        <w:rPr>
          <w:szCs w:val="24"/>
        </w:rPr>
        <w:t xml:space="preserve">nd Stegmaier 2013 for a review) and so the results should be comparable despite these differences.  </w:t>
      </w:r>
      <w:r w:rsidRPr="00323513">
        <w:rPr>
          <w:szCs w:val="24"/>
        </w:rPr>
        <w:t xml:space="preserve"> </w:t>
      </w:r>
    </w:p>
    <w:p w:rsidR="002152FB" w:rsidRDefault="002152FB" w:rsidP="00B42D6F">
      <w:pPr>
        <w:pStyle w:val="NoSpacing"/>
        <w:widowControl w:val="0"/>
        <w:spacing w:line="480" w:lineRule="auto"/>
        <w:ind w:firstLine="720"/>
        <w:rPr>
          <w:szCs w:val="24"/>
        </w:rPr>
      </w:pPr>
      <w:r w:rsidRPr="00323513">
        <w:rPr>
          <w:szCs w:val="24"/>
        </w:rPr>
        <w:t xml:space="preserve">Second, while </w:t>
      </w:r>
      <w:r>
        <w:rPr>
          <w:szCs w:val="24"/>
        </w:rPr>
        <w:t>previous analysis</w:t>
      </w:r>
      <w:r w:rsidRPr="00323513">
        <w:rPr>
          <w:szCs w:val="24"/>
        </w:rPr>
        <w:t xml:space="preserve"> used a prospective sociotropic evaluation, i</w:t>
      </w:r>
      <w:r>
        <w:rPr>
          <w:szCs w:val="24"/>
        </w:rPr>
        <w:t>n this survey</w:t>
      </w:r>
      <w:r w:rsidRPr="00323513">
        <w:rPr>
          <w:szCs w:val="24"/>
        </w:rPr>
        <w:t xml:space="preserve"> the economic perception measure is retrospective, asking about the state of economy compared to 12 months in the past.</w:t>
      </w:r>
      <w:r>
        <w:rPr>
          <w:szCs w:val="24"/>
        </w:rPr>
        <w:t xml:space="preserve"> E</w:t>
      </w:r>
      <w:r w:rsidRPr="00323513">
        <w:rPr>
          <w:szCs w:val="24"/>
        </w:rPr>
        <w:t xml:space="preserve">stimates of economic voting </w:t>
      </w:r>
      <w:r>
        <w:rPr>
          <w:szCs w:val="24"/>
        </w:rPr>
        <w:t xml:space="preserve">in Latin America </w:t>
      </w:r>
      <w:r w:rsidRPr="00323513">
        <w:rPr>
          <w:szCs w:val="24"/>
        </w:rPr>
        <w:t>based on prospective and retrospective measures tend to be statistically indistinguishable for most of the government’s term in office and their effect is conditional upon the same political and economic contextual variables (see Singer and Carlin 2013).</w:t>
      </w:r>
      <w:r>
        <w:rPr>
          <w:szCs w:val="24"/>
        </w:rPr>
        <w:t xml:space="preserve"> </w:t>
      </w:r>
      <w:r w:rsidRPr="00323513">
        <w:rPr>
          <w:szCs w:val="24"/>
        </w:rPr>
        <w:t xml:space="preserve">Thus we do not have strong a priori reasons to expect that the weight that vulnerable respondents will give to national economic trends will differ according to the temporal reference point of the survey item. </w:t>
      </w:r>
    </w:p>
    <w:p w:rsidR="002152FB" w:rsidRPr="00323513" w:rsidRDefault="002152FB" w:rsidP="00B42D6F">
      <w:pPr>
        <w:pStyle w:val="NoSpacing"/>
        <w:widowControl w:val="0"/>
        <w:spacing w:line="480" w:lineRule="auto"/>
        <w:ind w:firstLine="720"/>
        <w:rPr>
          <w:szCs w:val="24"/>
        </w:rPr>
      </w:pPr>
      <w:r w:rsidRPr="00323513">
        <w:rPr>
          <w:szCs w:val="24"/>
        </w:rPr>
        <w:t>Third, space constraints on the questionnaire precluded the full battery of informal sector indicators, so respondents were asked if the primary wage earner in their household had a written contract since that is the element of formal employment that provides access to employment law guarantees.</w:t>
      </w:r>
      <w:r>
        <w:rPr>
          <w:szCs w:val="24"/>
        </w:rPr>
        <w:t xml:space="preserve"> </w:t>
      </w:r>
    </w:p>
    <w:p w:rsidR="002152FB" w:rsidRPr="00323513" w:rsidRDefault="002152FB" w:rsidP="00B42D6F">
      <w:pPr>
        <w:pStyle w:val="NoSpacing"/>
        <w:widowControl w:val="0"/>
        <w:spacing w:line="480" w:lineRule="auto"/>
        <w:ind w:firstLine="720"/>
        <w:rPr>
          <w:szCs w:val="24"/>
        </w:rPr>
      </w:pPr>
      <w:r w:rsidRPr="00323513">
        <w:rPr>
          <w:szCs w:val="24"/>
        </w:rPr>
        <w:t xml:space="preserve">Finally, the omnibus survey did not include a measure of partisanship or ideology </w:t>
      </w:r>
      <w:r w:rsidRPr="00323513">
        <w:rPr>
          <w:szCs w:val="24"/>
        </w:rPr>
        <w:lastRenderedPageBreak/>
        <w:t xml:space="preserve">and </w:t>
      </w:r>
      <w:r>
        <w:rPr>
          <w:szCs w:val="24"/>
        </w:rPr>
        <w:t>space</w:t>
      </w:r>
      <w:r w:rsidRPr="00323513">
        <w:rPr>
          <w:szCs w:val="24"/>
        </w:rPr>
        <w:t xml:space="preserve"> constraints</w:t>
      </w:r>
      <w:r>
        <w:rPr>
          <w:szCs w:val="24"/>
        </w:rPr>
        <w:t xml:space="preserve"> prevented the inclusion of these </w:t>
      </w:r>
      <w:r w:rsidRPr="00323513">
        <w:rPr>
          <w:szCs w:val="24"/>
        </w:rPr>
        <w:t>questions.</w:t>
      </w:r>
      <w:r>
        <w:rPr>
          <w:szCs w:val="24"/>
        </w:rPr>
        <w:t xml:space="preserve"> </w:t>
      </w:r>
      <w:r w:rsidRPr="00323513">
        <w:rPr>
          <w:szCs w:val="24"/>
        </w:rPr>
        <w:t>I can control, however, for factors like the respondent’s gender, age, education status, income, and whether they lived in an urban or rural area that might predispose them to support the incumbent government.</w:t>
      </w:r>
      <w:r>
        <w:rPr>
          <w:szCs w:val="24"/>
        </w:rPr>
        <w:t xml:space="preserve"> </w:t>
      </w:r>
      <w:r w:rsidRPr="00323513">
        <w:rPr>
          <w:szCs w:val="24"/>
        </w:rPr>
        <w:t>Specific question wordings are available in web appendix</w:t>
      </w:r>
      <w:r>
        <w:rPr>
          <w:szCs w:val="24"/>
        </w:rPr>
        <w:t xml:space="preserve"> 3 below</w:t>
      </w:r>
      <w:r w:rsidRPr="00323513">
        <w:rPr>
          <w:szCs w:val="24"/>
        </w:rPr>
        <w:t>.</w:t>
      </w:r>
      <w:r>
        <w:rPr>
          <w:szCs w:val="24"/>
        </w:rPr>
        <w:t xml:space="preserve"> </w:t>
      </w:r>
    </w:p>
    <w:p w:rsidR="002152FB" w:rsidRPr="00323513" w:rsidRDefault="002152FB" w:rsidP="00B42D6F">
      <w:pPr>
        <w:pStyle w:val="NoSpacing"/>
        <w:widowControl w:val="0"/>
        <w:spacing w:line="480" w:lineRule="auto"/>
        <w:rPr>
          <w:szCs w:val="24"/>
        </w:rPr>
      </w:pPr>
      <w:r w:rsidRPr="00323513">
        <w:rPr>
          <w:i/>
          <w:szCs w:val="24"/>
        </w:rPr>
        <w:t>Results</w:t>
      </w:r>
    </w:p>
    <w:p w:rsidR="002152FB" w:rsidRDefault="002152FB" w:rsidP="00905A85">
      <w:pPr>
        <w:spacing w:line="480" w:lineRule="auto"/>
        <w:ind w:firstLine="720"/>
      </w:pPr>
      <w:r w:rsidRPr="00323513">
        <w:t>Despite the differences in model specification, the results of the logistic confirm that the correlation between economic performance and government support is conditional upon economic vulnerability</w:t>
      </w:r>
      <w:r>
        <w:t xml:space="preserve"> (see table A1 below)</w:t>
      </w:r>
      <w:r w:rsidRPr="00323513">
        <w:t>.</w:t>
      </w:r>
      <w:r>
        <w:t xml:space="preserve"> T</w:t>
      </w:r>
      <w:r w:rsidRPr="00323513">
        <w:t>here is a strong association between respondents’ evaluations of the national economy and their propensity to approve of the incumbent president</w:t>
      </w:r>
      <w:r>
        <w:t xml:space="preserve"> (Column 1)</w:t>
      </w:r>
      <w:r w:rsidRPr="00323513">
        <w:t>.</w:t>
      </w:r>
      <w:r>
        <w:t xml:space="preserve"> </w:t>
      </w:r>
      <w:r w:rsidRPr="00323513">
        <w:t>This effect is quite large; as economic perceptions go from their minimum to their maximum, the predicted probability of approving of the incumbent increases by 0.81 for an average respondent. Then while the data in Table 1 showed that workers without a contract were slightly more supportive of the incumbent on average, there is no evidence in this larger and geographically diverse sample that workers without a contract or their dependents are more likely to support President Kirchner than are formal sector workers (</w:t>
      </w:r>
      <w:r>
        <w:t>column</w:t>
      </w:r>
      <w:r w:rsidRPr="00323513">
        <w:t xml:space="preserve"> 2).</w:t>
      </w:r>
      <w:r>
        <w:t xml:space="preserve"> </w:t>
      </w:r>
      <w:r w:rsidRPr="00323513">
        <w:t>This is because the effect of informality is conti</w:t>
      </w:r>
      <w:r>
        <w:t>ngent upon economic performance. In column 3, we see that there is a significant interactive effect between economic perceptions and informality. As shown in Figure 3 in the text, informal sector workers who think the economy is doing poorly are expected to have more neg</w:t>
      </w:r>
      <w:r w:rsidR="000901C7">
        <w:t xml:space="preserve">ative views of the incumbent than does a similarly pessimistic formally employed individual. Then both groups see their predicted approval rise as economic optimism increases, but the positive and significant interaction term implies that it raises more quickly for informal workers, </w:t>
      </w:r>
      <w:r w:rsidR="000901C7">
        <w:lastRenderedPageBreak/>
        <w:t xml:space="preserve">such that they become more likely (slightly, but significantly) than formal sector workers to approve of the president when they think the economy is doing well.  This provides further evidence that the salience of economic outcomes is conditional upon levels of economic vulnerability like informality. </w:t>
      </w:r>
    </w:p>
    <w:p w:rsidR="002152FB" w:rsidRDefault="002152FB" w:rsidP="00905A85">
      <w:pPr>
        <w:spacing w:line="480" w:lineRule="auto"/>
      </w:pPr>
    </w:p>
    <w:p w:rsidR="002152FB" w:rsidRDefault="002152FB" w:rsidP="00905A85">
      <w:pPr>
        <w:spacing w:line="480" w:lineRule="auto"/>
      </w:pPr>
    </w:p>
    <w:p w:rsidR="002152FB" w:rsidRPr="00323513" w:rsidRDefault="002152FB" w:rsidP="00905A85">
      <w:pPr>
        <w:widowControl w:val="0"/>
        <w:spacing w:line="480" w:lineRule="auto"/>
        <w:ind w:left="720" w:hanging="720"/>
      </w:pPr>
      <w:r w:rsidRPr="00323513">
        <w:t xml:space="preserve">Gélineau, Francois. 2013. Electoral accountability in the developing world. </w:t>
      </w:r>
      <w:r w:rsidRPr="00323513">
        <w:rPr>
          <w:i/>
        </w:rPr>
        <w:t>Electoral Studies</w:t>
      </w:r>
      <w:r w:rsidRPr="00323513">
        <w:t xml:space="preserve"> 32 (3): 418-24. </w:t>
      </w:r>
    </w:p>
    <w:p w:rsidR="002152FB" w:rsidRPr="00323513" w:rsidRDefault="002152FB" w:rsidP="00905A85">
      <w:pPr>
        <w:pStyle w:val="NoSpacing"/>
        <w:widowControl w:val="0"/>
        <w:spacing w:line="480" w:lineRule="auto"/>
        <w:ind w:left="720" w:hanging="720"/>
        <w:rPr>
          <w:szCs w:val="24"/>
        </w:rPr>
      </w:pPr>
      <w:r w:rsidRPr="00323513">
        <w:rPr>
          <w:szCs w:val="24"/>
        </w:rPr>
        <w:t xml:space="preserve">Lewis-Beck, Michael, Mary Stegmaier. 2013. The VP-function revisited: a survey of the literature on vote and popularity functions after over 40 years. </w:t>
      </w:r>
      <w:r w:rsidRPr="00323513">
        <w:rPr>
          <w:i/>
          <w:szCs w:val="24"/>
        </w:rPr>
        <w:t>Public Choice</w:t>
      </w:r>
      <w:r w:rsidRPr="00323513">
        <w:rPr>
          <w:szCs w:val="24"/>
        </w:rPr>
        <w:t xml:space="preserve"> 157 (Dec): 367-385. </w:t>
      </w:r>
    </w:p>
    <w:p w:rsidR="002152FB" w:rsidRDefault="002152FB" w:rsidP="00B42D6F"/>
    <w:p w:rsidR="002152FB" w:rsidRDefault="002152FB" w:rsidP="00B42D6F"/>
    <w:p w:rsidR="002152FB" w:rsidRPr="00905A85" w:rsidRDefault="002152FB" w:rsidP="00905A85">
      <w:pPr>
        <w:pStyle w:val="NoSpacing"/>
        <w:widowControl w:val="0"/>
        <w:spacing w:after="240"/>
        <w:jc w:val="center"/>
        <w:rPr>
          <w:szCs w:val="24"/>
        </w:rPr>
      </w:pPr>
      <w:r w:rsidRPr="00905A85">
        <w:rPr>
          <w:szCs w:val="24"/>
        </w:rPr>
        <w:t>Table A1</w:t>
      </w:r>
      <w:r w:rsidR="00905A85">
        <w:rPr>
          <w:szCs w:val="24"/>
        </w:rPr>
        <w:t>.</w:t>
      </w:r>
      <w:r w:rsidRPr="00905A85">
        <w:rPr>
          <w:szCs w:val="24"/>
        </w:rPr>
        <w:t xml:space="preserve"> Informal Sector Employment and Government Approval, Argentina 2006</w:t>
      </w:r>
    </w:p>
    <w:tbl>
      <w:tblPr>
        <w:tblW w:w="10771" w:type="dxa"/>
        <w:jc w:val="center"/>
        <w:tblLook w:val="04A0" w:firstRow="1" w:lastRow="0" w:firstColumn="1" w:lastColumn="0" w:noHBand="0" w:noVBand="1"/>
      </w:tblPr>
      <w:tblGrid>
        <w:gridCol w:w="3796"/>
        <w:gridCol w:w="1236"/>
        <w:gridCol w:w="1120"/>
        <w:gridCol w:w="1236"/>
        <w:gridCol w:w="1201"/>
        <w:gridCol w:w="1236"/>
        <w:gridCol w:w="946"/>
      </w:tblGrid>
      <w:tr w:rsidR="002152FB" w:rsidRPr="00323513" w:rsidTr="00082F4B">
        <w:trPr>
          <w:trHeight w:val="300"/>
          <w:jc w:val="center"/>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52FB" w:rsidRPr="00323513" w:rsidRDefault="002152FB" w:rsidP="00B42D6F">
            <w:pPr>
              <w:widowControl w:val="0"/>
              <w:rPr>
                <w:rFonts w:eastAsia="Times New Roman"/>
                <w:color w:val="000000"/>
                <w:lang w:bidi="ar-SA"/>
              </w:rPr>
            </w:pPr>
          </w:p>
        </w:tc>
        <w:tc>
          <w:tcPr>
            <w:tcW w:w="1236" w:type="dxa"/>
            <w:tcBorders>
              <w:top w:val="single" w:sz="4" w:space="0" w:color="auto"/>
              <w:left w:val="single" w:sz="4" w:space="0" w:color="auto"/>
              <w:bottom w:val="single" w:sz="4" w:space="0" w:color="auto"/>
              <w:right w:val="nil"/>
            </w:tcBorders>
            <w:shd w:val="clear" w:color="auto" w:fill="auto"/>
            <w:noWrap/>
            <w:vAlign w:val="center"/>
            <w:hideMark/>
          </w:tcPr>
          <w:p w:rsidR="002152FB" w:rsidRPr="00323513" w:rsidRDefault="002152FB" w:rsidP="00B42D6F">
            <w:pPr>
              <w:widowControl w:val="0"/>
              <w:rPr>
                <w:rFonts w:eastAsia="Times New Roman"/>
                <w:color w:val="000000"/>
                <w:lang w:bidi="ar-SA"/>
              </w:rPr>
            </w:pPr>
            <w:r>
              <w:rPr>
                <w:rFonts w:eastAsia="Times New Roman"/>
                <w:color w:val="000000"/>
                <w:lang w:bidi="ar-SA"/>
              </w:rPr>
              <w:t xml:space="preserve"> </w:t>
            </w:r>
            <w:r w:rsidRPr="00323513">
              <w:rPr>
                <w:rFonts w:eastAsia="Times New Roman"/>
                <w:color w:val="000000"/>
                <w:lang w:bidi="ar-SA"/>
              </w:rPr>
              <w:t xml:space="preserve"> [1]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(SE)</w:t>
            </w:r>
          </w:p>
        </w:tc>
        <w:tc>
          <w:tcPr>
            <w:tcW w:w="1236" w:type="dxa"/>
            <w:tcBorders>
              <w:top w:val="single" w:sz="4" w:space="0" w:color="auto"/>
              <w:left w:val="single" w:sz="4" w:space="0" w:color="auto"/>
              <w:bottom w:val="single" w:sz="4" w:space="0" w:color="auto"/>
              <w:right w:val="single" w:sz="4" w:space="0" w:color="auto"/>
            </w:tcBorders>
            <w:vAlign w:val="center"/>
          </w:tcPr>
          <w:p w:rsidR="002152FB" w:rsidRPr="00323513" w:rsidRDefault="002152FB" w:rsidP="00B42D6F">
            <w:pPr>
              <w:widowControl w:val="0"/>
              <w:rPr>
                <w:rFonts w:eastAsia="Times New Roman"/>
                <w:color w:val="000000"/>
                <w:lang w:bidi="ar-SA"/>
              </w:rPr>
            </w:pPr>
            <w:r>
              <w:rPr>
                <w:rFonts w:eastAsia="Times New Roman"/>
                <w:color w:val="000000"/>
                <w:lang w:bidi="ar-SA"/>
              </w:rPr>
              <w:t xml:space="preserve"> </w:t>
            </w:r>
            <w:r w:rsidRPr="00323513">
              <w:rPr>
                <w:rFonts w:eastAsia="Times New Roman"/>
                <w:color w:val="000000"/>
                <w:lang w:bidi="ar-SA"/>
              </w:rPr>
              <w:t>[2]</w:t>
            </w:r>
          </w:p>
        </w:tc>
        <w:tc>
          <w:tcPr>
            <w:tcW w:w="1201" w:type="dxa"/>
            <w:tcBorders>
              <w:top w:val="single" w:sz="4" w:space="0" w:color="auto"/>
              <w:left w:val="single" w:sz="4" w:space="0" w:color="auto"/>
              <w:bottom w:val="single" w:sz="4" w:space="0" w:color="auto"/>
              <w:right w:val="nil"/>
            </w:tcBorders>
            <w:vAlign w:val="center"/>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(SE)</w:t>
            </w:r>
          </w:p>
        </w:tc>
        <w:tc>
          <w:tcPr>
            <w:tcW w:w="1236" w:type="dxa"/>
            <w:tcBorders>
              <w:top w:val="single" w:sz="4" w:space="0" w:color="auto"/>
              <w:left w:val="single" w:sz="4" w:space="0" w:color="auto"/>
              <w:bottom w:val="single" w:sz="4" w:space="0" w:color="auto"/>
              <w:right w:val="nil"/>
            </w:tcBorders>
            <w:vAlign w:val="center"/>
          </w:tcPr>
          <w:p w:rsidR="002152FB" w:rsidRPr="00323513" w:rsidRDefault="002152FB" w:rsidP="00B42D6F">
            <w:pPr>
              <w:widowControl w:val="0"/>
              <w:rPr>
                <w:rFonts w:eastAsia="Times New Roman"/>
                <w:color w:val="000000"/>
                <w:lang w:bidi="ar-SA"/>
              </w:rPr>
            </w:pPr>
            <w:r>
              <w:rPr>
                <w:rFonts w:eastAsia="Times New Roman"/>
                <w:color w:val="000000"/>
                <w:lang w:bidi="ar-SA"/>
              </w:rPr>
              <w:t xml:space="preserve"> </w:t>
            </w:r>
            <w:r w:rsidRPr="00323513">
              <w:rPr>
                <w:rFonts w:eastAsia="Times New Roman"/>
                <w:color w:val="000000"/>
                <w:lang w:bidi="ar-SA"/>
              </w:rPr>
              <w:t xml:space="preserve"> [3]</w:t>
            </w:r>
          </w:p>
        </w:tc>
        <w:tc>
          <w:tcPr>
            <w:tcW w:w="946" w:type="dxa"/>
            <w:tcBorders>
              <w:top w:val="single" w:sz="4" w:space="0" w:color="auto"/>
              <w:left w:val="nil"/>
              <w:bottom w:val="single" w:sz="4" w:space="0" w:color="auto"/>
              <w:right w:val="single" w:sz="4" w:space="0" w:color="auto"/>
            </w:tcBorders>
            <w:vAlign w:val="center"/>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(SE)</w:t>
            </w:r>
          </w:p>
        </w:tc>
      </w:tr>
      <w:tr w:rsidR="002152FB" w:rsidRPr="00323513" w:rsidTr="00082F4B">
        <w:trPr>
          <w:trHeight w:val="300"/>
          <w:jc w:val="center"/>
        </w:trPr>
        <w:tc>
          <w:tcPr>
            <w:tcW w:w="3796" w:type="dxa"/>
            <w:tcBorders>
              <w:top w:val="single" w:sz="4" w:space="0" w:color="auto"/>
              <w:left w:val="single" w:sz="4" w:space="0" w:color="auto"/>
              <w:bottom w:val="nil"/>
              <w:right w:val="single" w:sz="4" w:space="0" w:color="auto"/>
            </w:tcBorders>
            <w:shd w:val="clear" w:color="auto" w:fill="auto"/>
            <w:noWrap/>
            <w:vAlign w:val="center"/>
            <w:hideMark/>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Informal Sector Worker</w:t>
            </w:r>
          </w:p>
        </w:tc>
        <w:tc>
          <w:tcPr>
            <w:tcW w:w="1236" w:type="dxa"/>
            <w:tcBorders>
              <w:top w:val="single" w:sz="4" w:space="0" w:color="auto"/>
              <w:left w:val="single" w:sz="4" w:space="0" w:color="auto"/>
              <w:bottom w:val="nil"/>
              <w:right w:val="nil"/>
            </w:tcBorders>
            <w:shd w:val="clear" w:color="auto" w:fill="auto"/>
            <w:noWrap/>
            <w:vAlign w:val="center"/>
            <w:hideMark/>
          </w:tcPr>
          <w:p w:rsidR="002152FB" w:rsidRPr="00323513" w:rsidRDefault="002152FB" w:rsidP="00B42D6F">
            <w:pPr>
              <w:widowControl w:val="0"/>
              <w:rPr>
                <w:color w:val="000000"/>
              </w:rPr>
            </w:pPr>
          </w:p>
        </w:tc>
        <w:tc>
          <w:tcPr>
            <w:tcW w:w="1120" w:type="dxa"/>
            <w:tcBorders>
              <w:top w:val="single" w:sz="4" w:space="0" w:color="auto"/>
              <w:left w:val="nil"/>
              <w:bottom w:val="nil"/>
              <w:right w:val="single" w:sz="4" w:space="0" w:color="auto"/>
            </w:tcBorders>
            <w:shd w:val="clear" w:color="auto" w:fill="auto"/>
            <w:noWrap/>
            <w:vAlign w:val="center"/>
            <w:hideMark/>
          </w:tcPr>
          <w:p w:rsidR="002152FB" w:rsidRPr="00323513" w:rsidRDefault="002152FB" w:rsidP="00B42D6F">
            <w:pPr>
              <w:widowControl w:val="0"/>
              <w:rPr>
                <w:color w:val="000000"/>
              </w:rPr>
            </w:pPr>
          </w:p>
        </w:tc>
        <w:tc>
          <w:tcPr>
            <w:tcW w:w="1236" w:type="dxa"/>
            <w:tcBorders>
              <w:top w:val="single" w:sz="4" w:space="0" w:color="auto"/>
              <w:left w:val="single" w:sz="4" w:space="0" w:color="auto"/>
              <w:bottom w:val="nil"/>
              <w:right w:val="single" w:sz="4" w:space="0" w:color="auto"/>
            </w:tcBorders>
            <w:vAlign w:val="center"/>
          </w:tcPr>
          <w:p w:rsidR="002152FB" w:rsidRPr="00323513" w:rsidRDefault="002152FB" w:rsidP="00B42D6F">
            <w:pPr>
              <w:widowControl w:val="0"/>
              <w:rPr>
                <w:color w:val="000000"/>
              </w:rPr>
            </w:pPr>
            <w:r w:rsidRPr="00323513">
              <w:rPr>
                <w:color w:val="000000"/>
              </w:rPr>
              <w:t>0.131</w:t>
            </w:r>
          </w:p>
        </w:tc>
        <w:tc>
          <w:tcPr>
            <w:tcW w:w="1201" w:type="dxa"/>
            <w:tcBorders>
              <w:top w:val="single" w:sz="4" w:space="0" w:color="auto"/>
              <w:left w:val="single" w:sz="4" w:space="0" w:color="auto"/>
              <w:bottom w:val="nil"/>
              <w:right w:val="nil"/>
            </w:tcBorders>
            <w:vAlign w:val="center"/>
          </w:tcPr>
          <w:p w:rsidR="002152FB" w:rsidRPr="00323513" w:rsidRDefault="002152FB" w:rsidP="00B42D6F">
            <w:pPr>
              <w:widowControl w:val="0"/>
              <w:rPr>
                <w:color w:val="000000"/>
              </w:rPr>
            </w:pPr>
            <w:r w:rsidRPr="00323513">
              <w:rPr>
                <w:color w:val="000000"/>
              </w:rPr>
              <w:t>(0.201)</w:t>
            </w:r>
          </w:p>
        </w:tc>
        <w:tc>
          <w:tcPr>
            <w:tcW w:w="1236" w:type="dxa"/>
            <w:tcBorders>
              <w:top w:val="single" w:sz="4" w:space="0" w:color="auto"/>
              <w:left w:val="single" w:sz="4" w:space="0" w:color="auto"/>
              <w:bottom w:val="nil"/>
              <w:right w:val="nil"/>
            </w:tcBorders>
            <w:vAlign w:val="center"/>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-0.887*</w:t>
            </w:r>
          </w:p>
        </w:tc>
        <w:tc>
          <w:tcPr>
            <w:tcW w:w="946" w:type="dxa"/>
            <w:tcBorders>
              <w:top w:val="single" w:sz="4" w:space="0" w:color="auto"/>
              <w:left w:val="nil"/>
              <w:bottom w:val="nil"/>
              <w:right w:val="single" w:sz="4" w:space="0" w:color="auto"/>
            </w:tcBorders>
            <w:vAlign w:val="center"/>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(0.517)</w:t>
            </w:r>
          </w:p>
        </w:tc>
      </w:tr>
      <w:tr w:rsidR="002152FB" w:rsidRPr="00323513" w:rsidTr="00082F4B">
        <w:trPr>
          <w:trHeight w:val="300"/>
          <w:jc w:val="center"/>
        </w:trPr>
        <w:tc>
          <w:tcPr>
            <w:tcW w:w="3796" w:type="dxa"/>
            <w:tcBorders>
              <w:top w:val="nil"/>
              <w:left w:val="single" w:sz="4" w:space="0" w:color="auto"/>
              <w:bottom w:val="nil"/>
              <w:right w:val="single" w:sz="4" w:space="0" w:color="auto"/>
            </w:tcBorders>
            <w:shd w:val="clear" w:color="auto" w:fill="auto"/>
            <w:noWrap/>
            <w:vAlign w:val="center"/>
            <w:hideMark/>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Economy Compared to a Year Ago</w:t>
            </w:r>
          </w:p>
        </w:tc>
        <w:tc>
          <w:tcPr>
            <w:tcW w:w="1236" w:type="dxa"/>
            <w:tcBorders>
              <w:top w:val="nil"/>
              <w:left w:val="single" w:sz="4" w:space="0" w:color="auto"/>
              <w:bottom w:val="nil"/>
              <w:right w:val="nil"/>
            </w:tcBorders>
            <w:shd w:val="clear" w:color="auto" w:fill="auto"/>
            <w:noWrap/>
            <w:vAlign w:val="bottom"/>
            <w:hideMark/>
          </w:tcPr>
          <w:p w:rsidR="002152FB" w:rsidRPr="00323513" w:rsidRDefault="002152FB" w:rsidP="00B42D6F">
            <w:pPr>
              <w:rPr>
                <w:color w:val="000000"/>
                <w:lang w:bidi="ar-SA"/>
              </w:rPr>
            </w:pPr>
            <w:r w:rsidRPr="00323513">
              <w:rPr>
                <w:color w:val="000000"/>
              </w:rPr>
              <w:t>0.963***</w:t>
            </w:r>
          </w:p>
        </w:tc>
        <w:tc>
          <w:tcPr>
            <w:tcW w:w="1120" w:type="dxa"/>
            <w:tcBorders>
              <w:top w:val="nil"/>
              <w:left w:val="nil"/>
              <w:bottom w:val="nil"/>
              <w:right w:val="single" w:sz="4" w:space="0" w:color="auto"/>
            </w:tcBorders>
            <w:shd w:val="clear" w:color="auto" w:fill="auto"/>
            <w:noWrap/>
            <w:vAlign w:val="bottom"/>
            <w:hideMark/>
          </w:tcPr>
          <w:p w:rsidR="002152FB" w:rsidRPr="00323513" w:rsidRDefault="002152FB" w:rsidP="00B42D6F">
            <w:pPr>
              <w:rPr>
                <w:color w:val="000000"/>
              </w:rPr>
            </w:pPr>
            <w:r w:rsidRPr="00323513">
              <w:rPr>
                <w:color w:val="000000"/>
              </w:rPr>
              <w:t>(0.077)</w:t>
            </w:r>
          </w:p>
        </w:tc>
        <w:tc>
          <w:tcPr>
            <w:tcW w:w="1236" w:type="dxa"/>
            <w:tcBorders>
              <w:top w:val="nil"/>
              <w:left w:val="single" w:sz="4" w:space="0" w:color="auto"/>
              <w:bottom w:val="nil"/>
              <w:right w:val="single" w:sz="4" w:space="0" w:color="auto"/>
            </w:tcBorders>
            <w:vAlign w:val="center"/>
          </w:tcPr>
          <w:p w:rsidR="002152FB" w:rsidRPr="00323513" w:rsidRDefault="002152FB" w:rsidP="00B42D6F">
            <w:pPr>
              <w:widowControl w:val="0"/>
              <w:rPr>
                <w:color w:val="000000"/>
              </w:rPr>
            </w:pPr>
            <w:r w:rsidRPr="00323513">
              <w:rPr>
                <w:color w:val="000000"/>
              </w:rPr>
              <w:t>0.963***</w:t>
            </w:r>
          </w:p>
        </w:tc>
        <w:tc>
          <w:tcPr>
            <w:tcW w:w="1201" w:type="dxa"/>
            <w:tcBorders>
              <w:top w:val="nil"/>
              <w:left w:val="single" w:sz="4" w:space="0" w:color="auto"/>
              <w:bottom w:val="nil"/>
              <w:right w:val="nil"/>
            </w:tcBorders>
            <w:vAlign w:val="center"/>
          </w:tcPr>
          <w:p w:rsidR="002152FB" w:rsidRPr="00323513" w:rsidRDefault="002152FB" w:rsidP="00B42D6F">
            <w:pPr>
              <w:widowControl w:val="0"/>
              <w:rPr>
                <w:color w:val="000000"/>
              </w:rPr>
            </w:pPr>
            <w:r w:rsidRPr="00323513">
              <w:rPr>
                <w:color w:val="000000"/>
              </w:rPr>
              <w:t>(0.078)</w:t>
            </w:r>
          </w:p>
        </w:tc>
        <w:tc>
          <w:tcPr>
            <w:tcW w:w="1236" w:type="dxa"/>
            <w:tcBorders>
              <w:top w:val="nil"/>
              <w:left w:val="single" w:sz="4" w:space="0" w:color="auto"/>
              <w:bottom w:val="nil"/>
              <w:right w:val="nil"/>
            </w:tcBorders>
            <w:vAlign w:val="center"/>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0.794***</w:t>
            </w:r>
          </w:p>
        </w:tc>
        <w:tc>
          <w:tcPr>
            <w:tcW w:w="946" w:type="dxa"/>
            <w:tcBorders>
              <w:top w:val="nil"/>
              <w:left w:val="nil"/>
              <w:bottom w:val="nil"/>
              <w:right w:val="single" w:sz="4" w:space="0" w:color="auto"/>
            </w:tcBorders>
            <w:vAlign w:val="center"/>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(0.102)</w:t>
            </w:r>
          </w:p>
        </w:tc>
      </w:tr>
      <w:tr w:rsidR="002152FB" w:rsidRPr="00323513" w:rsidTr="00082F4B">
        <w:trPr>
          <w:trHeight w:val="300"/>
          <w:jc w:val="center"/>
        </w:trPr>
        <w:tc>
          <w:tcPr>
            <w:tcW w:w="3796" w:type="dxa"/>
            <w:tcBorders>
              <w:top w:val="nil"/>
              <w:left w:val="single" w:sz="4" w:space="0" w:color="auto"/>
              <w:bottom w:val="nil"/>
              <w:right w:val="single" w:sz="4" w:space="0" w:color="auto"/>
            </w:tcBorders>
            <w:shd w:val="clear" w:color="auto" w:fill="auto"/>
            <w:noWrap/>
            <w:vAlign w:val="center"/>
            <w:hideMark/>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Informal*Economy</w:t>
            </w:r>
          </w:p>
        </w:tc>
        <w:tc>
          <w:tcPr>
            <w:tcW w:w="1236" w:type="dxa"/>
            <w:tcBorders>
              <w:top w:val="nil"/>
              <w:left w:val="single" w:sz="4" w:space="0" w:color="auto"/>
              <w:bottom w:val="nil"/>
              <w:right w:val="nil"/>
            </w:tcBorders>
            <w:shd w:val="clear" w:color="auto" w:fill="auto"/>
            <w:noWrap/>
            <w:vAlign w:val="bottom"/>
            <w:hideMark/>
          </w:tcPr>
          <w:p w:rsidR="002152FB" w:rsidRPr="00323513" w:rsidRDefault="002152FB" w:rsidP="00B42D6F">
            <w:pPr>
              <w:rPr>
                <w:color w:val="000000"/>
              </w:rPr>
            </w:pPr>
          </w:p>
        </w:tc>
        <w:tc>
          <w:tcPr>
            <w:tcW w:w="1120" w:type="dxa"/>
            <w:tcBorders>
              <w:top w:val="nil"/>
              <w:left w:val="nil"/>
              <w:bottom w:val="nil"/>
              <w:right w:val="single" w:sz="4" w:space="0" w:color="auto"/>
            </w:tcBorders>
            <w:shd w:val="clear" w:color="auto" w:fill="auto"/>
            <w:noWrap/>
            <w:vAlign w:val="bottom"/>
            <w:hideMark/>
          </w:tcPr>
          <w:p w:rsidR="002152FB" w:rsidRPr="00323513" w:rsidRDefault="002152FB" w:rsidP="00B42D6F"/>
        </w:tc>
        <w:tc>
          <w:tcPr>
            <w:tcW w:w="1236" w:type="dxa"/>
            <w:tcBorders>
              <w:top w:val="nil"/>
              <w:left w:val="single" w:sz="4" w:space="0" w:color="auto"/>
              <w:bottom w:val="nil"/>
              <w:right w:val="single" w:sz="4" w:space="0" w:color="auto"/>
            </w:tcBorders>
            <w:vAlign w:val="center"/>
          </w:tcPr>
          <w:p w:rsidR="002152FB" w:rsidRPr="00323513" w:rsidRDefault="002152FB" w:rsidP="00B42D6F">
            <w:pPr>
              <w:widowControl w:val="0"/>
              <w:rPr>
                <w:color w:val="000000"/>
              </w:rPr>
            </w:pPr>
          </w:p>
        </w:tc>
        <w:tc>
          <w:tcPr>
            <w:tcW w:w="1201" w:type="dxa"/>
            <w:tcBorders>
              <w:top w:val="nil"/>
              <w:left w:val="single" w:sz="4" w:space="0" w:color="auto"/>
              <w:bottom w:val="nil"/>
              <w:right w:val="nil"/>
            </w:tcBorders>
            <w:vAlign w:val="center"/>
          </w:tcPr>
          <w:p w:rsidR="002152FB" w:rsidRPr="00323513" w:rsidRDefault="002152FB" w:rsidP="00B42D6F">
            <w:pPr>
              <w:widowControl w:val="0"/>
              <w:rPr>
                <w:color w:val="000000"/>
              </w:rPr>
            </w:pPr>
          </w:p>
        </w:tc>
        <w:tc>
          <w:tcPr>
            <w:tcW w:w="1236" w:type="dxa"/>
            <w:tcBorders>
              <w:top w:val="nil"/>
              <w:left w:val="single" w:sz="4" w:space="0" w:color="auto"/>
              <w:bottom w:val="nil"/>
              <w:right w:val="nil"/>
            </w:tcBorders>
            <w:vAlign w:val="center"/>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0.293*</w:t>
            </w:r>
          </w:p>
        </w:tc>
        <w:tc>
          <w:tcPr>
            <w:tcW w:w="946" w:type="dxa"/>
            <w:tcBorders>
              <w:top w:val="nil"/>
              <w:left w:val="nil"/>
              <w:bottom w:val="nil"/>
              <w:right w:val="single" w:sz="4" w:space="0" w:color="auto"/>
            </w:tcBorders>
            <w:vAlign w:val="center"/>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(0.150)</w:t>
            </w:r>
          </w:p>
        </w:tc>
      </w:tr>
      <w:tr w:rsidR="002152FB" w:rsidRPr="00323513" w:rsidTr="00082F4B">
        <w:trPr>
          <w:trHeight w:val="300"/>
          <w:jc w:val="center"/>
        </w:trPr>
        <w:tc>
          <w:tcPr>
            <w:tcW w:w="3796" w:type="dxa"/>
            <w:tcBorders>
              <w:top w:val="nil"/>
              <w:left w:val="single" w:sz="4" w:space="0" w:color="auto"/>
              <w:bottom w:val="nil"/>
              <w:right w:val="single" w:sz="4" w:space="0" w:color="auto"/>
            </w:tcBorders>
            <w:shd w:val="clear" w:color="auto" w:fill="auto"/>
            <w:noWrap/>
            <w:vAlign w:val="center"/>
            <w:hideMark/>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Age</w:t>
            </w:r>
          </w:p>
        </w:tc>
        <w:tc>
          <w:tcPr>
            <w:tcW w:w="1236" w:type="dxa"/>
            <w:tcBorders>
              <w:top w:val="nil"/>
              <w:left w:val="single" w:sz="4" w:space="0" w:color="auto"/>
              <w:bottom w:val="nil"/>
              <w:right w:val="nil"/>
            </w:tcBorders>
            <w:shd w:val="clear" w:color="auto" w:fill="auto"/>
            <w:noWrap/>
            <w:vAlign w:val="bottom"/>
            <w:hideMark/>
          </w:tcPr>
          <w:p w:rsidR="002152FB" w:rsidRPr="00323513" w:rsidRDefault="002152FB" w:rsidP="00B42D6F">
            <w:pPr>
              <w:rPr>
                <w:color w:val="000000"/>
              </w:rPr>
            </w:pPr>
            <w:r w:rsidRPr="00323513">
              <w:rPr>
                <w:color w:val="000000"/>
              </w:rPr>
              <w:t>-0.004</w:t>
            </w:r>
          </w:p>
        </w:tc>
        <w:tc>
          <w:tcPr>
            <w:tcW w:w="1120" w:type="dxa"/>
            <w:tcBorders>
              <w:top w:val="nil"/>
              <w:left w:val="nil"/>
              <w:bottom w:val="nil"/>
              <w:right w:val="single" w:sz="4" w:space="0" w:color="auto"/>
            </w:tcBorders>
            <w:shd w:val="clear" w:color="auto" w:fill="auto"/>
            <w:noWrap/>
            <w:vAlign w:val="bottom"/>
            <w:hideMark/>
          </w:tcPr>
          <w:p w:rsidR="002152FB" w:rsidRPr="00323513" w:rsidRDefault="002152FB" w:rsidP="00B42D6F">
            <w:pPr>
              <w:rPr>
                <w:color w:val="000000"/>
              </w:rPr>
            </w:pPr>
            <w:r w:rsidRPr="00323513">
              <w:rPr>
                <w:color w:val="000000"/>
              </w:rPr>
              <w:t>(0.006)</w:t>
            </w:r>
          </w:p>
        </w:tc>
        <w:tc>
          <w:tcPr>
            <w:tcW w:w="1236" w:type="dxa"/>
            <w:tcBorders>
              <w:top w:val="nil"/>
              <w:left w:val="single" w:sz="4" w:space="0" w:color="auto"/>
              <w:bottom w:val="nil"/>
              <w:right w:val="single" w:sz="4" w:space="0" w:color="auto"/>
            </w:tcBorders>
            <w:vAlign w:val="center"/>
          </w:tcPr>
          <w:p w:rsidR="002152FB" w:rsidRPr="00323513" w:rsidRDefault="002152FB" w:rsidP="00B42D6F">
            <w:pPr>
              <w:widowControl w:val="0"/>
              <w:rPr>
                <w:color w:val="000000"/>
              </w:rPr>
            </w:pPr>
            <w:r w:rsidRPr="00323513">
              <w:rPr>
                <w:color w:val="000000"/>
              </w:rPr>
              <w:t>-0.004</w:t>
            </w:r>
          </w:p>
        </w:tc>
        <w:tc>
          <w:tcPr>
            <w:tcW w:w="1201" w:type="dxa"/>
            <w:tcBorders>
              <w:top w:val="nil"/>
              <w:left w:val="single" w:sz="4" w:space="0" w:color="auto"/>
              <w:bottom w:val="nil"/>
              <w:right w:val="nil"/>
            </w:tcBorders>
            <w:vAlign w:val="center"/>
          </w:tcPr>
          <w:p w:rsidR="002152FB" w:rsidRPr="00323513" w:rsidRDefault="002152FB" w:rsidP="00B42D6F">
            <w:pPr>
              <w:widowControl w:val="0"/>
              <w:rPr>
                <w:color w:val="000000"/>
              </w:rPr>
            </w:pPr>
            <w:r w:rsidRPr="00323513">
              <w:rPr>
                <w:color w:val="000000"/>
              </w:rPr>
              <w:t>(0.006)</w:t>
            </w:r>
          </w:p>
        </w:tc>
        <w:tc>
          <w:tcPr>
            <w:tcW w:w="1236" w:type="dxa"/>
            <w:tcBorders>
              <w:top w:val="nil"/>
              <w:left w:val="single" w:sz="4" w:space="0" w:color="auto"/>
              <w:bottom w:val="nil"/>
              <w:right w:val="nil"/>
            </w:tcBorders>
            <w:vAlign w:val="center"/>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-0.002</w:t>
            </w:r>
          </w:p>
        </w:tc>
        <w:tc>
          <w:tcPr>
            <w:tcW w:w="946" w:type="dxa"/>
            <w:tcBorders>
              <w:top w:val="nil"/>
              <w:left w:val="nil"/>
              <w:bottom w:val="nil"/>
              <w:right w:val="single" w:sz="4" w:space="0" w:color="auto"/>
            </w:tcBorders>
            <w:vAlign w:val="center"/>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(0.006)</w:t>
            </w:r>
          </w:p>
        </w:tc>
      </w:tr>
      <w:tr w:rsidR="002152FB" w:rsidRPr="00323513" w:rsidTr="00082F4B">
        <w:trPr>
          <w:trHeight w:val="300"/>
          <w:jc w:val="center"/>
        </w:trPr>
        <w:tc>
          <w:tcPr>
            <w:tcW w:w="3796" w:type="dxa"/>
            <w:tcBorders>
              <w:top w:val="nil"/>
              <w:left w:val="single" w:sz="4" w:space="0" w:color="auto"/>
              <w:bottom w:val="nil"/>
              <w:right w:val="single" w:sz="4" w:space="0" w:color="auto"/>
            </w:tcBorders>
            <w:shd w:val="clear" w:color="auto" w:fill="auto"/>
            <w:noWrap/>
            <w:vAlign w:val="center"/>
            <w:hideMark/>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Female</w:t>
            </w:r>
          </w:p>
        </w:tc>
        <w:tc>
          <w:tcPr>
            <w:tcW w:w="1236" w:type="dxa"/>
            <w:tcBorders>
              <w:top w:val="nil"/>
              <w:left w:val="single" w:sz="4" w:space="0" w:color="auto"/>
              <w:bottom w:val="nil"/>
              <w:right w:val="nil"/>
            </w:tcBorders>
            <w:shd w:val="clear" w:color="auto" w:fill="auto"/>
            <w:noWrap/>
            <w:vAlign w:val="bottom"/>
            <w:hideMark/>
          </w:tcPr>
          <w:p w:rsidR="002152FB" w:rsidRPr="00323513" w:rsidRDefault="002152FB" w:rsidP="00B42D6F">
            <w:pPr>
              <w:rPr>
                <w:color w:val="000000"/>
              </w:rPr>
            </w:pPr>
            <w:r w:rsidRPr="00323513">
              <w:rPr>
                <w:color w:val="000000"/>
              </w:rPr>
              <w:t>-0.095</w:t>
            </w:r>
          </w:p>
        </w:tc>
        <w:tc>
          <w:tcPr>
            <w:tcW w:w="1120" w:type="dxa"/>
            <w:tcBorders>
              <w:top w:val="nil"/>
              <w:left w:val="nil"/>
              <w:bottom w:val="nil"/>
              <w:right w:val="single" w:sz="4" w:space="0" w:color="auto"/>
            </w:tcBorders>
            <w:shd w:val="clear" w:color="auto" w:fill="auto"/>
            <w:noWrap/>
            <w:vAlign w:val="bottom"/>
            <w:hideMark/>
          </w:tcPr>
          <w:p w:rsidR="002152FB" w:rsidRPr="00323513" w:rsidRDefault="002152FB" w:rsidP="00B42D6F">
            <w:pPr>
              <w:rPr>
                <w:color w:val="000000"/>
              </w:rPr>
            </w:pPr>
            <w:r w:rsidRPr="00323513">
              <w:rPr>
                <w:color w:val="000000"/>
              </w:rPr>
              <w:t>(0.160)</w:t>
            </w:r>
          </w:p>
        </w:tc>
        <w:tc>
          <w:tcPr>
            <w:tcW w:w="1236" w:type="dxa"/>
            <w:tcBorders>
              <w:top w:val="nil"/>
              <w:left w:val="single" w:sz="4" w:space="0" w:color="auto"/>
              <w:bottom w:val="nil"/>
              <w:right w:val="single" w:sz="4" w:space="0" w:color="auto"/>
            </w:tcBorders>
            <w:vAlign w:val="center"/>
          </w:tcPr>
          <w:p w:rsidR="002152FB" w:rsidRPr="00323513" w:rsidRDefault="002152FB" w:rsidP="00B42D6F">
            <w:pPr>
              <w:widowControl w:val="0"/>
              <w:rPr>
                <w:color w:val="000000"/>
              </w:rPr>
            </w:pPr>
            <w:r w:rsidRPr="00323513">
              <w:rPr>
                <w:color w:val="000000"/>
              </w:rPr>
              <w:t>-0.092</w:t>
            </w:r>
          </w:p>
        </w:tc>
        <w:tc>
          <w:tcPr>
            <w:tcW w:w="1201" w:type="dxa"/>
            <w:tcBorders>
              <w:top w:val="nil"/>
              <w:left w:val="single" w:sz="4" w:space="0" w:color="auto"/>
              <w:bottom w:val="nil"/>
              <w:right w:val="nil"/>
            </w:tcBorders>
            <w:vAlign w:val="center"/>
          </w:tcPr>
          <w:p w:rsidR="002152FB" w:rsidRPr="00323513" w:rsidRDefault="002152FB" w:rsidP="00B42D6F">
            <w:pPr>
              <w:widowControl w:val="0"/>
              <w:rPr>
                <w:color w:val="000000"/>
              </w:rPr>
            </w:pPr>
            <w:r w:rsidRPr="00323513">
              <w:rPr>
                <w:color w:val="000000"/>
              </w:rPr>
              <w:t>(0.160)</w:t>
            </w:r>
          </w:p>
        </w:tc>
        <w:tc>
          <w:tcPr>
            <w:tcW w:w="1236" w:type="dxa"/>
            <w:tcBorders>
              <w:top w:val="nil"/>
              <w:left w:val="single" w:sz="4" w:space="0" w:color="auto"/>
              <w:bottom w:val="nil"/>
              <w:right w:val="nil"/>
            </w:tcBorders>
            <w:vAlign w:val="center"/>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-0.077</w:t>
            </w:r>
          </w:p>
        </w:tc>
        <w:tc>
          <w:tcPr>
            <w:tcW w:w="946" w:type="dxa"/>
            <w:tcBorders>
              <w:top w:val="nil"/>
              <w:left w:val="nil"/>
              <w:bottom w:val="nil"/>
              <w:right w:val="single" w:sz="4" w:space="0" w:color="auto"/>
            </w:tcBorders>
            <w:vAlign w:val="center"/>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(0.164)</w:t>
            </w:r>
          </w:p>
        </w:tc>
      </w:tr>
      <w:tr w:rsidR="002152FB" w:rsidRPr="00323513" w:rsidTr="00082F4B">
        <w:trPr>
          <w:trHeight w:val="300"/>
          <w:jc w:val="center"/>
        </w:trPr>
        <w:tc>
          <w:tcPr>
            <w:tcW w:w="3796" w:type="dxa"/>
            <w:tcBorders>
              <w:top w:val="nil"/>
              <w:left w:val="single" w:sz="4" w:space="0" w:color="auto"/>
              <w:bottom w:val="nil"/>
              <w:right w:val="single" w:sz="4" w:space="0" w:color="auto"/>
            </w:tcBorders>
            <w:shd w:val="clear" w:color="auto" w:fill="auto"/>
            <w:noWrap/>
            <w:vAlign w:val="center"/>
            <w:hideMark/>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Education</w:t>
            </w:r>
          </w:p>
        </w:tc>
        <w:tc>
          <w:tcPr>
            <w:tcW w:w="1236" w:type="dxa"/>
            <w:tcBorders>
              <w:top w:val="nil"/>
              <w:left w:val="single" w:sz="4" w:space="0" w:color="auto"/>
              <w:bottom w:val="nil"/>
              <w:right w:val="nil"/>
            </w:tcBorders>
            <w:shd w:val="clear" w:color="auto" w:fill="auto"/>
            <w:noWrap/>
            <w:vAlign w:val="bottom"/>
            <w:hideMark/>
          </w:tcPr>
          <w:p w:rsidR="002152FB" w:rsidRPr="00323513" w:rsidRDefault="002152FB" w:rsidP="00B42D6F">
            <w:pPr>
              <w:rPr>
                <w:color w:val="000000"/>
              </w:rPr>
            </w:pPr>
            <w:r w:rsidRPr="00323513">
              <w:rPr>
                <w:color w:val="000000"/>
              </w:rPr>
              <w:t>-0.062</w:t>
            </w:r>
          </w:p>
        </w:tc>
        <w:tc>
          <w:tcPr>
            <w:tcW w:w="1120" w:type="dxa"/>
            <w:tcBorders>
              <w:top w:val="nil"/>
              <w:left w:val="nil"/>
              <w:bottom w:val="nil"/>
              <w:right w:val="single" w:sz="4" w:space="0" w:color="auto"/>
            </w:tcBorders>
            <w:shd w:val="clear" w:color="auto" w:fill="auto"/>
            <w:noWrap/>
            <w:vAlign w:val="bottom"/>
            <w:hideMark/>
          </w:tcPr>
          <w:p w:rsidR="002152FB" w:rsidRPr="00323513" w:rsidRDefault="002152FB" w:rsidP="00B42D6F">
            <w:pPr>
              <w:rPr>
                <w:color w:val="000000"/>
              </w:rPr>
            </w:pPr>
            <w:r w:rsidRPr="00323513">
              <w:rPr>
                <w:color w:val="000000"/>
              </w:rPr>
              <w:t>(0.043)</w:t>
            </w:r>
          </w:p>
        </w:tc>
        <w:tc>
          <w:tcPr>
            <w:tcW w:w="1236" w:type="dxa"/>
            <w:tcBorders>
              <w:top w:val="nil"/>
              <w:left w:val="single" w:sz="4" w:space="0" w:color="auto"/>
              <w:bottom w:val="nil"/>
              <w:right w:val="single" w:sz="4" w:space="0" w:color="auto"/>
            </w:tcBorders>
            <w:vAlign w:val="center"/>
          </w:tcPr>
          <w:p w:rsidR="002152FB" w:rsidRPr="00323513" w:rsidRDefault="002152FB" w:rsidP="00B42D6F">
            <w:pPr>
              <w:widowControl w:val="0"/>
              <w:rPr>
                <w:color w:val="000000"/>
              </w:rPr>
            </w:pPr>
            <w:r w:rsidRPr="00323513">
              <w:rPr>
                <w:color w:val="000000"/>
              </w:rPr>
              <w:t>-0.057</w:t>
            </w:r>
          </w:p>
        </w:tc>
        <w:tc>
          <w:tcPr>
            <w:tcW w:w="1201" w:type="dxa"/>
            <w:tcBorders>
              <w:top w:val="nil"/>
              <w:left w:val="single" w:sz="4" w:space="0" w:color="auto"/>
              <w:bottom w:val="nil"/>
              <w:right w:val="nil"/>
            </w:tcBorders>
            <w:vAlign w:val="center"/>
          </w:tcPr>
          <w:p w:rsidR="002152FB" w:rsidRPr="00323513" w:rsidRDefault="002152FB" w:rsidP="00B42D6F">
            <w:pPr>
              <w:widowControl w:val="0"/>
              <w:rPr>
                <w:color w:val="000000"/>
              </w:rPr>
            </w:pPr>
            <w:r w:rsidRPr="00323513">
              <w:rPr>
                <w:color w:val="000000"/>
              </w:rPr>
              <w:t>(0.044)</w:t>
            </w:r>
          </w:p>
        </w:tc>
        <w:tc>
          <w:tcPr>
            <w:tcW w:w="1236" w:type="dxa"/>
            <w:tcBorders>
              <w:top w:val="nil"/>
              <w:left w:val="single" w:sz="4" w:space="0" w:color="auto"/>
              <w:bottom w:val="nil"/>
              <w:right w:val="nil"/>
            </w:tcBorders>
            <w:vAlign w:val="center"/>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-0.060</w:t>
            </w:r>
          </w:p>
        </w:tc>
        <w:tc>
          <w:tcPr>
            <w:tcW w:w="946" w:type="dxa"/>
            <w:tcBorders>
              <w:top w:val="nil"/>
              <w:left w:val="nil"/>
              <w:bottom w:val="nil"/>
              <w:right w:val="single" w:sz="4" w:space="0" w:color="auto"/>
            </w:tcBorders>
            <w:vAlign w:val="center"/>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(0.049)</w:t>
            </w:r>
          </w:p>
        </w:tc>
      </w:tr>
      <w:tr w:rsidR="002152FB" w:rsidRPr="00323513" w:rsidTr="00082F4B">
        <w:trPr>
          <w:trHeight w:val="300"/>
          <w:jc w:val="center"/>
        </w:trPr>
        <w:tc>
          <w:tcPr>
            <w:tcW w:w="3796" w:type="dxa"/>
            <w:tcBorders>
              <w:top w:val="nil"/>
              <w:left w:val="single" w:sz="4" w:space="0" w:color="auto"/>
              <w:bottom w:val="nil"/>
              <w:right w:val="single" w:sz="4" w:space="0" w:color="auto"/>
            </w:tcBorders>
            <w:shd w:val="clear" w:color="auto" w:fill="auto"/>
            <w:noWrap/>
            <w:vAlign w:val="center"/>
            <w:hideMark/>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Income</w:t>
            </w:r>
          </w:p>
        </w:tc>
        <w:tc>
          <w:tcPr>
            <w:tcW w:w="1236" w:type="dxa"/>
            <w:tcBorders>
              <w:top w:val="nil"/>
              <w:left w:val="single" w:sz="4" w:space="0" w:color="auto"/>
              <w:bottom w:val="nil"/>
              <w:right w:val="nil"/>
            </w:tcBorders>
            <w:shd w:val="clear" w:color="auto" w:fill="auto"/>
            <w:noWrap/>
            <w:vAlign w:val="bottom"/>
            <w:hideMark/>
          </w:tcPr>
          <w:p w:rsidR="002152FB" w:rsidRPr="00323513" w:rsidRDefault="002152FB" w:rsidP="00B42D6F">
            <w:pPr>
              <w:rPr>
                <w:color w:val="000000"/>
              </w:rPr>
            </w:pPr>
            <w:r w:rsidRPr="00323513">
              <w:rPr>
                <w:color w:val="000000"/>
              </w:rPr>
              <w:t>-0.066</w:t>
            </w:r>
          </w:p>
        </w:tc>
        <w:tc>
          <w:tcPr>
            <w:tcW w:w="1120" w:type="dxa"/>
            <w:tcBorders>
              <w:top w:val="nil"/>
              <w:left w:val="nil"/>
              <w:bottom w:val="nil"/>
              <w:right w:val="single" w:sz="4" w:space="0" w:color="auto"/>
            </w:tcBorders>
            <w:shd w:val="clear" w:color="auto" w:fill="auto"/>
            <w:noWrap/>
            <w:vAlign w:val="bottom"/>
            <w:hideMark/>
          </w:tcPr>
          <w:p w:rsidR="002152FB" w:rsidRPr="00323513" w:rsidRDefault="002152FB" w:rsidP="00B42D6F">
            <w:pPr>
              <w:rPr>
                <w:color w:val="000000"/>
              </w:rPr>
            </w:pPr>
            <w:r w:rsidRPr="00323513">
              <w:rPr>
                <w:color w:val="000000"/>
              </w:rPr>
              <w:t>(0.103)</w:t>
            </w:r>
          </w:p>
        </w:tc>
        <w:tc>
          <w:tcPr>
            <w:tcW w:w="1236" w:type="dxa"/>
            <w:tcBorders>
              <w:top w:val="nil"/>
              <w:left w:val="single" w:sz="4" w:space="0" w:color="auto"/>
              <w:bottom w:val="nil"/>
              <w:right w:val="single" w:sz="4" w:space="0" w:color="auto"/>
            </w:tcBorders>
            <w:vAlign w:val="center"/>
          </w:tcPr>
          <w:p w:rsidR="002152FB" w:rsidRPr="00323513" w:rsidRDefault="002152FB" w:rsidP="00B42D6F">
            <w:pPr>
              <w:widowControl w:val="0"/>
              <w:rPr>
                <w:color w:val="000000"/>
              </w:rPr>
            </w:pPr>
            <w:r w:rsidRPr="00323513">
              <w:rPr>
                <w:color w:val="000000"/>
              </w:rPr>
              <w:t>-0.058</w:t>
            </w:r>
          </w:p>
        </w:tc>
        <w:tc>
          <w:tcPr>
            <w:tcW w:w="1201" w:type="dxa"/>
            <w:tcBorders>
              <w:top w:val="nil"/>
              <w:left w:val="single" w:sz="4" w:space="0" w:color="auto"/>
              <w:bottom w:val="nil"/>
              <w:right w:val="nil"/>
            </w:tcBorders>
            <w:vAlign w:val="center"/>
          </w:tcPr>
          <w:p w:rsidR="002152FB" w:rsidRPr="00323513" w:rsidRDefault="002152FB" w:rsidP="00B42D6F">
            <w:pPr>
              <w:widowControl w:val="0"/>
              <w:rPr>
                <w:color w:val="000000"/>
              </w:rPr>
            </w:pPr>
            <w:r w:rsidRPr="00323513">
              <w:rPr>
                <w:color w:val="000000"/>
              </w:rPr>
              <w:t>(0.104)</w:t>
            </w:r>
          </w:p>
        </w:tc>
        <w:tc>
          <w:tcPr>
            <w:tcW w:w="1236" w:type="dxa"/>
            <w:tcBorders>
              <w:top w:val="nil"/>
              <w:left w:val="single" w:sz="4" w:space="0" w:color="auto"/>
              <w:bottom w:val="nil"/>
              <w:right w:val="nil"/>
            </w:tcBorders>
            <w:vAlign w:val="center"/>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-0.013</w:t>
            </w:r>
          </w:p>
        </w:tc>
        <w:tc>
          <w:tcPr>
            <w:tcW w:w="946" w:type="dxa"/>
            <w:tcBorders>
              <w:top w:val="nil"/>
              <w:left w:val="nil"/>
              <w:bottom w:val="nil"/>
              <w:right w:val="single" w:sz="4" w:space="0" w:color="auto"/>
            </w:tcBorders>
            <w:vAlign w:val="center"/>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(0.027)</w:t>
            </w:r>
          </w:p>
        </w:tc>
      </w:tr>
      <w:tr w:rsidR="002152FB" w:rsidRPr="00323513" w:rsidTr="00082F4B">
        <w:trPr>
          <w:trHeight w:val="300"/>
          <w:jc w:val="center"/>
        </w:trPr>
        <w:tc>
          <w:tcPr>
            <w:tcW w:w="3796" w:type="dxa"/>
            <w:tcBorders>
              <w:top w:val="nil"/>
              <w:left w:val="single" w:sz="4" w:space="0" w:color="auto"/>
              <w:bottom w:val="nil"/>
              <w:right w:val="single" w:sz="4" w:space="0" w:color="auto"/>
            </w:tcBorders>
            <w:shd w:val="clear" w:color="auto" w:fill="auto"/>
            <w:noWrap/>
            <w:vAlign w:val="center"/>
            <w:hideMark/>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Rural</w:t>
            </w:r>
          </w:p>
        </w:tc>
        <w:tc>
          <w:tcPr>
            <w:tcW w:w="1236" w:type="dxa"/>
            <w:tcBorders>
              <w:top w:val="nil"/>
              <w:left w:val="single" w:sz="4" w:space="0" w:color="auto"/>
              <w:bottom w:val="nil"/>
              <w:right w:val="nil"/>
            </w:tcBorders>
            <w:shd w:val="clear" w:color="auto" w:fill="auto"/>
            <w:noWrap/>
            <w:vAlign w:val="bottom"/>
            <w:hideMark/>
          </w:tcPr>
          <w:p w:rsidR="002152FB" w:rsidRPr="00323513" w:rsidRDefault="002152FB" w:rsidP="00B42D6F">
            <w:pPr>
              <w:rPr>
                <w:color w:val="000000"/>
              </w:rPr>
            </w:pPr>
            <w:r w:rsidRPr="00323513">
              <w:rPr>
                <w:color w:val="000000"/>
              </w:rPr>
              <w:t>0.405**</w:t>
            </w:r>
          </w:p>
        </w:tc>
        <w:tc>
          <w:tcPr>
            <w:tcW w:w="1120" w:type="dxa"/>
            <w:tcBorders>
              <w:top w:val="nil"/>
              <w:left w:val="nil"/>
              <w:bottom w:val="nil"/>
              <w:right w:val="single" w:sz="4" w:space="0" w:color="auto"/>
            </w:tcBorders>
            <w:shd w:val="clear" w:color="auto" w:fill="auto"/>
            <w:noWrap/>
            <w:vAlign w:val="bottom"/>
            <w:hideMark/>
          </w:tcPr>
          <w:p w:rsidR="002152FB" w:rsidRPr="00323513" w:rsidRDefault="002152FB" w:rsidP="00B42D6F">
            <w:pPr>
              <w:rPr>
                <w:color w:val="000000"/>
              </w:rPr>
            </w:pPr>
            <w:r w:rsidRPr="00323513">
              <w:rPr>
                <w:color w:val="000000"/>
              </w:rPr>
              <w:t>(0.202)</w:t>
            </w:r>
          </w:p>
        </w:tc>
        <w:tc>
          <w:tcPr>
            <w:tcW w:w="1236" w:type="dxa"/>
            <w:tcBorders>
              <w:top w:val="nil"/>
              <w:left w:val="single" w:sz="4" w:space="0" w:color="auto"/>
              <w:bottom w:val="nil"/>
              <w:right w:val="single" w:sz="4" w:space="0" w:color="auto"/>
            </w:tcBorders>
            <w:vAlign w:val="center"/>
          </w:tcPr>
          <w:p w:rsidR="002152FB" w:rsidRPr="00323513" w:rsidRDefault="002152FB" w:rsidP="00B42D6F">
            <w:pPr>
              <w:widowControl w:val="0"/>
              <w:rPr>
                <w:color w:val="000000"/>
              </w:rPr>
            </w:pPr>
            <w:r w:rsidRPr="00323513">
              <w:rPr>
                <w:color w:val="000000"/>
              </w:rPr>
              <w:t>0.394**</w:t>
            </w:r>
          </w:p>
        </w:tc>
        <w:tc>
          <w:tcPr>
            <w:tcW w:w="1201" w:type="dxa"/>
            <w:tcBorders>
              <w:top w:val="nil"/>
              <w:left w:val="single" w:sz="4" w:space="0" w:color="auto"/>
              <w:bottom w:val="nil"/>
              <w:right w:val="nil"/>
            </w:tcBorders>
            <w:vAlign w:val="center"/>
          </w:tcPr>
          <w:p w:rsidR="002152FB" w:rsidRPr="00323513" w:rsidRDefault="002152FB" w:rsidP="00B42D6F">
            <w:pPr>
              <w:widowControl w:val="0"/>
              <w:rPr>
                <w:color w:val="000000"/>
              </w:rPr>
            </w:pPr>
            <w:r w:rsidRPr="00323513">
              <w:rPr>
                <w:color w:val="000000"/>
              </w:rPr>
              <w:t>(0.202)</w:t>
            </w:r>
          </w:p>
        </w:tc>
        <w:tc>
          <w:tcPr>
            <w:tcW w:w="1236" w:type="dxa"/>
            <w:tcBorders>
              <w:top w:val="nil"/>
              <w:left w:val="single" w:sz="4" w:space="0" w:color="auto"/>
              <w:bottom w:val="nil"/>
              <w:right w:val="nil"/>
            </w:tcBorders>
            <w:vAlign w:val="center"/>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0.365*</w:t>
            </w:r>
          </w:p>
        </w:tc>
        <w:tc>
          <w:tcPr>
            <w:tcW w:w="946" w:type="dxa"/>
            <w:tcBorders>
              <w:top w:val="nil"/>
              <w:left w:val="nil"/>
              <w:bottom w:val="nil"/>
              <w:right w:val="single" w:sz="4" w:space="0" w:color="auto"/>
            </w:tcBorders>
            <w:vAlign w:val="center"/>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(0.206)</w:t>
            </w:r>
          </w:p>
        </w:tc>
      </w:tr>
      <w:tr w:rsidR="002152FB" w:rsidRPr="00323513" w:rsidTr="00082F4B">
        <w:trPr>
          <w:trHeight w:val="300"/>
          <w:jc w:val="center"/>
        </w:trPr>
        <w:tc>
          <w:tcPr>
            <w:tcW w:w="3796" w:type="dxa"/>
            <w:tcBorders>
              <w:top w:val="nil"/>
              <w:left w:val="single" w:sz="4" w:space="0" w:color="auto"/>
              <w:bottom w:val="nil"/>
              <w:right w:val="single" w:sz="4" w:space="0" w:color="auto"/>
            </w:tcBorders>
            <w:shd w:val="clear" w:color="auto" w:fill="auto"/>
            <w:noWrap/>
            <w:vAlign w:val="center"/>
            <w:hideMark/>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Capital District</w:t>
            </w:r>
          </w:p>
        </w:tc>
        <w:tc>
          <w:tcPr>
            <w:tcW w:w="1236" w:type="dxa"/>
            <w:tcBorders>
              <w:top w:val="nil"/>
              <w:left w:val="single" w:sz="4" w:space="0" w:color="auto"/>
              <w:bottom w:val="nil"/>
              <w:right w:val="nil"/>
            </w:tcBorders>
            <w:shd w:val="clear" w:color="auto" w:fill="auto"/>
            <w:noWrap/>
            <w:vAlign w:val="bottom"/>
            <w:hideMark/>
          </w:tcPr>
          <w:p w:rsidR="002152FB" w:rsidRPr="00323513" w:rsidRDefault="002152FB" w:rsidP="00B42D6F">
            <w:pPr>
              <w:rPr>
                <w:color w:val="000000"/>
              </w:rPr>
            </w:pPr>
            <w:r w:rsidRPr="00323513">
              <w:rPr>
                <w:color w:val="000000"/>
              </w:rPr>
              <w:t>-0.058</w:t>
            </w:r>
          </w:p>
        </w:tc>
        <w:tc>
          <w:tcPr>
            <w:tcW w:w="1120" w:type="dxa"/>
            <w:tcBorders>
              <w:top w:val="nil"/>
              <w:left w:val="nil"/>
              <w:bottom w:val="nil"/>
              <w:right w:val="single" w:sz="4" w:space="0" w:color="auto"/>
            </w:tcBorders>
            <w:shd w:val="clear" w:color="auto" w:fill="auto"/>
            <w:noWrap/>
            <w:vAlign w:val="bottom"/>
            <w:hideMark/>
          </w:tcPr>
          <w:p w:rsidR="002152FB" w:rsidRPr="00323513" w:rsidRDefault="002152FB" w:rsidP="00B42D6F">
            <w:pPr>
              <w:rPr>
                <w:color w:val="000000"/>
              </w:rPr>
            </w:pPr>
            <w:r w:rsidRPr="00323513">
              <w:rPr>
                <w:color w:val="000000"/>
              </w:rPr>
              <w:t>(0.272)</w:t>
            </w:r>
          </w:p>
        </w:tc>
        <w:tc>
          <w:tcPr>
            <w:tcW w:w="1236" w:type="dxa"/>
            <w:tcBorders>
              <w:top w:val="nil"/>
              <w:left w:val="single" w:sz="4" w:space="0" w:color="auto"/>
              <w:bottom w:val="nil"/>
              <w:right w:val="single" w:sz="4" w:space="0" w:color="auto"/>
            </w:tcBorders>
            <w:vAlign w:val="center"/>
          </w:tcPr>
          <w:p w:rsidR="002152FB" w:rsidRPr="00323513" w:rsidRDefault="002152FB" w:rsidP="00B42D6F">
            <w:pPr>
              <w:widowControl w:val="0"/>
              <w:rPr>
                <w:color w:val="000000"/>
              </w:rPr>
            </w:pPr>
            <w:r w:rsidRPr="00323513">
              <w:rPr>
                <w:color w:val="000000"/>
              </w:rPr>
              <w:t>-0.074</w:t>
            </w:r>
          </w:p>
        </w:tc>
        <w:tc>
          <w:tcPr>
            <w:tcW w:w="1201" w:type="dxa"/>
            <w:tcBorders>
              <w:top w:val="nil"/>
              <w:left w:val="single" w:sz="4" w:space="0" w:color="auto"/>
              <w:bottom w:val="nil"/>
              <w:right w:val="nil"/>
            </w:tcBorders>
            <w:vAlign w:val="center"/>
          </w:tcPr>
          <w:p w:rsidR="002152FB" w:rsidRPr="00323513" w:rsidRDefault="002152FB" w:rsidP="00B42D6F">
            <w:pPr>
              <w:widowControl w:val="0"/>
              <w:rPr>
                <w:color w:val="000000"/>
              </w:rPr>
            </w:pPr>
            <w:r w:rsidRPr="00323513">
              <w:rPr>
                <w:color w:val="000000"/>
              </w:rPr>
              <w:t>(0.273)</w:t>
            </w:r>
          </w:p>
        </w:tc>
        <w:tc>
          <w:tcPr>
            <w:tcW w:w="1236" w:type="dxa"/>
            <w:tcBorders>
              <w:top w:val="nil"/>
              <w:left w:val="single" w:sz="4" w:space="0" w:color="auto"/>
              <w:bottom w:val="nil"/>
              <w:right w:val="nil"/>
            </w:tcBorders>
            <w:vAlign w:val="center"/>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-0.093</w:t>
            </w:r>
          </w:p>
        </w:tc>
        <w:tc>
          <w:tcPr>
            <w:tcW w:w="946" w:type="dxa"/>
            <w:tcBorders>
              <w:top w:val="nil"/>
              <w:left w:val="nil"/>
              <w:bottom w:val="nil"/>
              <w:right w:val="single" w:sz="4" w:space="0" w:color="auto"/>
            </w:tcBorders>
            <w:vAlign w:val="center"/>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(0.273)</w:t>
            </w:r>
          </w:p>
        </w:tc>
      </w:tr>
      <w:tr w:rsidR="002152FB" w:rsidRPr="00323513" w:rsidTr="00082F4B">
        <w:trPr>
          <w:trHeight w:val="300"/>
          <w:jc w:val="center"/>
        </w:trPr>
        <w:tc>
          <w:tcPr>
            <w:tcW w:w="3796" w:type="dxa"/>
            <w:tcBorders>
              <w:top w:val="nil"/>
              <w:left w:val="single" w:sz="4" w:space="0" w:color="auto"/>
              <w:bottom w:val="nil"/>
              <w:right w:val="single" w:sz="4" w:space="0" w:color="auto"/>
            </w:tcBorders>
            <w:shd w:val="clear" w:color="auto" w:fill="auto"/>
            <w:noWrap/>
            <w:vAlign w:val="center"/>
            <w:hideMark/>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Greater Buenos Aires</w:t>
            </w:r>
          </w:p>
        </w:tc>
        <w:tc>
          <w:tcPr>
            <w:tcW w:w="1236" w:type="dxa"/>
            <w:tcBorders>
              <w:top w:val="nil"/>
              <w:left w:val="single" w:sz="4" w:space="0" w:color="auto"/>
              <w:bottom w:val="nil"/>
              <w:right w:val="nil"/>
            </w:tcBorders>
            <w:shd w:val="clear" w:color="auto" w:fill="auto"/>
            <w:noWrap/>
            <w:vAlign w:val="bottom"/>
            <w:hideMark/>
          </w:tcPr>
          <w:p w:rsidR="002152FB" w:rsidRPr="00323513" w:rsidRDefault="002152FB" w:rsidP="00B42D6F">
            <w:pPr>
              <w:rPr>
                <w:color w:val="000000"/>
              </w:rPr>
            </w:pPr>
            <w:r w:rsidRPr="00323513">
              <w:rPr>
                <w:color w:val="000000"/>
              </w:rPr>
              <w:t>0.364</w:t>
            </w:r>
            <w:r w:rsidRPr="00323513">
              <w:rPr>
                <w:rFonts w:eastAsia="Times New Roman"/>
                <w:color w:val="000000"/>
                <w:lang w:bidi="ar-SA"/>
              </w:rPr>
              <w:t>*</w:t>
            </w:r>
          </w:p>
        </w:tc>
        <w:tc>
          <w:tcPr>
            <w:tcW w:w="1120" w:type="dxa"/>
            <w:tcBorders>
              <w:top w:val="nil"/>
              <w:left w:val="nil"/>
              <w:bottom w:val="nil"/>
              <w:right w:val="single" w:sz="4" w:space="0" w:color="auto"/>
            </w:tcBorders>
            <w:shd w:val="clear" w:color="auto" w:fill="auto"/>
            <w:noWrap/>
            <w:vAlign w:val="bottom"/>
            <w:hideMark/>
          </w:tcPr>
          <w:p w:rsidR="002152FB" w:rsidRPr="00323513" w:rsidRDefault="002152FB" w:rsidP="00B42D6F">
            <w:pPr>
              <w:rPr>
                <w:color w:val="000000"/>
              </w:rPr>
            </w:pPr>
            <w:r w:rsidRPr="00323513">
              <w:rPr>
                <w:color w:val="000000"/>
              </w:rPr>
              <w:t>(0.217)</w:t>
            </w:r>
          </w:p>
        </w:tc>
        <w:tc>
          <w:tcPr>
            <w:tcW w:w="1236" w:type="dxa"/>
            <w:tcBorders>
              <w:top w:val="nil"/>
              <w:left w:val="single" w:sz="4" w:space="0" w:color="auto"/>
              <w:bottom w:val="nil"/>
              <w:right w:val="single" w:sz="4" w:space="0" w:color="auto"/>
            </w:tcBorders>
            <w:vAlign w:val="center"/>
          </w:tcPr>
          <w:p w:rsidR="002152FB" w:rsidRPr="00323513" w:rsidRDefault="002152FB" w:rsidP="00B42D6F">
            <w:pPr>
              <w:widowControl w:val="0"/>
              <w:rPr>
                <w:color w:val="000000"/>
              </w:rPr>
            </w:pPr>
            <w:r w:rsidRPr="00323513">
              <w:rPr>
                <w:color w:val="000000"/>
              </w:rPr>
              <w:t>0.359</w:t>
            </w:r>
            <w:r w:rsidRPr="00323513">
              <w:rPr>
                <w:rFonts w:eastAsia="Times New Roman"/>
                <w:color w:val="000000"/>
                <w:lang w:bidi="ar-SA"/>
              </w:rPr>
              <w:t>*</w:t>
            </w:r>
          </w:p>
        </w:tc>
        <w:tc>
          <w:tcPr>
            <w:tcW w:w="1201" w:type="dxa"/>
            <w:tcBorders>
              <w:top w:val="nil"/>
              <w:left w:val="single" w:sz="4" w:space="0" w:color="auto"/>
              <w:bottom w:val="nil"/>
              <w:right w:val="nil"/>
            </w:tcBorders>
            <w:vAlign w:val="center"/>
          </w:tcPr>
          <w:p w:rsidR="002152FB" w:rsidRPr="00323513" w:rsidRDefault="002152FB" w:rsidP="00B42D6F">
            <w:pPr>
              <w:widowControl w:val="0"/>
              <w:rPr>
                <w:color w:val="000000"/>
              </w:rPr>
            </w:pPr>
            <w:r w:rsidRPr="00323513">
              <w:rPr>
                <w:color w:val="000000"/>
              </w:rPr>
              <w:t>(0.217)</w:t>
            </w:r>
          </w:p>
        </w:tc>
        <w:tc>
          <w:tcPr>
            <w:tcW w:w="1236" w:type="dxa"/>
            <w:tcBorders>
              <w:top w:val="nil"/>
              <w:left w:val="single" w:sz="4" w:space="0" w:color="auto"/>
              <w:bottom w:val="nil"/>
              <w:right w:val="nil"/>
            </w:tcBorders>
            <w:vAlign w:val="center"/>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0.352</w:t>
            </w:r>
          </w:p>
        </w:tc>
        <w:tc>
          <w:tcPr>
            <w:tcW w:w="946" w:type="dxa"/>
            <w:tcBorders>
              <w:top w:val="nil"/>
              <w:left w:val="nil"/>
              <w:bottom w:val="nil"/>
              <w:right w:val="single" w:sz="4" w:space="0" w:color="auto"/>
            </w:tcBorders>
            <w:vAlign w:val="center"/>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(0.218)</w:t>
            </w:r>
          </w:p>
        </w:tc>
      </w:tr>
      <w:tr w:rsidR="002152FB" w:rsidRPr="00323513" w:rsidTr="00082F4B">
        <w:trPr>
          <w:trHeight w:val="300"/>
          <w:jc w:val="center"/>
        </w:trPr>
        <w:tc>
          <w:tcPr>
            <w:tcW w:w="3796" w:type="dxa"/>
            <w:tcBorders>
              <w:top w:val="nil"/>
              <w:left w:val="single" w:sz="4" w:space="0" w:color="auto"/>
              <w:bottom w:val="single" w:sz="4" w:space="0" w:color="auto"/>
              <w:right w:val="single" w:sz="4" w:space="0" w:color="auto"/>
            </w:tcBorders>
            <w:shd w:val="clear" w:color="auto" w:fill="auto"/>
            <w:noWrap/>
            <w:vAlign w:val="center"/>
            <w:hideMark/>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Constant</w:t>
            </w:r>
          </w:p>
        </w:tc>
        <w:tc>
          <w:tcPr>
            <w:tcW w:w="1236" w:type="dxa"/>
            <w:tcBorders>
              <w:top w:val="nil"/>
              <w:left w:val="single" w:sz="4" w:space="0" w:color="auto"/>
              <w:bottom w:val="single" w:sz="4" w:space="0" w:color="auto"/>
              <w:right w:val="nil"/>
            </w:tcBorders>
            <w:shd w:val="clear" w:color="auto" w:fill="auto"/>
            <w:noWrap/>
            <w:vAlign w:val="bottom"/>
            <w:hideMark/>
          </w:tcPr>
          <w:p w:rsidR="002152FB" w:rsidRPr="00323513" w:rsidRDefault="002152FB" w:rsidP="00B42D6F">
            <w:pPr>
              <w:rPr>
                <w:color w:val="000000"/>
              </w:rPr>
            </w:pPr>
            <w:r w:rsidRPr="00323513">
              <w:rPr>
                <w:color w:val="000000"/>
              </w:rPr>
              <w:t>-1.829***</w:t>
            </w:r>
          </w:p>
        </w:tc>
        <w:tc>
          <w:tcPr>
            <w:tcW w:w="1120" w:type="dxa"/>
            <w:tcBorders>
              <w:top w:val="nil"/>
              <w:left w:val="nil"/>
              <w:bottom w:val="single" w:sz="4" w:space="0" w:color="auto"/>
              <w:right w:val="single" w:sz="4" w:space="0" w:color="auto"/>
            </w:tcBorders>
            <w:shd w:val="clear" w:color="auto" w:fill="auto"/>
            <w:noWrap/>
            <w:vAlign w:val="bottom"/>
            <w:hideMark/>
          </w:tcPr>
          <w:p w:rsidR="002152FB" w:rsidRPr="00323513" w:rsidRDefault="002152FB" w:rsidP="00B42D6F">
            <w:pPr>
              <w:rPr>
                <w:color w:val="000000"/>
              </w:rPr>
            </w:pPr>
            <w:r w:rsidRPr="00323513">
              <w:rPr>
                <w:color w:val="000000"/>
              </w:rPr>
              <w:t>(0.418)</w:t>
            </w:r>
          </w:p>
        </w:tc>
        <w:tc>
          <w:tcPr>
            <w:tcW w:w="1236" w:type="dxa"/>
            <w:tcBorders>
              <w:top w:val="nil"/>
              <w:left w:val="single" w:sz="4" w:space="0" w:color="auto"/>
              <w:bottom w:val="single" w:sz="4" w:space="0" w:color="auto"/>
              <w:right w:val="single" w:sz="4" w:space="0" w:color="auto"/>
            </w:tcBorders>
            <w:vAlign w:val="center"/>
          </w:tcPr>
          <w:p w:rsidR="002152FB" w:rsidRPr="00323513" w:rsidRDefault="002152FB" w:rsidP="00B42D6F">
            <w:pPr>
              <w:widowControl w:val="0"/>
              <w:rPr>
                <w:color w:val="000000"/>
              </w:rPr>
            </w:pPr>
            <w:r w:rsidRPr="00323513">
              <w:rPr>
                <w:color w:val="000000"/>
              </w:rPr>
              <w:t>-1.902***</w:t>
            </w:r>
          </w:p>
        </w:tc>
        <w:tc>
          <w:tcPr>
            <w:tcW w:w="1201" w:type="dxa"/>
            <w:tcBorders>
              <w:top w:val="nil"/>
              <w:left w:val="single" w:sz="4" w:space="0" w:color="auto"/>
              <w:bottom w:val="single" w:sz="4" w:space="0" w:color="auto"/>
              <w:right w:val="nil"/>
            </w:tcBorders>
            <w:vAlign w:val="center"/>
          </w:tcPr>
          <w:p w:rsidR="002152FB" w:rsidRPr="00323513" w:rsidRDefault="002152FB" w:rsidP="00B42D6F">
            <w:pPr>
              <w:widowControl w:val="0"/>
              <w:rPr>
                <w:color w:val="000000"/>
              </w:rPr>
            </w:pPr>
            <w:r w:rsidRPr="00323513">
              <w:rPr>
                <w:color w:val="000000"/>
              </w:rPr>
              <w:t>(0.433)</w:t>
            </w:r>
          </w:p>
        </w:tc>
        <w:tc>
          <w:tcPr>
            <w:tcW w:w="1236" w:type="dxa"/>
            <w:tcBorders>
              <w:top w:val="nil"/>
              <w:left w:val="single" w:sz="4" w:space="0" w:color="auto"/>
              <w:bottom w:val="single" w:sz="4" w:space="0" w:color="auto"/>
              <w:right w:val="nil"/>
            </w:tcBorders>
            <w:vAlign w:val="center"/>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-1.402***</w:t>
            </w:r>
          </w:p>
        </w:tc>
        <w:tc>
          <w:tcPr>
            <w:tcW w:w="946" w:type="dxa"/>
            <w:tcBorders>
              <w:top w:val="nil"/>
              <w:left w:val="nil"/>
              <w:bottom w:val="single" w:sz="4" w:space="0" w:color="auto"/>
              <w:right w:val="single" w:sz="4" w:space="0" w:color="auto"/>
            </w:tcBorders>
            <w:vAlign w:val="center"/>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(0.494)</w:t>
            </w:r>
          </w:p>
        </w:tc>
      </w:tr>
      <w:tr w:rsidR="002152FB" w:rsidRPr="00323513" w:rsidTr="00082F4B">
        <w:trPr>
          <w:trHeight w:val="300"/>
          <w:jc w:val="center"/>
        </w:trPr>
        <w:tc>
          <w:tcPr>
            <w:tcW w:w="3796" w:type="dxa"/>
            <w:tcBorders>
              <w:top w:val="nil"/>
              <w:left w:val="single" w:sz="4" w:space="0" w:color="auto"/>
              <w:bottom w:val="nil"/>
              <w:right w:val="single" w:sz="4" w:space="0" w:color="auto"/>
            </w:tcBorders>
            <w:shd w:val="clear" w:color="auto" w:fill="auto"/>
            <w:noWrap/>
            <w:vAlign w:val="center"/>
            <w:hideMark/>
          </w:tcPr>
          <w:p w:rsidR="002152FB" w:rsidRPr="00323513" w:rsidRDefault="002152FB" w:rsidP="00B42D6F">
            <w:pPr>
              <w:widowControl w:val="0"/>
              <w:rPr>
                <w:rFonts w:eastAsia="Times New Roman"/>
                <w:color w:val="000000"/>
                <w:vertAlign w:val="superscript"/>
                <w:lang w:bidi="ar-SA"/>
              </w:rPr>
            </w:pPr>
            <w:r w:rsidRPr="00323513">
              <w:rPr>
                <w:rFonts w:eastAsia="Times New Roman"/>
                <w:color w:val="000000"/>
                <w:lang w:bidi="ar-SA"/>
              </w:rPr>
              <w:t>LR χ</w:t>
            </w:r>
            <w:r w:rsidRPr="00323513">
              <w:rPr>
                <w:rFonts w:eastAsia="Times New Roman"/>
                <w:color w:val="000000"/>
                <w:vertAlign w:val="superscript"/>
                <w:lang w:bidi="ar-SA"/>
              </w:rPr>
              <w:t>2</w:t>
            </w:r>
          </w:p>
        </w:tc>
        <w:tc>
          <w:tcPr>
            <w:tcW w:w="1236" w:type="dxa"/>
            <w:tcBorders>
              <w:top w:val="nil"/>
              <w:left w:val="single" w:sz="4" w:space="0" w:color="auto"/>
              <w:bottom w:val="nil"/>
              <w:right w:val="nil"/>
            </w:tcBorders>
            <w:shd w:val="clear" w:color="auto" w:fill="auto"/>
            <w:noWrap/>
            <w:vAlign w:val="center"/>
            <w:hideMark/>
          </w:tcPr>
          <w:p w:rsidR="002152FB" w:rsidRPr="00323513" w:rsidRDefault="002152FB" w:rsidP="00B42D6F">
            <w:pPr>
              <w:widowControl w:val="0"/>
              <w:rPr>
                <w:color w:val="000000"/>
              </w:rPr>
            </w:pPr>
            <w:r w:rsidRPr="00323513">
              <w:rPr>
                <w:color w:val="000000"/>
              </w:rPr>
              <w:t>223.67***</w:t>
            </w:r>
          </w:p>
        </w:tc>
        <w:tc>
          <w:tcPr>
            <w:tcW w:w="1120" w:type="dxa"/>
            <w:tcBorders>
              <w:top w:val="nil"/>
              <w:left w:val="nil"/>
              <w:bottom w:val="nil"/>
              <w:right w:val="single" w:sz="4" w:space="0" w:color="auto"/>
            </w:tcBorders>
            <w:shd w:val="clear" w:color="auto" w:fill="auto"/>
            <w:noWrap/>
            <w:vAlign w:val="center"/>
            <w:hideMark/>
          </w:tcPr>
          <w:p w:rsidR="002152FB" w:rsidRPr="00323513" w:rsidRDefault="002152FB" w:rsidP="00B42D6F">
            <w:pPr>
              <w:widowControl w:val="0"/>
              <w:rPr>
                <w:color w:val="000000"/>
              </w:rPr>
            </w:pPr>
          </w:p>
        </w:tc>
        <w:tc>
          <w:tcPr>
            <w:tcW w:w="1236" w:type="dxa"/>
            <w:tcBorders>
              <w:top w:val="nil"/>
              <w:left w:val="single" w:sz="4" w:space="0" w:color="auto"/>
              <w:bottom w:val="nil"/>
              <w:right w:val="single" w:sz="4" w:space="0" w:color="auto"/>
            </w:tcBorders>
            <w:vAlign w:val="center"/>
          </w:tcPr>
          <w:p w:rsidR="002152FB" w:rsidRPr="00323513" w:rsidRDefault="002152FB" w:rsidP="00B42D6F">
            <w:pPr>
              <w:widowControl w:val="0"/>
              <w:rPr>
                <w:color w:val="000000"/>
              </w:rPr>
            </w:pPr>
            <w:r w:rsidRPr="00323513">
              <w:rPr>
                <w:color w:val="000000"/>
              </w:rPr>
              <w:t>224.09***</w:t>
            </w:r>
          </w:p>
        </w:tc>
        <w:tc>
          <w:tcPr>
            <w:tcW w:w="1201" w:type="dxa"/>
            <w:tcBorders>
              <w:top w:val="nil"/>
              <w:left w:val="single" w:sz="4" w:space="0" w:color="auto"/>
              <w:bottom w:val="nil"/>
              <w:right w:val="nil"/>
            </w:tcBorders>
            <w:vAlign w:val="center"/>
          </w:tcPr>
          <w:p w:rsidR="002152FB" w:rsidRPr="00323513" w:rsidRDefault="002152FB" w:rsidP="00B42D6F">
            <w:pPr>
              <w:widowControl w:val="0"/>
              <w:rPr>
                <w:color w:val="000000"/>
              </w:rPr>
            </w:pPr>
          </w:p>
        </w:tc>
        <w:tc>
          <w:tcPr>
            <w:tcW w:w="1236" w:type="dxa"/>
            <w:tcBorders>
              <w:top w:val="nil"/>
              <w:left w:val="single" w:sz="4" w:space="0" w:color="auto"/>
              <w:bottom w:val="nil"/>
              <w:right w:val="nil"/>
            </w:tcBorders>
            <w:vAlign w:val="center"/>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227.97***</w:t>
            </w:r>
          </w:p>
        </w:tc>
        <w:tc>
          <w:tcPr>
            <w:tcW w:w="946" w:type="dxa"/>
            <w:tcBorders>
              <w:top w:val="nil"/>
              <w:left w:val="nil"/>
              <w:bottom w:val="nil"/>
              <w:right w:val="single" w:sz="4" w:space="0" w:color="auto"/>
            </w:tcBorders>
            <w:vAlign w:val="center"/>
          </w:tcPr>
          <w:p w:rsidR="002152FB" w:rsidRPr="00323513" w:rsidRDefault="002152FB" w:rsidP="00B42D6F">
            <w:pPr>
              <w:widowControl w:val="0"/>
              <w:rPr>
                <w:rFonts w:eastAsia="Times New Roman"/>
                <w:color w:val="000000"/>
                <w:lang w:bidi="ar-SA"/>
              </w:rPr>
            </w:pPr>
          </w:p>
        </w:tc>
      </w:tr>
      <w:tr w:rsidR="002152FB" w:rsidRPr="00323513" w:rsidTr="00082F4B">
        <w:trPr>
          <w:trHeight w:val="300"/>
          <w:jc w:val="center"/>
        </w:trPr>
        <w:tc>
          <w:tcPr>
            <w:tcW w:w="3796" w:type="dxa"/>
            <w:tcBorders>
              <w:top w:val="nil"/>
              <w:left w:val="single" w:sz="4" w:space="0" w:color="auto"/>
              <w:bottom w:val="single" w:sz="4" w:space="0" w:color="auto"/>
              <w:right w:val="single" w:sz="4" w:space="0" w:color="auto"/>
            </w:tcBorders>
            <w:shd w:val="clear" w:color="auto" w:fill="auto"/>
            <w:noWrap/>
            <w:vAlign w:val="center"/>
            <w:hideMark/>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Pseudo R</w:t>
            </w:r>
            <w:r w:rsidRPr="00323513">
              <w:rPr>
                <w:rFonts w:eastAsia="Times New Roman"/>
                <w:color w:val="000000"/>
                <w:vertAlign w:val="superscript"/>
                <w:lang w:bidi="ar-SA"/>
              </w:rPr>
              <w:t>2</w:t>
            </w:r>
          </w:p>
        </w:tc>
        <w:tc>
          <w:tcPr>
            <w:tcW w:w="1236" w:type="dxa"/>
            <w:tcBorders>
              <w:top w:val="nil"/>
              <w:left w:val="single" w:sz="4" w:space="0" w:color="auto"/>
              <w:bottom w:val="single" w:sz="4" w:space="0" w:color="auto"/>
              <w:right w:val="nil"/>
            </w:tcBorders>
            <w:shd w:val="clear" w:color="auto" w:fill="auto"/>
            <w:noWrap/>
            <w:vAlign w:val="center"/>
            <w:hideMark/>
          </w:tcPr>
          <w:p w:rsidR="002152FB" w:rsidRPr="00323513" w:rsidRDefault="002152FB" w:rsidP="00B42D6F">
            <w:pPr>
              <w:widowControl w:val="0"/>
              <w:rPr>
                <w:color w:val="000000"/>
              </w:rPr>
            </w:pPr>
            <w:r w:rsidRPr="00323513">
              <w:rPr>
                <w:color w:val="000000"/>
              </w:rPr>
              <w:t>0.185</w:t>
            </w:r>
          </w:p>
        </w:tc>
        <w:tc>
          <w:tcPr>
            <w:tcW w:w="1120" w:type="dxa"/>
            <w:tcBorders>
              <w:top w:val="nil"/>
              <w:left w:val="nil"/>
              <w:bottom w:val="single" w:sz="4" w:space="0" w:color="auto"/>
              <w:right w:val="single" w:sz="4" w:space="0" w:color="auto"/>
            </w:tcBorders>
            <w:shd w:val="clear" w:color="auto" w:fill="auto"/>
            <w:noWrap/>
            <w:vAlign w:val="center"/>
            <w:hideMark/>
          </w:tcPr>
          <w:p w:rsidR="002152FB" w:rsidRPr="00323513" w:rsidRDefault="002152FB" w:rsidP="00B42D6F">
            <w:pPr>
              <w:widowControl w:val="0"/>
              <w:rPr>
                <w:color w:val="000000"/>
              </w:rPr>
            </w:pPr>
          </w:p>
        </w:tc>
        <w:tc>
          <w:tcPr>
            <w:tcW w:w="1236" w:type="dxa"/>
            <w:tcBorders>
              <w:top w:val="nil"/>
              <w:left w:val="single" w:sz="4" w:space="0" w:color="auto"/>
              <w:bottom w:val="single" w:sz="4" w:space="0" w:color="auto"/>
              <w:right w:val="single" w:sz="4" w:space="0" w:color="auto"/>
            </w:tcBorders>
            <w:vAlign w:val="center"/>
          </w:tcPr>
          <w:p w:rsidR="002152FB" w:rsidRPr="00323513" w:rsidRDefault="002152FB" w:rsidP="00B42D6F">
            <w:pPr>
              <w:widowControl w:val="0"/>
              <w:rPr>
                <w:color w:val="000000"/>
              </w:rPr>
            </w:pPr>
            <w:r w:rsidRPr="00323513">
              <w:rPr>
                <w:color w:val="000000"/>
              </w:rPr>
              <w:t>0.185</w:t>
            </w:r>
          </w:p>
        </w:tc>
        <w:tc>
          <w:tcPr>
            <w:tcW w:w="1201" w:type="dxa"/>
            <w:tcBorders>
              <w:top w:val="nil"/>
              <w:left w:val="single" w:sz="4" w:space="0" w:color="auto"/>
              <w:bottom w:val="single" w:sz="4" w:space="0" w:color="auto"/>
              <w:right w:val="nil"/>
            </w:tcBorders>
            <w:vAlign w:val="center"/>
          </w:tcPr>
          <w:p w:rsidR="002152FB" w:rsidRPr="00323513" w:rsidRDefault="002152FB" w:rsidP="00B42D6F">
            <w:pPr>
              <w:widowControl w:val="0"/>
              <w:rPr>
                <w:color w:val="000000"/>
              </w:rPr>
            </w:pPr>
          </w:p>
        </w:tc>
        <w:tc>
          <w:tcPr>
            <w:tcW w:w="1236" w:type="dxa"/>
            <w:tcBorders>
              <w:top w:val="nil"/>
              <w:left w:val="single" w:sz="4" w:space="0" w:color="auto"/>
              <w:bottom w:val="single" w:sz="4" w:space="0" w:color="auto"/>
              <w:right w:val="nil"/>
            </w:tcBorders>
            <w:vAlign w:val="center"/>
          </w:tcPr>
          <w:p w:rsidR="002152FB" w:rsidRPr="00323513" w:rsidRDefault="002152FB" w:rsidP="00B42D6F">
            <w:pPr>
              <w:widowControl w:val="0"/>
              <w:rPr>
                <w:rFonts w:eastAsia="Times New Roman"/>
                <w:color w:val="000000"/>
                <w:lang w:bidi="ar-SA"/>
              </w:rPr>
            </w:pPr>
            <w:r w:rsidRPr="00323513">
              <w:rPr>
                <w:rFonts w:eastAsia="Times New Roman"/>
                <w:color w:val="000000"/>
                <w:lang w:bidi="ar-SA"/>
              </w:rPr>
              <w:t>0.188</w:t>
            </w:r>
          </w:p>
        </w:tc>
        <w:tc>
          <w:tcPr>
            <w:tcW w:w="946" w:type="dxa"/>
            <w:tcBorders>
              <w:top w:val="nil"/>
              <w:left w:val="nil"/>
              <w:bottom w:val="single" w:sz="4" w:space="0" w:color="auto"/>
              <w:right w:val="single" w:sz="4" w:space="0" w:color="auto"/>
            </w:tcBorders>
            <w:vAlign w:val="center"/>
          </w:tcPr>
          <w:p w:rsidR="002152FB" w:rsidRPr="00323513" w:rsidRDefault="002152FB" w:rsidP="00B42D6F">
            <w:pPr>
              <w:widowControl w:val="0"/>
              <w:rPr>
                <w:rFonts w:eastAsia="Times New Roman"/>
                <w:color w:val="000000"/>
                <w:lang w:bidi="ar-SA"/>
              </w:rPr>
            </w:pPr>
          </w:p>
        </w:tc>
      </w:tr>
    </w:tbl>
    <w:p w:rsidR="003A0083" w:rsidRDefault="003A0083" w:rsidP="00905A85">
      <w:pPr>
        <w:pStyle w:val="NoSpacing"/>
        <w:widowControl w:val="0"/>
        <w:spacing w:line="480" w:lineRule="auto"/>
        <w:rPr>
          <w:szCs w:val="24"/>
        </w:rPr>
      </w:pPr>
    </w:p>
    <w:p w:rsidR="002152FB" w:rsidRPr="00905A85" w:rsidRDefault="003A0083" w:rsidP="00905A85">
      <w:pPr>
        <w:pStyle w:val="NoSpacing"/>
        <w:widowControl w:val="0"/>
        <w:spacing w:line="480" w:lineRule="auto"/>
        <w:rPr>
          <w:szCs w:val="24"/>
        </w:rPr>
      </w:pPr>
      <w:r>
        <w:rPr>
          <w:szCs w:val="24"/>
        </w:rPr>
        <w:t>*</w:t>
      </w:r>
      <w:r w:rsidR="00905A85" w:rsidRPr="00905A85">
        <w:rPr>
          <w:szCs w:val="24"/>
        </w:rPr>
        <w:t>p</w:t>
      </w:r>
      <w:r>
        <w:rPr>
          <w:szCs w:val="24"/>
        </w:rPr>
        <w:t xml:space="preserve"> </w:t>
      </w:r>
      <w:r w:rsidR="00905A85" w:rsidRPr="00905A85">
        <w:rPr>
          <w:szCs w:val="24"/>
        </w:rPr>
        <w:t>&lt;</w:t>
      </w:r>
      <w:r>
        <w:rPr>
          <w:szCs w:val="24"/>
        </w:rPr>
        <w:t xml:space="preserve"> </w:t>
      </w:r>
      <w:r w:rsidR="00905A85" w:rsidRPr="00905A85">
        <w:rPr>
          <w:szCs w:val="24"/>
        </w:rPr>
        <w:t>0.10, **p</w:t>
      </w:r>
      <w:r>
        <w:rPr>
          <w:szCs w:val="24"/>
        </w:rPr>
        <w:t xml:space="preserve"> </w:t>
      </w:r>
      <w:r w:rsidR="00905A85" w:rsidRPr="00905A85">
        <w:rPr>
          <w:szCs w:val="24"/>
        </w:rPr>
        <w:t>&lt;</w:t>
      </w:r>
      <w:r>
        <w:rPr>
          <w:szCs w:val="24"/>
        </w:rPr>
        <w:t xml:space="preserve"> </w:t>
      </w:r>
      <w:r w:rsidR="00905A85" w:rsidRPr="00905A85">
        <w:rPr>
          <w:szCs w:val="24"/>
        </w:rPr>
        <w:t>0.05, ***p</w:t>
      </w:r>
      <w:r>
        <w:rPr>
          <w:szCs w:val="24"/>
        </w:rPr>
        <w:t xml:space="preserve"> </w:t>
      </w:r>
      <w:r w:rsidR="00905A85" w:rsidRPr="00905A85">
        <w:rPr>
          <w:szCs w:val="24"/>
        </w:rPr>
        <w:t>&lt;</w:t>
      </w:r>
      <w:r>
        <w:rPr>
          <w:szCs w:val="24"/>
        </w:rPr>
        <w:t xml:space="preserve"> </w:t>
      </w:r>
      <w:r w:rsidR="00905A85" w:rsidRPr="00905A85">
        <w:rPr>
          <w:szCs w:val="24"/>
        </w:rPr>
        <w:t>0.01 (</w:t>
      </w:r>
      <w:r w:rsidRPr="00905A85">
        <w:rPr>
          <w:szCs w:val="24"/>
        </w:rPr>
        <w:t>two</w:t>
      </w:r>
      <w:r>
        <w:rPr>
          <w:szCs w:val="24"/>
        </w:rPr>
        <w:t>-</w:t>
      </w:r>
      <w:r w:rsidRPr="00905A85">
        <w:rPr>
          <w:szCs w:val="24"/>
        </w:rPr>
        <w:t>tailed</w:t>
      </w:r>
      <w:r w:rsidR="00905A85" w:rsidRPr="00905A85">
        <w:rPr>
          <w:szCs w:val="24"/>
        </w:rPr>
        <w:t>)</w:t>
      </w:r>
    </w:p>
    <w:p w:rsidR="002152FB" w:rsidRPr="00905A85" w:rsidRDefault="003A0083" w:rsidP="00905A85">
      <w:pPr>
        <w:spacing w:line="480" w:lineRule="auto"/>
      </w:pPr>
      <w:r w:rsidRPr="003A0083">
        <w:t>Number of observations =1,047, binary logit, standard errors in parentheses</w:t>
      </w:r>
    </w:p>
    <w:p w:rsidR="002152FB" w:rsidRPr="00905A85" w:rsidRDefault="002152FB" w:rsidP="00905A85">
      <w:pPr>
        <w:spacing w:line="480" w:lineRule="auto"/>
        <w:rPr>
          <w:rFonts w:eastAsia="Times New Roman"/>
          <w:color w:val="000000"/>
          <w:lang w:bidi="ar-SA"/>
        </w:rPr>
      </w:pPr>
    </w:p>
    <w:p w:rsidR="002152FB" w:rsidRPr="00905A85" w:rsidRDefault="002152FB" w:rsidP="00905A85">
      <w:pPr>
        <w:spacing w:line="480" w:lineRule="auto"/>
        <w:rPr>
          <w:rFonts w:eastAsia="Times New Roman"/>
          <w:color w:val="000000"/>
          <w:lang w:bidi="ar-SA"/>
        </w:rPr>
      </w:pPr>
    </w:p>
    <w:p w:rsidR="00534A1D" w:rsidRPr="00523566" w:rsidRDefault="00534A1D" w:rsidP="00B42D6F">
      <w:pPr>
        <w:rPr>
          <w:rFonts w:eastAsia="Times New Roman"/>
          <w:b/>
          <w:color w:val="000000"/>
          <w:lang w:bidi="ar-SA"/>
        </w:rPr>
      </w:pPr>
      <w:r w:rsidRPr="00523566">
        <w:rPr>
          <w:rFonts w:eastAsia="Times New Roman"/>
          <w:b/>
          <w:color w:val="000000"/>
          <w:lang w:bidi="ar-SA"/>
        </w:rPr>
        <w:t xml:space="preserve">Web Appendix </w:t>
      </w:r>
      <w:r w:rsidR="002152FB">
        <w:rPr>
          <w:rFonts w:eastAsia="Times New Roman"/>
          <w:b/>
          <w:color w:val="000000"/>
          <w:lang w:bidi="ar-SA"/>
        </w:rPr>
        <w:t>3</w:t>
      </w:r>
      <w:r w:rsidRPr="00523566">
        <w:rPr>
          <w:rFonts w:eastAsia="Times New Roman"/>
          <w:b/>
          <w:color w:val="000000"/>
          <w:lang w:bidi="ar-SA"/>
        </w:rPr>
        <w:t xml:space="preserve">: List of Questions and Codes, 2006 </w:t>
      </w:r>
      <w:r w:rsidR="00523566">
        <w:rPr>
          <w:rFonts w:eastAsia="Times New Roman"/>
          <w:b/>
          <w:color w:val="000000"/>
          <w:lang w:bidi="ar-SA"/>
        </w:rPr>
        <w:t>Urban Centers and Rur</w:t>
      </w:r>
      <w:r w:rsidR="00523566" w:rsidRPr="00523566">
        <w:rPr>
          <w:rFonts w:eastAsia="Times New Roman"/>
          <w:b/>
          <w:color w:val="000000"/>
          <w:lang w:bidi="ar-SA"/>
        </w:rPr>
        <w:t>al Areas Omnibus Survey</w:t>
      </w:r>
    </w:p>
    <w:p w:rsidR="00D61E6A" w:rsidRPr="00083038" w:rsidRDefault="00D61E6A" w:rsidP="00B42D6F">
      <w:pPr>
        <w:rPr>
          <w:rFonts w:eastAsia="Times New Roman"/>
          <w:color w:val="000000"/>
          <w:lang w:bidi="ar-SA"/>
        </w:rPr>
      </w:pPr>
    </w:p>
    <w:p w:rsidR="00D61E6A" w:rsidRDefault="00523566" w:rsidP="00B42D6F">
      <w:pPr>
        <w:pStyle w:val="xl24"/>
        <w:spacing w:before="0" w:beforeAutospacing="0" w:after="240" w:afterAutospacing="0"/>
      </w:pPr>
      <w:r>
        <w:rPr>
          <w:rFonts w:eastAsia="Times New Roman"/>
          <w:i/>
        </w:rPr>
        <w:t>Evaluation of Nestor Kirchner</w:t>
      </w:r>
      <w:r>
        <w:rPr>
          <w:rFonts w:eastAsia="Times New Roman"/>
        </w:rPr>
        <w:t>: A dummy variable coded from the question “now, speaking in general, how would evaluate Nestor Kirchner’s term in office as President?” [1] if approve, [0] if disapprove</w:t>
      </w:r>
    </w:p>
    <w:p w:rsidR="00523566" w:rsidRDefault="00523566" w:rsidP="00B42D6F">
      <w:pPr>
        <w:spacing w:after="240"/>
      </w:pPr>
      <w:r>
        <w:rPr>
          <w:i/>
        </w:rPr>
        <w:t>Age</w:t>
      </w:r>
      <w:r>
        <w:t xml:space="preserve">: Age in years.  </w:t>
      </w:r>
    </w:p>
    <w:p w:rsidR="00523566" w:rsidRDefault="00523566" w:rsidP="00B42D6F">
      <w:pPr>
        <w:spacing w:after="240"/>
      </w:pPr>
      <w:r>
        <w:rPr>
          <w:i/>
        </w:rPr>
        <w:t>Capital District</w:t>
      </w:r>
      <w:r>
        <w:t xml:space="preserve">: A dummy variable that takes the value of 1 if the respondent lives in the Federal District and 0 otherwise.  </w:t>
      </w:r>
    </w:p>
    <w:p w:rsidR="00523566" w:rsidRDefault="00523566" w:rsidP="00B42D6F">
      <w:pPr>
        <w:spacing w:after="240"/>
        <w:rPr>
          <w:rFonts w:eastAsia="Arial Unicode MS"/>
        </w:rPr>
      </w:pPr>
      <w:r>
        <w:rPr>
          <w:i/>
        </w:rPr>
        <w:t>Education</w:t>
      </w:r>
      <w:r>
        <w:t xml:space="preserve">: A 10-point variable ranging from [0] for no education to [9] for post-graduate work after college.  </w:t>
      </w:r>
    </w:p>
    <w:p w:rsidR="00523566" w:rsidRDefault="00523566" w:rsidP="00B42D6F">
      <w:pPr>
        <w:spacing w:after="240"/>
        <w:rPr>
          <w:i/>
        </w:rPr>
      </w:pPr>
      <w:r>
        <w:rPr>
          <w:i/>
        </w:rPr>
        <w:t>Female</w:t>
      </w:r>
      <w:r>
        <w:t>: Dummy variable that takes the value of 1 if the respondent is female and 0 if he is male</w:t>
      </w:r>
    </w:p>
    <w:p w:rsidR="00523566" w:rsidRDefault="00523566" w:rsidP="00B42D6F">
      <w:pPr>
        <w:spacing w:after="240"/>
      </w:pPr>
      <w:r>
        <w:rPr>
          <w:i/>
        </w:rPr>
        <w:t>Gran Buenos Aires</w:t>
      </w:r>
      <w:r>
        <w:t xml:space="preserve">: A dummy variable that takes the value of 1 if the respondent lives in Suburbs of Greater Buenos Aires and 0 otherwise.  </w:t>
      </w:r>
    </w:p>
    <w:p w:rsidR="00523566" w:rsidRDefault="00523566" w:rsidP="00B42D6F">
      <w:pPr>
        <w:spacing w:after="240"/>
        <w:rPr>
          <w:rFonts w:eastAsia="Arial Unicode MS"/>
        </w:rPr>
      </w:pPr>
      <w:r>
        <w:rPr>
          <w:rFonts w:eastAsia="Arial Unicode MS"/>
          <w:i/>
        </w:rPr>
        <w:t>Income Sufficient for Household</w:t>
      </w:r>
      <w:r>
        <w:rPr>
          <w:rFonts w:eastAsia="Arial Unicode MS"/>
        </w:rPr>
        <w:t xml:space="preserve">: A 4-point scale coded from the question “would you say that your family’s monthly income [0] does not cover your needs, [1] is barely enough to cover your needs, [2] permits you to live fairly well but not save, or [3] is enough to live well and save?”  </w:t>
      </w:r>
    </w:p>
    <w:p w:rsidR="00523566" w:rsidRDefault="00523566" w:rsidP="00B42D6F">
      <w:pPr>
        <w:spacing w:after="240"/>
        <w:rPr>
          <w:rFonts w:eastAsia="Arial Unicode MS"/>
        </w:rPr>
      </w:pPr>
      <w:r>
        <w:rPr>
          <w:i/>
        </w:rPr>
        <w:t>Informal Sector Employee</w:t>
      </w:r>
      <w:r>
        <w:t xml:space="preserve">: A dummy variable that takes the value of 1 if the primary wage earner does not have a formal written contract with his or her employer and 0 otherwise.  </w:t>
      </w:r>
    </w:p>
    <w:p w:rsidR="00523566" w:rsidRDefault="00523566" w:rsidP="00B42D6F">
      <w:pPr>
        <w:spacing w:after="240"/>
        <w:rPr>
          <w:rFonts w:eastAsia="Arial Unicode MS"/>
        </w:rPr>
      </w:pPr>
      <w:r>
        <w:rPr>
          <w:i/>
        </w:rPr>
        <w:t>Sociotropic Economic Evaluation</w:t>
      </w:r>
      <w:r>
        <w:t xml:space="preserve">: A 6-point variable coded from the question “over the previous year, would you say that the Argentine economy has [0] gotten much worse, [1] gotten a little worse, [2] stayed the same and bad, [3] stayed the same and good, [4] gotten a little better, or [5] gotten much better?” </w:t>
      </w:r>
    </w:p>
    <w:p w:rsidR="00F32127" w:rsidRDefault="00F32127" w:rsidP="00B42D6F">
      <w:pPr>
        <w:pStyle w:val="NoSpacing"/>
      </w:pPr>
      <w:r>
        <w:t xml:space="preserve"> </w:t>
      </w:r>
    </w:p>
    <w:sectPr w:rsidR="00F32127" w:rsidSect="00B42D6F">
      <w:pgSz w:w="12240" w:h="15840"/>
      <w:pgMar w:top="1440" w:right="21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E18" w:rsidRDefault="00A30E18" w:rsidP="009550DD">
      <w:r>
        <w:separator/>
      </w:r>
    </w:p>
  </w:endnote>
  <w:endnote w:type="continuationSeparator" w:id="0">
    <w:p w:rsidR="00A30E18" w:rsidRDefault="00A30E18" w:rsidP="0095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E18" w:rsidRDefault="00A30E18" w:rsidP="009550DD">
      <w:r>
        <w:separator/>
      </w:r>
    </w:p>
  </w:footnote>
  <w:footnote w:type="continuationSeparator" w:id="0">
    <w:p w:rsidR="00A30E18" w:rsidRDefault="00A30E18" w:rsidP="00955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15E"/>
    <w:rsid w:val="00082F4B"/>
    <w:rsid w:val="000901C7"/>
    <w:rsid w:val="001542D1"/>
    <w:rsid w:val="0019072D"/>
    <w:rsid w:val="00211974"/>
    <w:rsid w:val="00214FC2"/>
    <w:rsid w:val="002152FB"/>
    <w:rsid w:val="002A231E"/>
    <w:rsid w:val="003A0083"/>
    <w:rsid w:val="003A133B"/>
    <w:rsid w:val="00402C67"/>
    <w:rsid w:val="00431161"/>
    <w:rsid w:val="004B7F91"/>
    <w:rsid w:val="00503DF4"/>
    <w:rsid w:val="005216BC"/>
    <w:rsid w:val="00523566"/>
    <w:rsid w:val="00534A1D"/>
    <w:rsid w:val="00584E2B"/>
    <w:rsid w:val="005D143E"/>
    <w:rsid w:val="0065333B"/>
    <w:rsid w:val="00905A85"/>
    <w:rsid w:val="009550DD"/>
    <w:rsid w:val="00A30E18"/>
    <w:rsid w:val="00A86967"/>
    <w:rsid w:val="00B030A3"/>
    <w:rsid w:val="00B42D6F"/>
    <w:rsid w:val="00B8347A"/>
    <w:rsid w:val="00D316F6"/>
    <w:rsid w:val="00D61E6A"/>
    <w:rsid w:val="00D933BF"/>
    <w:rsid w:val="00E120C0"/>
    <w:rsid w:val="00F32127"/>
    <w:rsid w:val="00F65CAC"/>
    <w:rsid w:val="00F91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1A6C0-F9C7-4B25-8C4E-A5AC0630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E2B"/>
    <w:rPr>
      <w:sz w:val="24"/>
      <w:szCs w:val="24"/>
      <w:lang w:bidi="en-US"/>
    </w:rPr>
  </w:style>
  <w:style w:type="paragraph" w:styleId="Heading1">
    <w:name w:val="heading 1"/>
    <w:basedOn w:val="Normal"/>
    <w:next w:val="Normal"/>
    <w:link w:val="Heading1Char"/>
    <w:uiPriority w:val="9"/>
    <w:qFormat/>
    <w:rsid w:val="00584E2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584E2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584E2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84E2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84E2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84E2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84E2B"/>
    <w:pPr>
      <w:spacing w:before="240" w:after="60"/>
      <w:outlineLvl w:val="6"/>
    </w:pPr>
  </w:style>
  <w:style w:type="paragraph" w:styleId="Heading8">
    <w:name w:val="heading 8"/>
    <w:basedOn w:val="Normal"/>
    <w:next w:val="Normal"/>
    <w:link w:val="Heading8Char"/>
    <w:uiPriority w:val="9"/>
    <w:semiHidden/>
    <w:unhideWhenUsed/>
    <w:qFormat/>
    <w:rsid w:val="00584E2B"/>
    <w:pPr>
      <w:spacing w:before="240" w:after="60"/>
      <w:outlineLvl w:val="7"/>
    </w:pPr>
    <w:rPr>
      <w:i/>
      <w:iCs/>
    </w:rPr>
  </w:style>
  <w:style w:type="paragraph" w:styleId="Heading9">
    <w:name w:val="heading 9"/>
    <w:basedOn w:val="Normal"/>
    <w:next w:val="Normal"/>
    <w:link w:val="Heading9Char"/>
    <w:uiPriority w:val="9"/>
    <w:semiHidden/>
    <w:unhideWhenUsed/>
    <w:qFormat/>
    <w:rsid w:val="00584E2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4E2B"/>
    <w:rPr>
      <w:rFonts w:ascii="Cambria" w:eastAsia="Times New Roman" w:hAnsi="Cambria"/>
      <w:b/>
      <w:bCs/>
      <w:kern w:val="32"/>
      <w:sz w:val="32"/>
      <w:szCs w:val="32"/>
    </w:rPr>
  </w:style>
  <w:style w:type="character" w:customStyle="1" w:styleId="Heading2Char">
    <w:name w:val="Heading 2 Char"/>
    <w:link w:val="Heading2"/>
    <w:uiPriority w:val="9"/>
    <w:semiHidden/>
    <w:rsid w:val="00584E2B"/>
    <w:rPr>
      <w:rFonts w:ascii="Cambria" w:eastAsia="Times New Roman" w:hAnsi="Cambria"/>
      <w:b/>
      <w:bCs/>
      <w:i/>
      <w:iCs/>
      <w:sz w:val="28"/>
      <w:szCs w:val="28"/>
    </w:rPr>
  </w:style>
  <w:style w:type="character" w:customStyle="1" w:styleId="Heading3Char">
    <w:name w:val="Heading 3 Char"/>
    <w:link w:val="Heading3"/>
    <w:uiPriority w:val="9"/>
    <w:semiHidden/>
    <w:rsid w:val="00584E2B"/>
    <w:rPr>
      <w:rFonts w:ascii="Cambria" w:eastAsia="Times New Roman" w:hAnsi="Cambria"/>
      <w:b/>
      <w:bCs/>
      <w:sz w:val="26"/>
      <w:szCs w:val="26"/>
    </w:rPr>
  </w:style>
  <w:style w:type="character" w:customStyle="1" w:styleId="Heading4Char">
    <w:name w:val="Heading 4 Char"/>
    <w:link w:val="Heading4"/>
    <w:uiPriority w:val="9"/>
    <w:rsid w:val="00584E2B"/>
    <w:rPr>
      <w:b/>
      <w:bCs/>
      <w:sz w:val="28"/>
      <w:szCs w:val="28"/>
    </w:rPr>
  </w:style>
  <w:style w:type="character" w:customStyle="1" w:styleId="Heading5Char">
    <w:name w:val="Heading 5 Char"/>
    <w:link w:val="Heading5"/>
    <w:uiPriority w:val="9"/>
    <w:semiHidden/>
    <w:rsid w:val="00584E2B"/>
    <w:rPr>
      <w:b/>
      <w:bCs/>
      <w:i/>
      <w:iCs/>
      <w:sz w:val="26"/>
      <w:szCs w:val="26"/>
    </w:rPr>
  </w:style>
  <w:style w:type="character" w:customStyle="1" w:styleId="Heading6Char">
    <w:name w:val="Heading 6 Char"/>
    <w:link w:val="Heading6"/>
    <w:uiPriority w:val="9"/>
    <w:semiHidden/>
    <w:rsid w:val="00584E2B"/>
    <w:rPr>
      <w:b/>
      <w:bCs/>
    </w:rPr>
  </w:style>
  <w:style w:type="character" w:customStyle="1" w:styleId="Heading7Char">
    <w:name w:val="Heading 7 Char"/>
    <w:link w:val="Heading7"/>
    <w:uiPriority w:val="9"/>
    <w:semiHidden/>
    <w:rsid w:val="00584E2B"/>
    <w:rPr>
      <w:sz w:val="24"/>
      <w:szCs w:val="24"/>
    </w:rPr>
  </w:style>
  <w:style w:type="character" w:customStyle="1" w:styleId="Heading8Char">
    <w:name w:val="Heading 8 Char"/>
    <w:link w:val="Heading8"/>
    <w:uiPriority w:val="9"/>
    <w:semiHidden/>
    <w:rsid w:val="00584E2B"/>
    <w:rPr>
      <w:i/>
      <w:iCs/>
      <w:sz w:val="24"/>
      <w:szCs w:val="24"/>
    </w:rPr>
  </w:style>
  <w:style w:type="character" w:customStyle="1" w:styleId="Heading9Char">
    <w:name w:val="Heading 9 Char"/>
    <w:link w:val="Heading9"/>
    <w:uiPriority w:val="9"/>
    <w:semiHidden/>
    <w:rsid w:val="00584E2B"/>
    <w:rPr>
      <w:rFonts w:ascii="Cambria" w:eastAsia="Times New Roman" w:hAnsi="Cambria"/>
    </w:rPr>
  </w:style>
  <w:style w:type="paragraph" w:styleId="Title">
    <w:name w:val="Title"/>
    <w:basedOn w:val="Normal"/>
    <w:next w:val="Normal"/>
    <w:link w:val="TitleChar"/>
    <w:uiPriority w:val="10"/>
    <w:qFormat/>
    <w:rsid w:val="00584E2B"/>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584E2B"/>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84E2B"/>
    <w:pPr>
      <w:spacing w:after="60"/>
      <w:jc w:val="center"/>
      <w:outlineLvl w:val="1"/>
    </w:pPr>
    <w:rPr>
      <w:rFonts w:ascii="Cambria" w:eastAsia="Times New Roman" w:hAnsi="Cambria"/>
    </w:rPr>
  </w:style>
  <w:style w:type="character" w:customStyle="1" w:styleId="SubtitleChar">
    <w:name w:val="Subtitle Char"/>
    <w:link w:val="Subtitle"/>
    <w:uiPriority w:val="11"/>
    <w:rsid w:val="00584E2B"/>
    <w:rPr>
      <w:rFonts w:ascii="Cambria" w:eastAsia="Times New Roman" w:hAnsi="Cambria"/>
      <w:sz w:val="24"/>
      <w:szCs w:val="24"/>
    </w:rPr>
  </w:style>
  <w:style w:type="character" w:styleId="Strong">
    <w:name w:val="Strong"/>
    <w:uiPriority w:val="22"/>
    <w:qFormat/>
    <w:rsid w:val="00584E2B"/>
    <w:rPr>
      <w:b/>
      <w:bCs/>
    </w:rPr>
  </w:style>
  <w:style w:type="character" w:styleId="Emphasis">
    <w:name w:val="Emphasis"/>
    <w:uiPriority w:val="20"/>
    <w:qFormat/>
    <w:rsid w:val="00584E2B"/>
    <w:rPr>
      <w:rFonts w:ascii="Calibri" w:hAnsi="Calibri"/>
      <w:b/>
      <w:i/>
      <w:iCs/>
    </w:rPr>
  </w:style>
  <w:style w:type="paragraph" w:styleId="NoSpacing">
    <w:name w:val="No Spacing"/>
    <w:basedOn w:val="Normal"/>
    <w:uiPriority w:val="1"/>
    <w:qFormat/>
    <w:rsid w:val="00584E2B"/>
    <w:rPr>
      <w:szCs w:val="32"/>
    </w:rPr>
  </w:style>
  <w:style w:type="paragraph" w:styleId="ListParagraph">
    <w:name w:val="List Paragraph"/>
    <w:basedOn w:val="Normal"/>
    <w:uiPriority w:val="34"/>
    <w:qFormat/>
    <w:rsid w:val="00584E2B"/>
    <w:pPr>
      <w:ind w:left="720"/>
      <w:contextualSpacing/>
    </w:pPr>
  </w:style>
  <w:style w:type="paragraph" w:styleId="Quote">
    <w:name w:val="Quote"/>
    <w:basedOn w:val="Normal"/>
    <w:next w:val="Normal"/>
    <w:link w:val="QuoteChar"/>
    <w:uiPriority w:val="29"/>
    <w:qFormat/>
    <w:rsid w:val="00584E2B"/>
    <w:rPr>
      <w:i/>
    </w:rPr>
  </w:style>
  <w:style w:type="character" w:customStyle="1" w:styleId="QuoteChar">
    <w:name w:val="Quote Char"/>
    <w:link w:val="Quote"/>
    <w:uiPriority w:val="29"/>
    <w:rsid w:val="00584E2B"/>
    <w:rPr>
      <w:i/>
      <w:sz w:val="24"/>
      <w:szCs w:val="24"/>
    </w:rPr>
  </w:style>
  <w:style w:type="paragraph" w:styleId="IntenseQuote">
    <w:name w:val="Intense Quote"/>
    <w:basedOn w:val="Normal"/>
    <w:next w:val="Normal"/>
    <w:link w:val="IntenseQuoteChar"/>
    <w:uiPriority w:val="30"/>
    <w:qFormat/>
    <w:rsid w:val="00584E2B"/>
    <w:pPr>
      <w:ind w:left="720" w:right="720"/>
    </w:pPr>
    <w:rPr>
      <w:b/>
      <w:i/>
      <w:szCs w:val="22"/>
    </w:rPr>
  </w:style>
  <w:style w:type="character" w:customStyle="1" w:styleId="IntenseQuoteChar">
    <w:name w:val="Intense Quote Char"/>
    <w:link w:val="IntenseQuote"/>
    <w:uiPriority w:val="30"/>
    <w:rsid w:val="00584E2B"/>
    <w:rPr>
      <w:b/>
      <w:i/>
      <w:sz w:val="24"/>
    </w:rPr>
  </w:style>
  <w:style w:type="character" w:styleId="SubtleEmphasis">
    <w:name w:val="Subtle Emphasis"/>
    <w:uiPriority w:val="19"/>
    <w:qFormat/>
    <w:rsid w:val="00584E2B"/>
    <w:rPr>
      <w:i/>
      <w:color w:val="5A5A5A"/>
    </w:rPr>
  </w:style>
  <w:style w:type="character" w:styleId="IntenseEmphasis">
    <w:name w:val="Intense Emphasis"/>
    <w:uiPriority w:val="21"/>
    <w:qFormat/>
    <w:rsid w:val="00584E2B"/>
    <w:rPr>
      <w:b/>
      <w:i/>
      <w:sz w:val="24"/>
      <w:szCs w:val="24"/>
      <w:u w:val="single"/>
    </w:rPr>
  </w:style>
  <w:style w:type="character" w:styleId="SubtleReference">
    <w:name w:val="Subtle Reference"/>
    <w:uiPriority w:val="31"/>
    <w:qFormat/>
    <w:rsid w:val="00584E2B"/>
    <w:rPr>
      <w:sz w:val="24"/>
      <w:szCs w:val="24"/>
      <w:u w:val="single"/>
    </w:rPr>
  </w:style>
  <w:style w:type="character" w:styleId="IntenseReference">
    <w:name w:val="Intense Reference"/>
    <w:uiPriority w:val="32"/>
    <w:qFormat/>
    <w:rsid w:val="00584E2B"/>
    <w:rPr>
      <w:b/>
      <w:sz w:val="24"/>
      <w:u w:val="single"/>
    </w:rPr>
  </w:style>
  <w:style w:type="character" w:styleId="BookTitle">
    <w:name w:val="Book Title"/>
    <w:uiPriority w:val="33"/>
    <w:qFormat/>
    <w:rsid w:val="00584E2B"/>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84E2B"/>
    <w:pPr>
      <w:outlineLvl w:val="9"/>
    </w:pPr>
  </w:style>
  <w:style w:type="paragraph" w:customStyle="1" w:styleId="xl24">
    <w:name w:val="xl24"/>
    <w:basedOn w:val="Normal"/>
    <w:rsid w:val="00523566"/>
    <w:pPr>
      <w:spacing w:before="100" w:beforeAutospacing="1" w:after="100" w:afterAutospacing="1"/>
    </w:pPr>
    <w:rPr>
      <w:rFonts w:eastAsia="Arial Unicode MS"/>
      <w:lang w:bidi="ar-SA"/>
    </w:rPr>
  </w:style>
  <w:style w:type="paragraph" w:customStyle="1" w:styleId="xl22">
    <w:name w:val="xl22"/>
    <w:basedOn w:val="Normal"/>
    <w:rsid w:val="00F32127"/>
    <w:pPr>
      <w:spacing w:before="100" w:beforeAutospacing="1" w:after="100" w:afterAutospacing="1"/>
    </w:pPr>
    <w:rPr>
      <w:rFonts w:eastAsia="Arial Unicode M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39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10813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UCONN</dc:creator>
  <cp:keywords/>
  <dc:description/>
  <cp:lastModifiedBy>Lahn, Eleanor T</cp:lastModifiedBy>
  <cp:revision>4</cp:revision>
  <dcterms:created xsi:type="dcterms:W3CDTF">2016-04-11T16:56:00Z</dcterms:created>
  <dcterms:modified xsi:type="dcterms:W3CDTF">2016-04-11T16:57:00Z</dcterms:modified>
</cp:coreProperties>
</file>