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F459" w14:textId="4F87FC0F" w:rsidR="00E45DE0" w:rsidRDefault="00263814" w:rsidP="001135EA">
      <w:pPr>
        <w:spacing w:after="0" w:line="48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263814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Pedro Feliú Ribeiro</w:t>
      </w: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and </w:t>
      </w:r>
      <w:r w:rsidRPr="00263814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Camilo López Burian</w:t>
      </w: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, </w:t>
      </w:r>
      <w:r w:rsidR="0009098D" w:rsidRP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Foreign Policy Specificity:</w:t>
      </w:r>
      <w:r w:rsid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</w:t>
      </w:r>
      <w:r w:rsidR="0009098D" w:rsidRP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An Analysis of Ministerial Survival</w:t>
      </w:r>
      <w:r w:rsid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</w:t>
      </w:r>
      <w:r w:rsidR="0009098D" w:rsidRP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in Latin America, 1945–2020</w:t>
      </w:r>
      <w:r w:rsid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. </w:t>
      </w:r>
      <w:r w:rsidR="0009098D" w:rsidRPr="001139A1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zh-CN"/>
        </w:rPr>
        <w:t>Latin American Politics and Society</w:t>
      </w:r>
      <w:r w:rsidR="0009098D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vol. 65, no. 4 (winter 2023</w:t>
      </w:r>
      <w:r w:rsidR="001139A1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).</w:t>
      </w:r>
    </w:p>
    <w:p w14:paraId="2F3D8151" w14:textId="77777777" w:rsidR="00E45DE0" w:rsidRPr="001139A1" w:rsidRDefault="00E45DE0" w:rsidP="001135EA">
      <w:pPr>
        <w:spacing w:after="0" w:line="480" w:lineRule="auto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</w:p>
    <w:p w14:paraId="6357E161" w14:textId="77777777" w:rsidR="00E45DE0" w:rsidRPr="001139A1" w:rsidRDefault="00E45DE0" w:rsidP="001135EA">
      <w:pPr>
        <w:spacing w:after="0" w:line="480" w:lineRule="auto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</w:p>
    <w:p w14:paraId="4D70D2A8" w14:textId="6596C030" w:rsidR="003B6B77" w:rsidRPr="00E45DE0" w:rsidRDefault="000855E9" w:rsidP="001139A1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Supplementary Document</w:t>
      </w:r>
    </w:p>
    <w:p w14:paraId="7C4E58A9" w14:textId="57A3B50E" w:rsidR="003B6B77" w:rsidRDefault="001874A4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This </w:t>
      </w:r>
      <w:r w:rsidR="00B64D82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supplementary document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is divided into </w:t>
      </w:r>
      <w:r w:rsidR="00B64D82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three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parts. In the first part, we display </w:t>
      </w:r>
      <w:r w:rsidR="000D715D">
        <w:rPr>
          <w:rFonts w:ascii="Times New Roman" w:eastAsia="Arial" w:hAnsi="Times New Roman" w:cs="Times New Roman"/>
          <w:sz w:val="24"/>
          <w:szCs w:val="24"/>
          <w:lang w:eastAsia="zh-CN"/>
        </w:rPr>
        <w:t>table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3 with the description of the indepe</w:t>
      </w:r>
      <w:r w:rsidR="00934215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ndent variables and their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source</w:t>
      </w:r>
      <w:r w:rsidR="00934215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s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In the second part, we present the multicollinearity tests of the six models in </w:t>
      </w:r>
      <w:r w:rsidR="000D715D">
        <w:rPr>
          <w:rFonts w:ascii="Times New Roman" w:eastAsia="Arial" w:hAnsi="Times New Roman" w:cs="Times New Roman"/>
          <w:sz w:val="24"/>
          <w:szCs w:val="24"/>
          <w:lang w:eastAsia="zh-CN"/>
        </w:rPr>
        <w:t>table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2. In the third part, we display the same estimated models in </w:t>
      </w:r>
      <w:r w:rsidR="000D715D">
        <w:rPr>
          <w:rFonts w:ascii="Times New Roman" w:eastAsia="Arial" w:hAnsi="Times New Roman" w:cs="Times New Roman"/>
          <w:sz w:val="24"/>
          <w:szCs w:val="24"/>
          <w:lang w:eastAsia="zh-CN"/>
        </w:rPr>
        <w:t>table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2 for finance, education and health</w:t>
      </w:r>
      <w:r w:rsidR="00934215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portfolios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p w14:paraId="05F3C2C3" w14:textId="77777777" w:rsidR="00FE4BD1" w:rsidRPr="00E45DE0" w:rsidRDefault="00FE4BD1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64AC3F3B" w14:textId="77777777" w:rsidR="003B6B77" w:rsidRPr="00E45DE0" w:rsidRDefault="0051437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Part 1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</w:p>
    <w:p w14:paraId="3F02B3BE" w14:textId="77777777" w:rsidR="0051437D" w:rsidRPr="00E45DE0" w:rsidRDefault="0051437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Table 3. </w:t>
      </w:r>
      <w:r w:rsidRPr="00E45DE0">
        <w:rPr>
          <w:rFonts w:ascii="Times New Roman" w:eastAsia="Arial" w:hAnsi="Times New Roman" w:cs="Times New Roman"/>
          <w:sz w:val="24"/>
          <w:szCs w:val="24"/>
          <w:lang w:val="pt-BR" w:eastAsia="zh-CN"/>
        </w:rPr>
        <w:t>Variable Descriptions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GradeClara1"/>
        <w:tblW w:w="0" w:type="auto"/>
        <w:tblLook w:val="04A0" w:firstRow="1" w:lastRow="0" w:firstColumn="1" w:lastColumn="0" w:noHBand="0" w:noVBand="1"/>
      </w:tblPr>
      <w:tblGrid>
        <w:gridCol w:w="2364"/>
        <w:gridCol w:w="3185"/>
        <w:gridCol w:w="2737"/>
      </w:tblGrid>
      <w:tr w:rsidR="0051437D" w:rsidRPr="0091437E" w14:paraId="36B8DCD3" w14:textId="77777777" w:rsidTr="0060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B65CC8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Variable</w:t>
            </w:r>
          </w:p>
        </w:tc>
        <w:tc>
          <w:tcPr>
            <w:tcW w:w="0" w:type="auto"/>
          </w:tcPr>
          <w:p w14:paraId="20125FEA" w14:textId="77777777" w:rsidR="0051437D" w:rsidRPr="0091437E" w:rsidRDefault="0051437D" w:rsidP="00602D7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7BF66620" w14:textId="77777777" w:rsidR="0051437D" w:rsidRPr="0091437E" w:rsidRDefault="0051437D" w:rsidP="00602D7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Source</w:t>
            </w:r>
          </w:p>
        </w:tc>
      </w:tr>
      <w:tr w:rsidR="0051437D" w:rsidRPr="00E45DE0" w14:paraId="3DD6277B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FC6696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Foreign Policy</w:t>
            </w:r>
          </w:p>
        </w:tc>
        <w:tc>
          <w:tcPr>
            <w:tcW w:w="0" w:type="auto"/>
          </w:tcPr>
          <w:p w14:paraId="29F883D3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Foreign Affairs Portfolio: 1-yes; 0-no</w:t>
            </w:r>
          </w:p>
        </w:tc>
        <w:tc>
          <w:tcPr>
            <w:tcW w:w="0" w:type="auto"/>
          </w:tcPr>
          <w:p w14:paraId="3DE60EE4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</w:tr>
      <w:tr w:rsidR="0051437D" w:rsidRPr="00E45DE0" w14:paraId="612ABD66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B56DAD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GDP/capita</w:t>
            </w:r>
          </w:p>
        </w:tc>
        <w:tc>
          <w:tcPr>
            <w:tcW w:w="0" w:type="auto"/>
          </w:tcPr>
          <w:p w14:paraId="5A3D7770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 xml:space="preserve"> Thousands of dollars per year </w:t>
            </w:r>
          </w:p>
        </w:tc>
        <w:tc>
          <w:tcPr>
            <w:tcW w:w="0" w:type="auto"/>
          </w:tcPr>
          <w:p w14:paraId="031BEB9E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Pérez-Liñán and Polga-Hecimovich (2017) and World Bank</w:t>
            </w:r>
          </w:p>
        </w:tc>
      </w:tr>
      <w:tr w:rsidR="0051437D" w:rsidRPr="00E45DE0" w14:paraId="77234DD4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B0EA51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Economic Growth</w:t>
            </w:r>
          </w:p>
        </w:tc>
        <w:tc>
          <w:tcPr>
            <w:tcW w:w="0" w:type="auto"/>
          </w:tcPr>
          <w:p w14:paraId="011A045D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Percentage of annual GDP growth</w:t>
            </w:r>
          </w:p>
        </w:tc>
        <w:tc>
          <w:tcPr>
            <w:tcW w:w="0" w:type="auto"/>
          </w:tcPr>
          <w:p w14:paraId="5E261C94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Pérez-Liñán and Polga-Hecimovich (2017) and World Bank</w:t>
            </w:r>
          </w:p>
        </w:tc>
      </w:tr>
      <w:tr w:rsidR="0051437D" w:rsidRPr="00E45DE0" w14:paraId="4D7D994D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6DB12F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Demonstrations</w:t>
            </w:r>
          </w:p>
        </w:tc>
        <w:tc>
          <w:tcPr>
            <w:tcW w:w="0" w:type="auto"/>
          </w:tcPr>
          <w:p w14:paraId="2B331298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Annual frequency of popular demonstrations against the government</w:t>
            </w:r>
          </w:p>
        </w:tc>
        <w:tc>
          <w:tcPr>
            <w:tcW w:w="0" w:type="auto"/>
          </w:tcPr>
          <w:p w14:paraId="615D25BC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Pérez-Liñán and Polga-Hecimovich (2017)</w:t>
            </w:r>
          </w:p>
        </w:tc>
      </w:tr>
      <w:tr w:rsidR="0051437D" w:rsidRPr="00E45DE0" w14:paraId="6B114788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6F1069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Legislative Powers </w:t>
            </w:r>
          </w:p>
        </w:tc>
        <w:tc>
          <w:tcPr>
            <w:tcW w:w="0" w:type="auto"/>
          </w:tcPr>
          <w:p w14:paraId="4DD58C7F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Legislative Powers of the President: scale from 0 to 100</w:t>
            </w:r>
          </w:p>
        </w:tc>
        <w:tc>
          <w:tcPr>
            <w:tcW w:w="0" w:type="auto"/>
          </w:tcPr>
          <w:p w14:paraId="147BC3C0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Pérez-Liñán e Polga-Hecimovich (2017); Negretto (2006).</w:t>
            </w:r>
          </w:p>
        </w:tc>
      </w:tr>
      <w:tr w:rsidR="0051437D" w:rsidRPr="00E45DE0" w14:paraId="70A96106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F221BF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Effective Number of Parties (ENP)</w:t>
            </w:r>
          </w:p>
        </w:tc>
        <w:tc>
          <w:tcPr>
            <w:tcW w:w="0" w:type="auto"/>
          </w:tcPr>
          <w:p w14:paraId="3405613F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  <w:tc>
          <w:tcPr>
            <w:tcW w:w="0" w:type="auto"/>
          </w:tcPr>
          <w:p w14:paraId="4D7084F4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Laakso and Taagepera (1979)</w:t>
            </w:r>
          </w:p>
        </w:tc>
      </w:tr>
      <w:tr w:rsidR="0051437D" w:rsidRPr="00E45DE0" w14:paraId="35DA88AA" w14:textId="77777777" w:rsidTr="00602D7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2CFC21F6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Coalition</w:t>
            </w:r>
          </w:p>
        </w:tc>
        <w:tc>
          <w:tcPr>
            <w:tcW w:w="0" w:type="auto"/>
            <w:vMerge w:val="restart"/>
          </w:tcPr>
          <w:p w14:paraId="5FAF9ABB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Coalition Government: 1-yes; 0-no</w:t>
            </w:r>
          </w:p>
        </w:tc>
        <w:tc>
          <w:tcPr>
            <w:tcW w:w="0" w:type="auto"/>
            <w:vMerge w:val="restart"/>
          </w:tcPr>
          <w:p w14:paraId="6ECFD2E5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</w:tr>
      <w:tr w:rsidR="0051437D" w:rsidRPr="00E45DE0" w14:paraId="2DACCD1C" w14:textId="77777777" w:rsidTr="00602D7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1BB9A3C6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CC9761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D843C6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7D" w:rsidRPr="00E45DE0" w14:paraId="0117FA6A" w14:textId="77777777" w:rsidTr="00602D7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59457E44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Autocracy</w:t>
            </w:r>
          </w:p>
        </w:tc>
        <w:tc>
          <w:tcPr>
            <w:tcW w:w="0" w:type="auto"/>
            <w:vMerge w:val="restart"/>
          </w:tcPr>
          <w:p w14:paraId="5A09E166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1-yes; 0-no</w:t>
            </w:r>
          </w:p>
        </w:tc>
        <w:tc>
          <w:tcPr>
            <w:tcW w:w="0" w:type="auto"/>
            <w:vMerge w:val="restart"/>
          </w:tcPr>
          <w:p w14:paraId="4818F912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Polity IV</w:t>
            </w:r>
          </w:p>
        </w:tc>
      </w:tr>
      <w:tr w:rsidR="0051437D" w:rsidRPr="00E45DE0" w14:paraId="3B6674C2" w14:textId="77777777" w:rsidTr="00602D7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0FEE63F1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7CC734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F2F324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7D" w:rsidRPr="00E45DE0" w14:paraId="2BE8890E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9A17A8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Percent of </w:t>
            </w:r>
            <w:r w:rsidRPr="0091437E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</w:rPr>
              <w:t>president’s legislative seats</w:t>
            </w:r>
          </w:p>
        </w:tc>
        <w:tc>
          <w:tcPr>
            <w:tcW w:w="0" w:type="auto"/>
          </w:tcPr>
          <w:p w14:paraId="068A786D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Percentage of legislative chairs of the President`s party</w:t>
            </w:r>
          </w:p>
        </w:tc>
        <w:tc>
          <w:tcPr>
            <w:tcW w:w="0" w:type="auto"/>
          </w:tcPr>
          <w:p w14:paraId="093AB2C3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Pérez-Liñán and Polga-Hecimovich (2017)</w:t>
            </w:r>
          </w:p>
        </w:tc>
      </w:tr>
      <w:tr w:rsidR="0051437D" w:rsidRPr="00E45DE0" w14:paraId="031CB585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DEA9FE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Political Group of the President</w:t>
            </w:r>
          </w:p>
        </w:tc>
        <w:tc>
          <w:tcPr>
            <w:tcW w:w="0" w:type="auto"/>
          </w:tcPr>
          <w:p w14:paraId="032C28D4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1-yes; 0-no</w:t>
            </w:r>
          </w:p>
        </w:tc>
        <w:tc>
          <w:tcPr>
            <w:tcW w:w="0" w:type="auto"/>
          </w:tcPr>
          <w:p w14:paraId="5026FF4B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</w:tr>
      <w:tr w:rsidR="0051437D" w:rsidRPr="00E45DE0" w14:paraId="7B0A69C5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6C6E8D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Popularity</w:t>
            </w:r>
          </w:p>
        </w:tc>
        <w:tc>
          <w:tcPr>
            <w:tcW w:w="0" w:type="auto"/>
          </w:tcPr>
          <w:p w14:paraId="7DDA231D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Percentage of President Popularity (quarter)</w:t>
            </w:r>
          </w:p>
        </w:tc>
        <w:tc>
          <w:tcPr>
            <w:tcW w:w="0" w:type="auto"/>
          </w:tcPr>
          <w:p w14:paraId="34820519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Executive Approval Project</w:t>
            </w:r>
          </w:p>
        </w:tc>
      </w:tr>
      <w:tr w:rsidR="0051437D" w:rsidRPr="00E45DE0" w14:paraId="0AB10DA3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8894AA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Politician</w:t>
            </w:r>
          </w:p>
        </w:tc>
        <w:tc>
          <w:tcPr>
            <w:tcW w:w="0" w:type="auto"/>
          </w:tcPr>
          <w:p w14:paraId="67BC1F63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Previous Political Experience: 1-yes; 0-no</w:t>
            </w:r>
          </w:p>
        </w:tc>
        <w:tc>
          <w:tcPr>
            <w:tcW w:w="0" w:type="auto"/>
          </w:tcPr>
          <w:p w14:paraId="370D0CCE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</w:tr>
      <w:tr w:rsidR="0051437D" w:rsidRPr="00E45DE0" w14:paraId="4F48B640" w14:textId="77777777" w:rsidTr="0060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64CEAD" w14:textId="77777777" w:rsidR="0051437D" w:rsidRPr="0091437E" w:rsidRDefault="0051437D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Technocrat</w:t>
            </w:r>
          </w:p>
        </w:tc>
        <w:tc>
          <w:tcPr>
            <w:tcW w:w="0" w:type="auto"/>
          </w:tcPr>
          <w:p w14:paraId="47599FFC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1-yes; 0-no</w:t>
            </w:r>
          </w:p>
        </w:tc>
        <w:tc>
          <w:tcPr>
            <w:tcW w:w="0" w:type="auto"/>
          </w:tcPr>
          <w:p w14:paraId="545B57EB" w14:textId="77777777" w:rsidR="0051437D" w:rsidRPr="00E45DE0" w:rsidRDefault="0051437D" w:rsidP="00602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</w:tr>
    </w:tbl>
    <w:p w14:paraId="338493F6" w14:textId="77777777" w:rsidR="0051437D" w:rsidRPr="00E45DE0" w:rsidRDefault="0051437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002D0EA0" w14:textId="77777777" w:rsidR="0051437D" w:rsidRPr="00E45DE0" w:rsidRDefault="0051437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5B96C3D3" w14:textId="77777777" w:rsidR="0051437D" w:rsidRPr="00E45DE0" w:rsidRDefault="0051437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41E35C3B" w14:textId="77777777" w:rsidR="0051437D" w:rsidRPr="00E45DE0" w:rsidRDefault="0051437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4A561ED9" w14:textId="5A80268F" w:rsidR="0051437D" w:rsidRPr="00E45DE0" w:rsidRDefault="0051437D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Part 2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64EA3562" w14:textId="77777777" w:rsidR="00F1514A" w:rsidRPr="00E45DE0" w:rsidRDefault="00BF73C3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The possible problems of multicollinearity</w:t>
      </w:r>
      <w:r w:rsidR="00B3083F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in the five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models are evaluated using variance inflation factors (VIFs). As a general rule of thumb, VIFs greater than 10 (ten) indicate strong multicollinearity and are likely detrimental to the model adequacy.</w:t>
      </w:r>
      <w:r w:rsidR="00934215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Below we present the tables of the VIF test by model present in table 2 of the article. 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080EE68B" w14:textId="77777777" w:rsidR="00F1514A" w:rsidRPr="00E45DE0" w:rsidRDefault="00BF73C3" w:rsidP="00FE4BD1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Model 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760"/>
        <w:gridCol w:w="1040"/>
      </w:tblGrid>
      <w:tr w:rsidR="00BF73C3" w:rsidRPr="00E45DE0" w14:paraId="7C168752" w14:textId="77777777" w:rsidTr="00026DCE">
        <w:trPr>
          <w:trHeight w:val="244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123A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Variable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0998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F3D9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1/VIF</w:t>
            </w:r>
          </w:p>
        </w:tc>
      </w:tr>
      <w:tr w:rsidR="00BF73C3" w:rsidRPr="00E45DE0" w14:paraId="28CB7592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5D89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Foreign Policy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1746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D5B5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0.743661</w:t>
            </w:r>
          </w:p>
        </w:tc>
      </w:tr>
      <w:tr w:rsidR="00BF73C3" w:rsidRPr="00E45DE0" w14:paraId="70FB49A1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1C56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Growth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CEDC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8990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0.924352</w:t>
            </w:r>
          </w:p>
        </w:tc>
      </w:tr>
      <w:tr w:rsidR="00BF73C3" w:rsidRPr="00E45DE0" w14:paraId="456FBF33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8A1D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GDP/capita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78A4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FA08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0.133660</w:t>
            </w:r>
          </w:p>
        </w:tc>
      </w:tr>
      <w:tr w:rsidR="00BF73C3" w:rsidRPr="00E45DE0" w14:paraId="0C25D34A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ED81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4FE0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E7F8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0.668309</w:t>
            </w:r>
          </w:p>
        </w:tc>
      </w:tr>
      <w:tr w:rsidR="00BF73C3" w:rsidRPr="00E45DE0" w14:paraId="7DF819A8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6838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Autocracy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F7DF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0373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0.534989</w:t>
            </w:r>
          </w:p>
        </w:tc>
      </w:tr>
      <w:tr w:rsidR="00BF73C3" w:rsidRPr="00E45DE0" w14:paraId="65F5DF39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3BCA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Group of the President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94AA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2742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0.532411</w:t>
            </w:r>
          </w:p>
        </w:tc>
      </w:tr>
      <w:tr w:rsidR="00BF73C3" w:rsidRPr="00E45DE0" w14:paraId="18F7C919" w14:textId="77777777" w:rsidTr="00026DCE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7C27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Coalition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B3F8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F5BA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0.313324</w:t>
            </w:r>
          </w:p>
        </w:tc>
      </w:tr>
      <w:tr w:rsidR="00BF73C3" w:rsidRPr="00E45DE0" w14:paraId="1EAAB1B1" w14:textId="77777777" w:rsidTr="00026DCE">
        <w:trPr>
          <w:trHeight w:val="330"/>
          <w:jc w:val="center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868A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Technocrat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60C1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4B96F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0.464876</w:t>
            </w:r>
          </w:p>
        </w:tc>
      </w:tr>
      <w:tr w:rsidR="00BF73C3" w:rsidRPr="00E45DE0" w14:paraId="2F9CBBA5" w14:textId="77777777" w:rsidTr="00026DCE">
        <w:trPr>
          <w:trHeight w:val="300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8907" w14:textId="77777777" w:rsidR="00BF73C3" w:rsidRPr="00E45DE0" w:rsidRDefault="00BF73C3" w:rsidP="00BF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Mean VIF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8E15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B2D7" w14:textId="77777777" w:rsidR="00BF73C3" w:rsidRPr="00E45DE0" w:rsidRDefault="00BF73C3" w:rsidP="00BF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AD7851B" w14:textId="77777777" w:rsidR="00BF73C3" w:rsidRPr="00E45DE0" w:rsidRDefault="00BF73C3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291A2052" w14:textId="77777777" w:rsidR="00934215" w:rsidRPr="00E45DE0" w:rsidRDefault="00934215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We can see that model 2 does not have very high levels of multicollinearity, even though the GDP/capita variable has a value closer to ten.</w:t>
      </w:r>
      <w:r w:rsidR="00B01F22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Below we show the VIF results for mode 3. </w:t>
      </w:r>
    </w:p>
    <w:p w14:paraId="6A56B683" w14:textId="77777777" w:rsidR="00BF73C3" w:rsidRPr="00E45DE0" w:rsidRDefault="00BF73C3" w:rsidP="00026DCE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Model 3</w:t>
      </w:r>
    </w:p>
    <w:tbl>
      <w:tblPr>
        <w:tblW w:w="7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6"/>
        <w:gridCol w:w="960"/>
        <w:gridCol w:w="1734"/>
      </w:tblGrid>
      <w:tr w:rsidR="00BF73C3" w:rsidRPr="00E45DE0" w14:paraId="2E8C9291" w14:textId="77777777" w:rsidTr="00026DCE">
        <w:trPr>
          <w:trHeight w:val="300"/>
          <w:jc w:val="center"/>
        </w:trPr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4BFCB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Variable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A06C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VIF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0243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1/VIF</w:t>
            </w:r>
          </w:p>
        </w:tc>
      </w:tr>
      <w:tr w:rsidR="00BF73C3" w:rsidRPr="00E45DE0" w14:paraId="5E238E0F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906D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Foreign 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97F0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1.38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B312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0.724325</w:t>
            </w:r>
          </w:p>
        </w:tc>
      </w:tr>
      <w:tr w:rsidR="00BF73C3" w:rsidRPr="00E45DE0" w14:paraId="29AFECB1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AB18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GDP/capita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82CC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29.85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A61A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0.033501</w:t>
            </w:r>
          </w:p>
        </w:tc>
      </w:tr>
      <w:tr w:rsidR="00BF73C3" w:rsidRPr="00E45DE0" w14:paraId="60B990DB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1372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Growth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F1C0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1.19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3DD2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0.839816</w:t>
            </w:r>
          </w:p>
        </w:tc>
      </w:tr>
      <w:tr w:rsidR="00BF73C3" w:rsidRPr="00E45DE0" w14:paraId="4A6C64DA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0D3B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Legislative Powers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6AF3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5.41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AFF0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0.184756</w:t>
            </w:r>
          </w:p>
        </w:tc>
      </w:tr>
      <w:tr w:rsidR="00BF73C3" w:rsidRPr="00E45DE0" w14:paraId="745A0A78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D0CB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 Number of Parties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CE2B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10.08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19F7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0.099245</w:t>
            </w:r>
          </w:p>
        </w:tc>
      </w:tr>
      <w:tr w:rsidR="00BF73C3" w:rsidRPr="00E45DE0" w14:paraId="4A4EDE7E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9375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Manifestations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BEB4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1.32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D901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0.758582</w:t>
            </w:r>
          </w:p>
        </w:tc>
      </w:tr>
      <w:tr w:rsidR="00BF73C3" w:rsidRPr="00E45DE0" w14:paraId="58E09BE8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6D87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 of president’s legislative seats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A124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10.88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DEC3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0.091876</w:t>
            </w:r>
          </w:p>
        </w:tc>
      </w:tr>
      <w:tr w:rsidR="00BF73C3" w:rsidRPr="00E45DE0" w14:paraId="6596090E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EE8B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2D7A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1.54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924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0.648707</w:t>
            </w:r>
          </w:p>
        </w:tc>
      </w:tr>
      <w:tr w:rsidR="00BF73C3" w:rsidRPr="00E45DE0" w14:paraId="2A57077D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5A04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35ED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2.44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336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0.409507</w:t>
            </w:r>
          </w:p>
        </w:tc>
      </w:tr>
      <w:tr w:rsidR="00BF73C3" w:rsidRPr="00E45DE0" w14:paraId="1F713EDD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1B14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Group of the President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B1D8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2.05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94AA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0.488498</w:t>
            </w:r>
          </w:p>
        </w:tc>
      </w:tr>
      <w:tr w:rsidR="00BF73C3" w:rsidRPr="00E45DE0" w14:paraId="74FFF6F5" w14:textId="77777777" w:rsidTr="00026DCE">
        <w:trPr>
          <w:trHeight w:val="315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567C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Coalition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C7B6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3.85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63D7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0.259752</w:t>
            </w:r>
          </w:p>
        </w:tc>
      </w:tr>
      <w:tr w:rsidR="00BF73C3" w:rsidRPr="00E45DE0" w14:paraId="15F7E57E" w14:textId="77777777" w:rsidTr="00026DCE">
        <w:trPr>
          <w:trHeight w:val="330"/>
          <w:jc w:val="center"/>
        </w:trPr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1CA0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Technocrat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F746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0767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0.471965</w:t>
            </w:r>
          </w:p>
        </w:tc>
      </w:tr>
      <w:tr w:rsidR="00BF73C3" w:rsidRPr="00E45DE0" w14:paraId="13D0A574" w14:textId="77777777" w:rsidTr="00026DCE">
        <w:trPr>
          <w:trHeight w:val="300"/>
          <w:jc w:val="center"/>
        </w:trPr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DBE7" w14:textId="77777777" w:rsidR="00BF73C3" w:rsidRPr="00E45DE0" w:rsidRDefault="00BF73C3" w:rsidP="007D7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Mean VIF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118C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6.01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FF86" w14:textId="77777777" w:rsidR="00BF73C3" w:rsidRPr="00E45DE0" w:rsidRDefault="00BF73C3" w:rsidP="007D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46680A96" w14:textId="77777777" w:rsidR="00F1514A" w:rsidRPr="00E45DE0" w:rsidRDefault="009561DC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val="pt-BR" w:eastAsia="zh-CN"/>
        </w:rPr>
        <w:t xml:space="preserve"> </w:t>
      </w:r>
    </w:p>
    <w:p w14:paraId="206B0638" w14:textId="77777777" w:rsidR="00934215" w:rsidRPr="00E45DE0" w:rsidRDefault="00A92341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As reported in the main article, model 3, although it does not have a very significant average VIF, the variables GDP/capita, Effective Number of Parties and Percent of president's legislative seats presented a VIF greater than 10. For this reason, in the model 4 we excluded these three variables, resulting in the VIF test below</w:t>
      </w:r>
      <w:r w:rsidR="00934215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p w14:paraId="44DA5122" w14:textId="77777777" w:rsidR="00F1514A" w:rsidRPr="00E45DE0" w:rsidRDefault="00AA3A70" w:rsidP="002644F6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val="pt-BR" w:eastAsia="zh-CN"/>
        </w:rPr>
        <w:t>Model 4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580"/>
        <w:gridCol w:w="1040"/>
      </w:tblGrid>
      <w:tr w:rsidR="00AA3A70" w:rsidRPr="00E45DE0" w14:paraId="64BDD5DC" w14:textId="77777777" w:rsidTr="002644F6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6770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Variable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DE3F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F753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1/VIF</w:t>
            </w:r>
          </w:p>
        </w:tc>
      </w:tr>
      <w:tr w:rsidR="00AA3A70" w:rsidRPr="00E45DE0" w14:paraId="7907690A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474A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Foreign Policy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D113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B506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0.780663</w:t>
            </w:r>
          </w:p>
        </w:tc>
      </w:tr>
      <w:tr w:rsidR="00AA3A70" w:rsidRPr="00E45DE0" w14:paraId="22FD447C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97E0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Growth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2DEF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278F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0.886637</w:t>
            </w:r>
          </w:p>
        </w:tc>
      </w:tr>
      <w:tr w:rsidR="00AA3A70" w:rsidRPr="00E45DE0" w14:paraId="58666192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10FA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Legislative Powers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2F0C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AC3D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0.293786</w:t>
            </w:r>
          </w:p>
        </w:tc>
      </w:tr>
      <w:tr w:rsidR="00AA3A70" w:rsidRPr="00E45DE0" w14:paraId="5641A68E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DD4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Manifestations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E84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B7F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0.816657</w:t>
            </w:r>
          </w:p>
        </w:tc>
      </w:tr>
      <w:tr w:rsidR="00AA3A70" w:rsidRPr="00E45DE0" w14:paraId="71AEDB45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7353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F38C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04C6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0.669510</w:t>
            </w:r>
          </w:p>
        </w:tc>
      </w:tr>
      <w:tr w:rsidR="00AA3A70" w:rsidRPr="00E45DE0" w14:paraId="4E5C7E3D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E0DF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Autocracy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C020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61CC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0.636452</w:t>
            </w:r>
          </w:p>
        </w:tc>
      </w:tr>
      <w:tr w:rsidR="00AA3A70" w:rsidRPr="00E45DE0" w14:paraId="7FB479C1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CDAA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Group of the President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D4FE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CCC6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0.608449</w:t>
            </w:r>
          </w:p>
        </w:tc>
      </w:tr>
      <w:tr w:rsidR="00AA3A70" w:rsidRPr="00E45DE0" w14:paraId="4F8164A3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D94C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Coalition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1FEF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002C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0.428715</w:t>
            </w:r>
          </w:p>
        </w:tc>
      </w:tr>
      <w:tr w:rsidR="00AA3A70" w:rsidRPr="00E45DE0" w14:paraId="7B1A1003" w14:textId="77777777" w:rsidTr="002644F6">
        <w:trPr>
          <w:trHeight w:val="330"/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9416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Technocrat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E5CA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2908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0.515001</w:t>
            </w:r>
          </w:p>
        </w:tc>
      </w:tr>
      <w:tr w:rsidR="00AA3A70" w:rsidRPr="00E45DE0" w14:paraId="778D1FCC" w14:textId="77777777" w:rsidTr="002644F6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49E3" w14:textId="77777777" w:rsidR="00AA3A70" w:rsidRPr="00E45DE0" w:rsidRDefault="00AA3A70" w:rsidP="00AA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Mean VIF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5A9D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0802" w14:textId="77777777" w:rsidR="00AA3A70" w:rsidRPr="00E45DE0" w:rsidRDefault="00AA3A70" w:rsidP="00AA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C09C499" w14:textId="77777777" w:rsidR="002C1DBB" w:rsidRPr="00E45DE0" w:rsidRDefault="002C1DBB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1DC82C94" w14:textId="77777777" w:rsidR="00B3083F" w:rsidRPr="00E45DE0" w:rsidRDefault="00A92341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In model 4, with the described variable exclusion, we noticed that there are no multicollinearity problems. In model 5, we also excluded the variables Effective 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Number of Parties, GDP/capita and the Legislative Power of the President due to a VIF greater than ten</w:t>
      </w:r>
      <w:r w:rsidR="00C1246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p w14:paraId="2362DB25" w14:textId="77777777" w:rsidR="00F1514A" w:rsidRPr="00E45DE0" w:rsidRDefault="00B3083F" w:rsidP="002644F6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Model 5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080"/>
        <w:gridCol w:w="1266"/>
      </w:tblGrid>
      <w:tr w:rsidR="00B3083F" w:rsidRPr="00E45DE0" w14:paraId="283751FC" w14:textId="77777777" w:rsidTr="002644F6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E8D2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739D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VIF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53823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1/VIF</w:t>
            </w:r>
          </w:p>
        </w:tc>
      </w:tr>
      <w:tr w:rsidR="00B3083F" w:rsidRPr="00E45DE0" w14:paraId="5C4BF5F2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FE05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Foreign Policy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FEF9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1.28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BB9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0.780707</w:t>
            </w:r>
          </w:p>
        </w:tc>
      </w:tr>
      <w:tr w:rsidR="00B3083F" w:rsidRPr="00E45DE0" w14:paraId="4796631F" w14:textId="77777777" w:rsidTr="002644F6">
        <w:trPr>
          <w:trHeight w:val="30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887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Popularity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774D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5.71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9CC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0.175132</w:t>
            </w:r>
          </w:p>
        </w:tc>
      </w:tr>
      <w:tr w:rsidR="00B3083F" w:rsidRPr="00E45DE0" w14:paraId="33395F87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7832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Growth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1180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E60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0.905430</w:t>
            </w:r>
          </w:p>
        </w:tc>
      </w:tr>
      <w:tr w:rsidR="00B3083F" w:rsidRPr="00E45DE0" w14:paraId="4A385333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920A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Manifestations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54DC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3DA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0.815495</w:t>
            </w:r>
          </w:p>
        </w:tc>
      </w:tr>
      <w:tr w:rsidR="00B3083F" w:rsidRPr="00E45DE0" w14:paraId="338EB0F2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9D6C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 of president’s legislative seats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2687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4.71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F146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0.212243</w:t>
            </w:r>
          </w:p>
        </w:tc>
      </w:tr>
      <w:tr w:rsidR="00B3083F" w:rsidRPr="00E45DE0" w14:paraId="1C942645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F555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60F2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1.47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FE0E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0.678922</w:t>
            </w:r>
          </w:p>
        </w:tc>
      </w:tr>
      <w:tr w:rsidR="00B3083F" w:rsidRPr="00E45DE0" w14:paraId="71ECA84E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EDF8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Autocracy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92F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DBF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0.738936</w:t>
            </w:r>
          </w:p>
        </w:tc>
      </w:tr>
      <w:tr w:rsidR="00B3083F" w:rsidRPr="00E45DE0" w14:paraId="309A6FB5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A0B7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Group of the President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4102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A9DD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0.462503</w:t>
            </w:r>
          </w:p>
        </w:tc>
      </w:tr>
      <w:tr w:rsidR="00B3083F" w:rsidRPr="00E45DE0" w14:paraId="09A2D956" w14:textId="77777777" w:rsidTr="002644F6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463A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Coalition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DFE2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F83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0.354990</w:t>
            </w:r>
          </w:p>
        </w:tc>
      </w:tr>
      <w:tr w:rsidR="00B3083F" w:rsidRPr="00E45DE0" w14:paraId="17D0F36A" w14:textId="77777777" w:rsidTr="002644F6">
        <w:trPr>
          <w:trHeight w:val="330"/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7C6D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Technocrat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A46AC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35F5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0.419098</w:t>
            </w:r>
          </w:p>
        </w:tc>
      </w:tr>
      <w:tr w:rsidR="00B3083F" w:rsidRPr="00E45DE0" w14:paraId="16B66D5B" w14:textId="77777777" w:rsidTr="002644F6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E334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Mean VIF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167B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2.42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6FA8" w14:textId="77777777" w:rsidR="00B3083F" w:rsidRPr="00E45DE0" w:rsidRDefault="00B3083F" w:rsidP="00B3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F8DF00E" w14:textId="77777777" w:rsidR="00B3083F" w:rsidRPr="00E45DE0" w:rsidRDefault="00B3083F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333F4B8A" w14:textId="77777777" w:rsidR="00F1514A" w:rsidRPr="00E45DE0" w:rsidRDefault="00285ED1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Model 5, also with the exclusion of three variables, does not present a multicollinearity problem. Finally, model 6, with the interaction between autocracy and foreign policy, the GDP/capita variable was excluded from the model due to presenting a VIF greater than ten. Below is the VIF test for model 6 in table 2 of the main article. </w:t>
      </w:r>
    </w:p>
    <w:p w14:paraId="1E41A9C1" w14:textId="77777777" w:rsidR="00F1514A" w:rsidRPr="00E45DE0" w:rsidRDefault="00B3083F" w:rsidP="007754ED">
      <w:pPr>
        <w:spacing w:after="0" w:line="480" w:lineRule="auto"/>
        <w:jc w:val="center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val="pt-BR" w:eastAsia="zh-CN"/>
        </w:rPr>
        <w:t>Model 6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170"/>
        <w:gridCol w:w="944"/>
      </w:tblGrid>
      <w:tr w:rsidR="00B34F70" w:rsidRPr="00E45DE0" w14:paraId="65ADD539" w14:textId="77777777" w:rsidTr="007754ED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A0291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Variable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4A04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VIF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7762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1/VIF</w:t>
            </w:r>
          </w:p>
        </w:tc>
      </w:tr>
      <w:tr w:rsidR="00B34F70" w:rsidRPr="00E45DE0" w14:paraId="3BE3E8CF" w14:textId="77777777" w:rsidTr="007754ED">
        <w:trPr>
          <w:trHeight w:val="315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D7D4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Foreign Policy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DFA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1.64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F11F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0.60</w:t>
            </w:r>
            <w:r w:rsidR="00B34F70"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</w:t>
            </w:r>
          </w:p>
        </w:tc>
      </w:tr>
      <w:tr w:rsidR="00B34F70" w:rsidRPr="00E45DE0" w14:paraId="14B46721" w14:textId="77777777" w:rsidTr="007754ED">
        <w:trPr>
          <w:trHeight w:val="30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3008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Legislative Powers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6CC9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4.38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89B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0.228</w:t>
            </w:r>
          </w:p>
        </w:tc>
      </w:tr>
      <w:tr w:rsidR="00B34F70" w:rsidRPr="00E45DE0" w14:paraId="0ACB8601" w14:textId="77777777" w:rsidTr="007754ED">
        <w:trPr>
          <w:trHeight w:val="31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2824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Growth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E09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AC2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0.930</w:t>
            </w:r>
          </w:p>
        </w:tc>
      </w:tr>
      <w:tr w:rsidR="002C1DBB" w:rsidRPr="00E45DE0" w14:paraId="01A8B3DF" w14:textId="77777777" w:rsidTr="007754ED">
        <w:trPr>
          <w:trHeight w:val="31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7974" w14:textId="77777777" w:rsidR="002C1DBB" w:rsidRPr="00E45DE0" w:rsidRDefault="002C1DBB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 Number of Parties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2D9D" w14:textId="77777777" w:rsidR="002C1DBB" w:rsidRPr="00E45DE0" w:rsidRDefault="002C1DBB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284AD" w14:textId="77777777" w:rsidR="002C1DBB" w:rsidRPr="00E45DE0" w:rsidRDefault="002C1DBB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0.289</w:t>
            </w:r>
          </w:p>
        </w:tc>
      </w:tr>
      <w:tr w:rsidR="00B34F70" w:rsidRPr="00E45DE0" w14:paraId="32BCC605" w14:textId="77777777" w:rsidTr="007754ED">
        <w:trPr>
          <w:trHeight w:val="31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2F61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D03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EA0D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0.655</w:t>
            </w:r>
          </w:p>
        </w:tc>
      </w:tr>
      <w:tr w:rsidR="00B34F70" w:rsidRPr="00E45DE0" w14:paraId="29F4FA32" w14:textId="77777777" w:rsidTr="007754ED">
        <w:trPr>
          <w:trHeight w:val="31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8ABB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Autocracy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466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1.7</w:t>
            </w:r>
            <w:r w:rsidR="00B34F70"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0D4C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  <w:r w:rsidR="00B02C31"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.582</w:t>
            </w:r>
          </w:p>
        </w:tc>
      </w:tr>
      <w:tr w:rsidR="00B34F70" w:rsidRPr="00E45DE0" w14:paraId="0BC3D80A" w14:textId="77777777" w:rsidTr="007754ED">
        <w:trPr>
          <w:trHeight w:val="315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4FC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Group of the President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A2B3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DFC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0.655</w:t>
            </w:r>
          </w:p>
        </w:tc>
      </w:tr>
      <w:tr w:rsidR="00B34F70" w:rsidRPr="00E45DE0" w14:paraId="5E2D8C82" w14:textId="77777777" w:rsidTr="007754ED">
        <w:trPr>
          <w:trHeight w:val="330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A2CA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Technocrat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1134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5A812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0.507</w:t>
            </w:r>
          </w:p>
        </w:tc>
      </w:tr>
      <w:tr w:rsidR="00B34F70" w:rsidRPr="00E45DE0" w14:paraId="76E52324" w14:textId="77777777" w:rsidTr="007754ED">
        <w:trPr>
          <w:trHeight w:val="300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4C7E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Mean VIF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73B84" w14:textId="77777777" w:rsidR="00B34F70" w:rsidRPr="00E45DE0" w:rsidRDefault="00B02C31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4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2.20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0434" w14:textId="77777777" w:rsidR="00B34F70" w:rsidRPr="00E45DE0" w:rsidRDefault="00B34F70" w:rsidP="0060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4F821DA1" w14:textId="77777777" w:rsidR="00F1514A" w:rsidRDefault="00F1514A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08E8A685" w14:textId="77777777" w:rsidR="007754ED" w:rsidRDefault="007754E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6818BC71" w14:textId="77777777" w:rsidR="007754ED" w:rsidRPr="00E45DE0" w:rsidRDefault="007754E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 w:eastAsia="zh-CN"/>
        </w:rPr>
      </w:pPr>
    </w:p>
    <w:p w14:paraId="4DB78593" w14:textId="01541F3C" w:rsidR="00D41602" w:rsidRPr="00E45DE0" w:rsidRDefault="00D41602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5DE0">
        <w:rPr>
          <w:rFonts w:ascii="Times New Roman" w:eastAsia="Arial" w:hAnsi="Times New Roman" w:cs="Times New Roman"/>
          <w:b/>
          <w:sz w:val="24"/>
          <w:szCs w:val="24"/>
          <w:lang w:eastAsia="zh-CN"/>
        </w:rPr>
        <w:lastRenderedPageBreak/>
        <w:t>Part 3</w:t>
      </w: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148C3B50" w14:textId="77777777" w:rsidR="003D4A24" w:rsidRPr="00E45DE0" w:rsidRDefault="00443710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The following results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present Cox regression models for</w:t>
      </w:r>
      <w:r w:rsidR="00B50C9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the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three</w:t>
      </w:r>
      <w:r w:rsidR="00B50C9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domestic policy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ministries</w:t>
      </w:r>
      <w:r w:rsidR="00B50C9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as dummies variables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: Finance, Education, and Health. </w:t>
      </w:r>
      <w:r w:rsidR="00B50C9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n these models we use the same methods of estimation and adjustment</w:t>
      </w:r>
      <w:r w:rsidR="00B50C9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used in table 2 and described in the main text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  <w:r w:rsidR="00B50C90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The only difference is that each one includes one of the domestic policy portfolios as a dummy variable. </w:t>
      </w:r>
      <w:r w:rsidR="003B6B77" w:rsidRPr="00E45DE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7485A014" w14:textId="77777777" w:rsidR="00B50C90" w:rsidRPr="00E45DE0" w:rsidRDefault="00B50C90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55B22FD" w14:textId="77777777" w:rsidR="008B1FDF" w:rsidRPr="0091437E" w:rsidRDefault="003B6B77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es-UY"/>
        </w:rPr>
      </w:pPr>
      <w:r w:rsidRPr="0091437E">
        <w:rPr>
          <w:rFonts w:ascii="Times New Roman" w:eastAsia="Arial" w:hAnsi="Times New Roman" w:cs="Times New Roman"/>
          <w:sz w:val="24"/>
          <w:szCs w:val="24"/>
          <w:lang w:val="es-UY"/>
        </w:rPr>
        <w:t>Finance</w:t>
      </w:r>
    </w:p>
    <w:tbl>
      <w:tblPr>
        <w:tblStyle w:val="SombreamentoClaro2"/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729"/>
        <w:gridCol w:w="1178"/>
        <w:gridCol w:w="1233"/>
        <w:gridCol w:w="1170"/>
        <w:gridCol w:w="1080"/>
        <w:gridCol w:w="1170"/>
        <w:gridCol w:w="1260"/>
      </w:tblGrid>
      <w:tr w:rsidR="00822C3B" w:rsidRPr="0091437E" w14:paraId="76CC593C" w14:textId="77777777" w:rsidTr="00B36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545A2A56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22170AB2" w14:textId="77777777" w:rsidR="00D760A2" w:rsidRPr="0091437E" w:rsidRDefault="00D760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m1</w:t>
            </w:r>
          </w:p>
        </w:tc>
        <w:tc>
          <w:tcPr>
            <w:tcW w:w="1233" w:type="dxa"/>
            <w:noWrap/>
          </w:tcPr>
          <w:p w14:paraId="69022641" w14:textId="77777777" w:rsidR="00D760A2" w:rsidRPr="0091437E" w:rsidRDefault="00D760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m2</w:t>
            </w:r>
          </w:p>
        </w:tc>
        <w:tc>
          <w:tcPr>
            <w:tcW w:w="1170" w:type="dxa"/>
            <w:noWrap/>
          </w:tcPr>
          <w:p w14:paraId="1282726B" w14:textId="77777777" w:rsidR="00D760A2" w:rsidRPr="0091437E" w:rsidRDefault="00D760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m3</w:t>
            </w:r>
          </w:p>
        </w:tc>
        <w:tc>
          <w:tcPr>
            <w:tcW w:w="1080" w:type="dxa"/>
            <w:noWrap/>
          </w:tcPr>
          <w:p w14:paraId="316C2E71" w14:textId="77777777" w:rsidR="00D760A2" w:rsidRPr="0091437E" w:rsidRDefault="00D760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m4</w:t>
            </w:r>
          </w:p>
        </w:tc>
        <w:tc>
          <w:tcPr>
            <w:tcW w:w="1170" w:type="dxa"/>
          </w:tcPr>
          <w:p w14:paraId="1E3E680A" w14:textId="77777777" w:rsidR="00D760A2" w:rsidRPr="0091437E" w:rsidRDefault="00D760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m5</w:t>
            </w:r>
          </w:p>
        </w:tc>
        <w:tc>
          <w:tcPr>
            <w:tcW w:w="1260" w:type="dxa"/>
            <w:noWrap/>
          </w:tcPr>
          <w:p w14:paraId="5B2A09F1" w14:textId="77777777" w:rsidR="00D760A2" w:rsidRPr="0091437E" w:rsidRDefault="00D760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m6</w:t>
            </w:r>
          </w:p>
        </w:tc>
      </w:tr>
      <w:tr w:rsidR="00822C3B" w:rsidRPr="00E45DE0" w14:paraId="30FF77A2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18884836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</w:t>
            </w: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UY"/>
              </w:rPr>
              <w:t>inance</w:t>
            </w:r>
          </w:p>
        </w:tc>
        <w:tc>
          <w:tcPr>
            <w:tcW w:w="1178" w:type="dxa"/>
            <w:noWrap/>
          </w:tcPr>
          <w:p w14:paraId="3F470B5F" w14:textId="77777777" w:rsidR="00D760A2" w:rsidRPr="00E45DE0" w:rsidRDefault="005E076E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1233" w:type="dxa"/>
            <w:noWrap/>
          </w:tcPr>
          <w:p w14:paraId="238C077E" w14:textId="77777777" w:rsidR="00D760A2" w:rsidRPr="00E45DE0" w:rsidRDefault="005E076E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1170" w:type="dxa"/>
            <w:noWrap/>
          </w:tcPr>
          <w:p w14:paraId="4E08274B" w14:textId="77777777" w:rsidR="00D760A2" w:rsidRPr="00E45DE0" w:rsidRDefault="00602D7D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1.08</w:t>
            </w:r>
          </w:p>
        </w:tc>
        <w:tc>
          <w:tcPr>
            <w:tcW w:w="1080" w:type="dxa"/>
            <w:noWrap/>
          </w:tcPr>
          <w:p w14:paraId="29D83CC4" w14:textId="77777777" w:rsidR="00D760A2" w:rsidRPr="00E45DE0" w:rsidRDefault="00D4248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1170" w:type="dxa"/>
          </w:tcPr>
          <w:p w14:paraId="67A000D8" w14:textId="77777777" w:rsidR="00D760A2" w:rsidRPr="00E45DE0" w:rsidRDefault="00F07D6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260" w:type="dxa"/>
            <w:noWrap/>
          </w:tcPr>
          <w:p w14:paraId="004D4FEA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1.19</w:t>
            </w:r>
          </w:p>
        </w:tc>
      </w:tr>
      <w:tr w:rsidR="00822C3B" w:rsidRPr="00E45DE0" w14:paraId="59EB72A9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539D6176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57B0CB66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5E076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33" w:type="dxa"/>
            <w:noWrap/>
          </w:tcPr>
          <w:p w14:paraId="3477F899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5E076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7988D8AD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11ED4F8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F07D6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</w:t>
            </w:r>
            <w:r w:rsidR="00D42489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8117A83" w14:textId="77777777" w:rsidR="00D760A2" w:rsidRPr="00E45DE0" w:rsidRDefault="00F07D6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(.013)</w:t>
            </w:r>
          </w:p>
        </w:tc>
        <w:tc>
          <w:tcPr>
            <w:tcW w:w="1260" w:type="dxa"/>
            <w:noWrap/>
          </w:tcPr>
          <w:p w14:paraId="3195C676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(.111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339DAB2D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89A9669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Economic Growth</w:t>
            </w:r>
          </w:p>
        </w:tc>
        <w:tc>
          <w:tcPr>
            <w:tcW w:w="1178" w:type="dxa"/>
            <w:noWrap/>
          </w:tcPr>
          <w:p w14:paraId="1D890BE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2D9A0A30" w14:textId="77777777" w:rsidR="00D760A2" w:rsidRPr="00E45DE0" w:rsidRDefault="005E076E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.969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170" w:type="dxa"/>
            <w:noWrap/>
          </w:tcPr>
          <w:p w14:paraId="09859D8C" w14:textId="77777777" w:rsidR="00D760A2" w:rsidRPr="00E45DE0" w:rsidRDefault="00602D7D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.978*</w:t>
            </w:r>
          </w:p>
        </w:tc>
        <w:tc>
          <w:tcPr>
            <w:tcW w:w="1080" w:type="dxa"/>
            <w:noWrap/>
          </w:tcPr>
          <w:p w14:paraId="65F9A99F" w14:textId="77777777" w:rsidR="00D760A2" w:rsidRPr="00E45DE0" w:rsidRDefault="00D4248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.956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170" w:type="dxa"/>
          </w:tcPr>
          <w:p w14:paraId="35ED2795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.960**</w:t>
            </w:r>
          </w:p>
        </w:tc>
        <w:tc>
          <w:tcPr>
            <w:tcW w:w="1260" w:type="dxa"/>
            <w:noWrap/>
          </w:tcPr>
          <w:p w14:paraId="66144B67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.969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822C3B" w:rsidRPr="00E45DE0" w14:paraId="05245398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42BCA162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598803B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52047361" w14:textId="77777777" w:rsidR="00D760A2" w:rsidRPr="00E45DE0" w:rsidRDefault="005E076E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(.008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0FCB2489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7F455C81" w14:textId="77777777" w:rsidR="00D760A2" w:rsidRPr="00E45DE0" w:rsidRDefault="00D4248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(.008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2FABEAC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(0.013)</w:t>
            </w:r>
          </w:p>
        </w:tc>
        <w:tc>
          <w:tcPr>
            <w:tcW w:w="1260" w:type="dxa"/>
            <w:noWrap/>
          </w:tcPr>
          <w:p w14:paraId="08717F11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41484A2A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5DA7AC55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GDP/capita</w:t>
            </w:r>
          </w:p>
        </w:tc>
        <w:tc>
          <w:tcPr>
            <w:tcW w:w="1178" w:type="dxa"/>
            <w:noWrap/>
          </w:tcPr>
          <w:p w14:paraId="048B28F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69AFA81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E076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542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170" w:type="dxa"/>
            <w:noWrap/>
          </w:tcPr>
          <w:p w14:paraId="12D0F0D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477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080" w:type="dxa"/>
            <w:noWrap/>
          </w:tcPr>
          <w:p w14:paraId="74B5656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007B8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1260" w:type="dxa"/>
            <w:noWrap/>
          </w:tcPr>
          <w:p w14:paraId="238F089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77B93B4C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0D51FC89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1D51CDF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665841E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5E076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62E5BA7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058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22308A1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2E095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702933E8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0B226629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1824C1BB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Politician</w:t>
            </w:r>
          </w:p>
        </w:tc>
        <w:tc>
          <w:tcPr>
            <w:tcW w:w="1178" w:type="dxa"/>
            <w:noWrap/>
          </w:tcPr>
          <w:p w14:paraId="5528E4C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1CDE32FD" w14:textId="77777777" w:rsidR="00D760A2" w:rsidRPr="00E45DE0" w:rsidRDefault="005E076E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1.06</w:t>
            </w:r>
          </w:p>
        </w:tc>
        <w:tc>
          <w:tcPr>
            <w:tcW w:w="1170" w:type="dxa"/>
            <w:noWrap/>
          </w:tcPr>
          <w:p w14:paraId="1356D553" w14:textId="77777777" w:rsidR="00D760A2" w:rsidRPr="00E45DE0" w:rsidRDefault="00602D7D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1.07</w:t>
            </w:r>
          </w:p>
        </w:tc>
        <w:tc>
          <w:tcPr>
            <w:tcW w:w="1080" w:type="dxa"/>
            <w:noWrap/>
          </w:tcPr>
          <w:p w14:paraId="05429A96" w14:textId="77777777" w:rsidR="00D760A2" w:rsidRPr="00E45DE0" w:rsidRDefault="00D4248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1.14</w:t>
            </w:r>
          </w:p>
        </w:tc>
        <w:tc>
          <w:tcPr>
            <w:tcW w:w="1170" w:type="dxa"/>
          </w:tcPr>
          <w:p w14:paraId="67312044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1.62**</w:t>
            </w:r>
          </w:p>
        </w:tc>
        <w:tc>
          <w:tcPr>
            <w:tcW w:w="1260" w:type="dxa"/>
            <w:noWrap/>
          </w:tcPr>
          <w:p w14:paraId="62AFBE3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3E70E251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41B5DC41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78CF8DA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D79B939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</w:t>
            </w:r>
            <w:r w:rsidR="005E076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51C3A83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5A19C82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085F1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A218A5E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(.231)</w:t>
            </w:r>
          </w:p>
        </w:tc>
        <w:tc>
          <w:tcPr>
            <w:tcW w:w="1260" w:type="dxa"/>
            <w:noWrap/>
          </w:tcPr>
          <w:p w14:paraId="63C6031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3946629B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0BA72548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Autocracy</w:t>
            </w:r>
          </w:p>
        </w:tc>
        <w:tc>
          <w:tcPr>
            <w:tcW w:w="1178" w:type="dxa"/>
            <w:noWrap/>
          </w:tcPr>
          <w:p w14:paraId="264DE53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155E5ED2" w14:textId="77777777" w:rsidR="00D760A2" w:rsidRPr="00E45DE0" w:rsidRDefault="005E076E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.639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170" w:type="dxa"/>
            <w:noWrap/>
          </w:tcPr>
          <w:p w14:paraId="606865D8" w14:textId="77777777" w:rsidR="00D760A2" w:rsidRPr="00E45DE0" w:rsidRDefault="00602D7D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.467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080" w:type="dxa"/>
            <w:noWrap/>
          </w:tcPr>
          <w:p w14:paraId="2017FB38" w14:textId="77777777" w:rsidR="00D760A2" w:rsidRPr="00E45DE0" w:rsidRDefault="0084317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085F1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.733</w:t>
            </w:r>
            <w:r w:rsidR="00085F1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**</w:t>
            </w:r>
          </w:p>
        </w:tc>
        <w:tc>
          <w:tcPr>
            <w:tcW w:w="1170" w:type="dxa"/>
          </w:tcPr>
          <w:p w14:paraId="530D4E76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.604</w:t>
            </w:r>
          </w:p>
        </w:tc>
        <w:tc>
          <w:tcPr>
            <w:tcW w:w="1260" w:type="dxa"/>
            <w:noWrap/>
          </w:tcPr>
          <w:p w14:paraId="4087EAC5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.607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822C3B" w:rsidRPr="00E45DE0" w14:paraId="50742398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5C41A262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5CFF6DC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E2365E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84317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3F08228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3620B0C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11049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078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F2B0DE0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(.172)</w:t>
            </w:r>
          </w:p>
        </w:tc>
        <w:tc>
          <w:tcPr>
            <w:tcW w:w="1260" w:type="dxa"/>
            <w:noWrap/>
          </w:tcPr>
          <w:p w14:paraId="51C011B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0BFB621C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12866C11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President`s Political Group </w:t>
            </w:r>
          </w:p>
        </w:tc>
        <w:tc>
          <w:tcPr>
            <w:tcW w:w="1178" w:type="dxa"/>
            <w:noWrap/>
          </w:tcPr>
          <w:p w14:paraId="49EC869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11F43476" w14:textId="77777777" w:rsidR="00D760A2" w:rsidRPr="00E45DE0" w:rsidRDefault="0084317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.806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170" w:type="dxa"/>
            <w:noWrap/>
          </w:tcPr>
          <w:p w14:paraId="608D5208" w14:textId="77777777" w:rsidR="00D760A2" w:rsidRPr="00E45DE0" w:rsidRDefault="00602D7D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.841*</w:t>
            </w:r>
          </w:p>
        </w:tc>
        <w:tc>
          <w:tcPr>
            <w:tcW w:w="1080" w:type="dxa"/>
            <w:noWrap/>
          </w:tcPr>
          <w:p w14:paraId="2890DB78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.750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170" w:type="dxa"/>
          </w:tcPr>
          <w:p w14:paraId="584046E9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.639**</w:t>
            </w:r>
          </w:p>
        </w:tc>
        <w:tc>
          <w:tcPr>
            <w:tcW w:w="1260" w:type="dxa"/>
            <w:noWrap/>
          </w:tcPr>
          <w:p w14:paraId="34ED3AF4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.806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822C3B" w:rsidRPr="00E45DE0" w14:paraId="5445BCD0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45EF79E1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0F237EF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5FC97AA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84317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4F724A3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602D7D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6E9687C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5672D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060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FE4E9E4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(.089)</w:t>
            </w:r>
          </w:p>
        </w:tc>
        <w:tc>
          <w:tcPr>
            <w:tcW w:w="1260" w:type="dxa"/>
            <w:noWrap/>
          </w:tcPr>
          <w:p w14:paraId="2BED93A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067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33B4B8C5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12696749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Coalition</w:t>
            </w:r>
          </w:p>
        </w:tc>
        <w:tc>
          <w:tcPr>
            <w:tcW w:w="1178" w:type="dxa"/>
            <w:noWrap/>
          </w:tcPr>
          <w:p w14:paraId="70AC085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12C849D2" w14:textId="77777777" w:rsidR="00D760A2" w:rsidRPr="00E45DE0" w:rsidRDefault="0084317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1170" w:type="dxa"/>
            <w:noWrap/>
          </w:tcPr>
          <w:p w14:paraId="28C4C5E5" w14:textId="77777777" w:rsidR="00D760A2" w:rsidRPr="00E45DE0" w:rsidRDefault="00602D7D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1080" w:type="dxa"/>
            <w:noWrap/>
          </w:tcPr>
          <w:p w14:paraId="1FE8BC68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170" w:type="dxa"/>
          </w:tcPr>
          <w:p w14:paraId="3E90AFEF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260" w:type="dxa"/>
            <w:noWrap/>
          </w:tcPr>
          <w:p w14:paraId="4FBA289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1435EF19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7213E13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115736F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59E3A5CC" w14:textId="77777777" w:rsidR="00D760A2" w:rsidRPr="00E45DE0" w:rsidRDefault="0084317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(.110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0D5C72A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</w:t>
            </w:r>
            <w:r w:rsidR="005672D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2EA84272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(.113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0809E2F6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(.169)</w:t>
            </w:r>
          </w:p>
        </w:tc>
        <w:tc>
          <w:tcPr>
            <w:tcW w:w="1260" w:type="dxa"/>
            <w:noWrap/>
          </w:tcPr>
          <w:p w14:paraId="7E54BF2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74EB2D67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742240E9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Technocrat</w:t>
            </w:r>
          </w:p>
        </w:tc>
        <w:tc>
          <w:tcPr>
            <w:tcW w:w="1178" w:type="dxa"/>
            <w:noWrap/>
          </w:tcPr>
          <w:p w14:paraId="612118A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DBB17EE" w14:textId="77777777" w:rsidR="00D760A2" w:rsidRPr="00E45DE0" w:rsidRDefault="0084317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.745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170" w:type="dxa"/>
            <w:noWrap/>
          </w:tcPr>
          <w:p w14:paraId="1D91E2D3" w14:textId="77777777" w:rsidR="00D760A2" w:rsidRPr="00E45DE0" w:rsidRDefault="005861B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.778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080" w:type="dxa"/>
            <w:noWrap/>
          </w:tcPr>
          <w:p w14:paraId="00B77892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.751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170" w:type="dxa"/>
          </w:tcPr>
          <w:p w14:paraId="19992A32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.706**</w:t>
            </w:r>
          </w:p>
        </w:tc>
        <w:tc>
          <w:tcPr>
            <w:tcW w:w="1260" w:type="dxa"/>
            <w:noWrap/>
          </w:tcPr>
          <w:p w14:paraId="23F479A3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.726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822C3B" w:rsidRPr="00E45DE0" w14:paraId="69993EE4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7D39C00A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2B892C5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877681D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84317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27E1FE33" w14:textId="77777777" w:rsidR="00D760A2" w:rsidRPr="00E45DE0" w:rsidRDefault="005861B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(.066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23E19FF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1C21AAD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(.091)</w:t>
            </w:r>
          </w:p>
        </w:tc>
        <w:tc>
          <w:tcPr>
            <w:tcW w:w="1260" w:type="dxa"/>
            <w:noWrap/>
          </w:tcPr>
          <w:p w14:paraId="2E8619D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05236EC0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70E941C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Legislative Powers</w:t>
            </w:r>
          </w:p>
        </w:tc>
        <w:tc>
          <w:tcPr>
            <w:tcW w:w="1178" w:type="dxa"/>
            <w:noWrap/>
          </w:tcPr>
          <w:p w14:paraId="4554C37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5FDCCA5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344C027D" w14:textId="77777777" w:rsidR="00D760A2" w:rsidRPr="00E45DE0" w:rsidRDefault="005861B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.994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080" w:type="dxa"/>
            <w:noWrap/>
          </w:tcPr>
          <w:p w14:paraId="630851CC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.989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***</w:t>
            </w:r>
          </w:p>
        </w:tc>
        <w:tc>
          <w:tcPr>
            <w:tcW w:w="1170" w:type="dxa"/>
          </w:tcPr>
          <w:p w14:paraId="5136D786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1260" w:type="dxa"/>
            <w:noWrap/>
          </w:tcPr>
          <w:p w14:paraId="3FF71668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.989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822C3B" w:rsidRPr="00E45DE0" w14:paraId="58895463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B5C5C7F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6155361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1D084AC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6228650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</w:t>
            </w:r>
            <w:r w:rsidR="005861B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42B920CD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</w:t>
            </w:r>
            <w:r w:rsidR="005672D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532C2F1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61175E4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55AC5446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27773E72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Effective Number of Parties</w:t>
            </w:r>
          </w:p>
        </w:tc>
        <w:tc>
          <w:tcPr>
            <w:tcW w:w="1178" w:type="dxa"/>
            <w:noWrap/>
          </w:tcPr>
          <w:p w14:paraId="24A3652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2B6C0C1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6B18AB6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1080" w:type="dxa"/>
            <w:noWrap/>
          </w:tcPr>
          <w:p w14:paraId="2C74F24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1170" w:type="dxa"/>
          </w:tcPr>
          <w:p w14:paraId="1D7F4F8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1260" w:type="dxa"/>
            <w:noWrap/>
          </w:tcPr>
          <w:p w14:paraId="3819ED2B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.994</w:t>
            </w:r>
          </w:p>
        </w:tc>
      </w:tr>
      <w:tr w:rsidR="00822C3B" w:rsidRPr="00E45DE0" w14:paraId="6CE07E3F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4F29F079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16FB332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3DE5B61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3088155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6FA72A7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14966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5FDAEDC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6D7B036B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7B58355D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Demonstrations</w:t>
            </w:r>
          </w:p>
        </w:tc>
        <w:tc>
          <w:tcPr>
            <w:tcW w:w="1178" w:type="dxa"/>
            <w:noWrap/>
          </w:tcPr>
          <w:p w14:paraId="0204220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7399458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5A0CF24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</w:t>
            </w:r>
          </w:p>
        </w:tc>
        <w:tc>
          <w:tcPr>
            <w:tcW w:w="1080" w:type="dxa"/>
            <w:noWrap/>
          </w:tcPr>
          <w:p w14:paraId="3DB6B0F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1170" w:type="dxa"/>
          </w:tcPr>
          <w:p w14:paraId="24AF7ED2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60" w:type="dxa"/>
            <w:noWrap/>
          </w:tcPr>
          <w:p w14:paraId="7BA113A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56F5E244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233F0A7F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44826FE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5B0B8226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638CE37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2EFF292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DA2CE9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(.019)</w:t>
            </w:r>
          </w:p>
        </w:tc>
        <w:tc>
          <w:tcPr>
            <w:tcW w:w="1260" w:type="dxa"/>
            <w:noWrap/>
          </w:tcPr>
          <w:p w14:paraId="05F9B08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4BCDCFF6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1F61F86" w14:textId="77777777" w:rsidR="00D760A2" w:rsidRPr="0091437E" w:rsidRDefault="00D424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President</w:t>
            </w:r>
            <w:r w:rsidR="00D760A2"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legislative seats</w:t>
            </w:r>
          </w:p>
        </w:tc>
        <w:tc>
          <w:tcPr>
            <w:tcW w:w="1178" w:type="dxa"/>
            <w:noWrap/>
          </w:tcPr>
          <w:p w14:paraId="4A2422D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67592656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62208CBA" w14:textId="77777777" w:rsidR="00D760A2" w:rsidRPr="00E45DE0" w:rsidRDefault="00D4248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1.00</w:t>
            </w:r>
          </w:p>
        </w:tc>
        <w:tc>
          <w:tcPr>
            <w:tcW w:w="1080" w:type="dxa"/>
            <w:noWrap/>
          </w:tcPr>
          <w:p w14:paraId="15C3B375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C85AF6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1.01*</w:t>
            </w:r>
          </w:p>
        </w:tc>
        <w:tc>
          <w:tcPr>
            <w:tcW w:w="1260" w:type="dxa"/>
            <w:noWrap/>
          </w:tcPr>
          <w:p w14:paraId="14563F79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1F9526B3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1AFE364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43B330B2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C5FED7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1724B43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</w:t>
            </w:r>
            <w:r w:rsidR="00D42489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7621486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E2EB95" w14:textId="77777777" w:rsidR="00D760A2" w:rsidRPr="00E45DE0" w:rsidRDefault="006E0659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1260" w:type="dxa"/>
            <w:noWrap/>
          </w:tcPr>
          <w:p w14:paraId="1D74A97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18BC1056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7FA61EB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Popularity</w:t>
            </w:r>
          </w:p>
        </w:tc>
        <w:tc>
          <w:tcPr>
            <w:tcW w:w="1178" w:type="dxa"/>
            <w:noWrap/>
          </w:tcPr>
          <w:p w14:paraId="1B8B336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63F2D96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00C4BE6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14:paraId="16C9CA1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1170" w:type="dxa"/>
          </w:tcPr>
          <w:p w14:paraId="5659B4AF" w14:textId="77777777" w:rsidR="00D760A2" w:rsidRPr="00E45DE0" w:rsidRDefault="00F07D6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.994</w:t>
            </w:r>
          </w:p>
        </w:tc>
        <w:tc>
          <w:tcPr>
            <w:tcW w:w="1260" w:type="dxa"/>
            <w:noWrap/>
          </w:tcPr>
          <w:p w14:paraId="4A757FF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4AB023C0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01CB7DA6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76A00AF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74D09DE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0245F23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14:paraId="506B1A3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D90307" w14:textId="77777777" w:rsidR="00D760A2" w:rsidRPr="00E45DE0" w:rsidRDefault="00F07D68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1260" w:type="dxa"/>
            <w:noWrap/>
          </w:tcPr>
          <w:p w14:paraId="1B55EEA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2C3B" w:rsidRPr="00E45DE0" w14:paraId="4CACE2D0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62585C5B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Autocracy x F</w:t>
            </w: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UY"/>
              </w:rPr>
              <w:t>inance</w:t>
            </w:r>
          </w:p>
        </w:tc>
        <w:tc>
          <w:tcPr>
            <w:tcW w:w="1178" w:type="dxa"/>
            <w:noWrap/>
          </w:tcPr>
          <w:p w14:paraId="72DC0691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7DF4DE03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35F6045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14:paraId="3A10483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AED63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1260" w:type="dxa"/>
            <w:noWrap/>
          </w:tcPr>
          <w:p w14:paraId="575E032E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.690</w:t>
            </w:r>
          </w:p>
        </w:tc>
      </w:tr>
      <w:tr w:rsidR="00822C3B" w:rsidRPr="00E45DE0" w14:paraId="2ACCC3D6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1F861D02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/>
          </w:tcPr>
          <w:p w14:paraId="7713883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noWrap/>
          </w:tcPr>
          <w:p w14:paraId="435E033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08AF4A3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14:paraId="47BE56D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16B83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3EA71491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(.174)</w:t>
            </w:r>
          </w:p>
        </w:tc>
      </w:tr>
      <w:tr w:rsidR="00822C3B" w:rsidRPr="00E45DE0" w14:paraId="2D4A8F3E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0C81B553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Observations</w:t>
            </w:r>
          </w:p>
        </w:tc>
        <w:tc>
          <w:tcPr>
            <w:tcW w:w="1178" w:type="dxa"/>
            <w:noWrap/>
          </w:tcPr>
          <w:p w14:paraId="6715D6B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1229</w:t>
            </w:r>
          </w:p>
        </w:tc>
        <w:tc>
          <w:tcPr>
            <w:tcW w:w="1233" w:type="dxa"/>
            <w:noWrap/>
          </w:tcPr>
          <w:p w14:paraId="4BDA1E3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1229</w:t>
            </w:r>
          </w:p>
        </w:tc>
        <w:tc>
          <w:tcPr>
            <w:tcW w:w="1170" w:type="dxa"/>
            <w:noWrap/>
          </w:tcPr>
          <w:p w14:paraId="09C5FCA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1001</w:t>
            </w:r>
          </w:p>
        </w:tc>
        <w:tc>
          <w:tcPr>
            <w:tcW w:w="1080" w:type="dxa"/>
            <w:noWrap/>
          </w:tcPr>
          <w:p w14:paraId="0B793509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1120</w:t>
            </w:r>
          </w:p>
        </w:tc>
        <w:tc>
          <w:tcPr>
            <w:tcW w:w="1170" w:type="dxa"/>
          </w:tcPr>
          <w:p w14:paraId="43F44282" w14:textId="77777777" w:rsidR="00D760A2" w:rsidRPr="00E45DE0" w:rsidRDefault="00822C3B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60" w:type="dxa"/>
            <w:noWrap/>
          </w:tcPr>
          <w:p w14:paraId="0CA83D76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1110</w:t>
            </w:r>
          </w:p>
        </w:tc>
      </w:tr>
      <w:tr w:rsidR="00822C3B" w:rsidRPr="00E45DE0" w14:paraId="50798281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2065F9EB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Groups(country)</w:t>
            </w:r>
          </w:p>
        </w:tc>
        <w:tc>
          <w:tcPr>
            <w:tcW w:w="1178" w:type="dxa"/>
            <w:noWrap/>
          </w:tcPr>
          <w:p w14:paraId="03316F49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33" w:type="dxa"/>
            <w:noWrap/>
          </w:tcPr>
          <w:p w14:paraId="1A86FED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70" w:type="dxa"/>
            <w:noWrap/>
          </w:tcPr>
          <w:p w14:paraId="47EC38BB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14:paraId="4C49439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1B3A42B" w14:textId="77777777" w:rsidR="00D760A2" w:rsidRPr="00E45DE0" w:rsidRDefault="00822C3B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noWrap/>
          </w:tcPr>
          <w:p w14:paraId="53ADE00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822C3B" w:rsidRPr="00E45DE0" w14:paraId="5E22E518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60906DA5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Failures</w:t>
            </w:r>
          </w:p>
        </w:tc>
        <w:tc>
          <w:tcPr>
            <w:tcW w:w="1178" w:type="dxa"/>
            <w:noWrap/>
          </w:tcPr>
          <w:p w14:paraId="1FCB4A8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763</w:t>
            </w:r>
          </w:p>
        </w:tc>
        <w:tc>
          <w:tcPr>
            <w:tcW w:w="1233" w:type="dxa"/>
            <w:noWrap/>
          </w:tcPr>
          <w:p w14:paraId="54F6F2F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763</w:t>
            </w:r>
          </w:p>
        </w:tc>
        <w:tc>
          <w:tcPr>
            <w:tcW w:w="1170" w:type="dxa"/>
            <w:noWrap/>
          </w:tcPr>
          <w:p w14:paraId="20D4948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622</w:t>
            </w:r>
          </w:p>
        </w:tc>
        <w:tc>
          <w:tcPr>
            <w:tcW w:w="1080" w:type="dxa"/>
            <w:noWrap/>
          </w:tcPr>
          <w:p w14:paraId="1651BC02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716</w:t>
            </w:r>
          </w:p>
        </w:tc>
        <w:tc>
          <w:tcPr>
            <w:tcW w:w="1170" w:type="dxa"/>
          </w:tcPr>
          <w:p w14:paraId="58A65378" w14:textId="77777777" w:rsidR="00D760A2" w:rsidRPr="00E45DE0" w:rsidRDefault="00822C3B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60" w:type="dxa"/>
            <w:noWrap/>
          </w:tcPr>
          <w:p w14:paraId="7FDD0C0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669</w:t>
            </w:r>
          </w:p>
        </w:tc>
      </w:tr>
      <w:tr w:rsidR="00822C3B" w:rsidRPr="00E45DE0" w14:paraId="060F58CB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7BBBBC6E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χ</w:t>
            </w: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8" w:type="dxa"/>
            <w:noWrap/>
          </w:tcPr>
          <w:p w14:paraId="6C38CBA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.41</w:t>
            </w:r>
          </w:p>
        </w:tc>
        <w:tc>
          <w:tcPr>
            <w:tcW w:w="1233" w:type="dxa"/>
            <w:noWrap/>
          </w:tcPr>
          <w:p w14:paraId="59EADF0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139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170" w:type="dxa"/>
            <w:noWrap/>
          </w:tcPr>
          <w:p w14:paraId="2279E888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080" w:type="dxa"/>
            <w:noWrap/>
          </w:tcPr>
          <w:p w14:paraId="39DA619A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116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1170" w:type="dxa"/>
          </w:tcPr>
          <w:p w14:paraId="09DF33A1" w14:textId="77777777" w:rsidR="00D760A2" w:rsidRPr="00E45DE0" w:rsidRDefault="00822C3B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46.11***</w:t>
            </w:r>
          </w:p>
        </w:tc>
        <w:tc>
          <w:tcPr>
            <w:tcW w:w="1260" w:type="dxa"/>
            <w:noWrap/>
          </w:tcPr>
          <w:p w14:paraId="52CC636E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112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68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822C3B" w:rsidRPr="00E45DE0" w14:paraId="66CBA900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15CE1175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Log Likelihood</w:t>
            </w:r>
          </w:p>
        </w:tc>
        <w:tc>
          <w:tcPr>
            <w:tcW w:w="1178" w:type="dxa"/>
            <w:noWrap/>
          </w:tcPr>
          <w:p w14:paraId="1D806157" w14:textId="4DD96346" w:rsidR="00D760A2" w:rsidRPr="00E45DE0" w:rsidRDefault="00B3671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63</w:t>
            </w:r>
          </w:p>
        </w:tc>
        <w:tc>
          <w:tcPr>
            <w:tcW w:w="1233" w:type="dxa"/>
            <w:noWrap/>
          </w:tcPr>
          <w:p w14:paraId="6123040C" w14:textId="65B72DED" w:rsidR="00D760A2" w:rsidRPr="00E45DE0" w:rsidRDefault="00B3671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26.08</w:t>
            </w:r>
          </w:p>
        </w:tc>
        <w:tc>
          <w:tcPr>
            <w:tcW w:w="1170" w:type="dxa"/>
            <w:noWrap/>
          </w:tcPr>
          <w:p w14:paraId="175F181A" w14:textId="55BE654E" w:rsidR="00D760A2" w:rsidRPr="00E45DE0" w:rsidRDefault="00B3671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25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31</w:t>
            </w:r>
          </w:p>
        </w:tc>
        <w:tc>
          <w:tcPr>
            <w:tcW w:w="1080" w:type="dxa"/>
            <w:noWrap/>
          </w:tcPr>
          <w:p w14:paraId="362C6BD2" w14:textId="598D10B8" w:rsidR="00D760A2" w:rsidRPr="00E45DE0" w:rsidRDefault="00B3671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5672D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4288.0</w:t>
            </w:r>
          </w:p>
        </w:tc>
        <w:tc>
          <w:tcPr>
            <w:tcW w:w="1170" w:type="dxa"/>
          </w:tcPr>
          <w:p w14:paraId="613130FA" w14:textId="607DB411" w:rsidR="00D760A2" w:rsidRPr="00E45DE0" w:rsidRDefault="00B3671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22C3B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1385.4</w:t>
            </w:r>
          </w:p>
        </w:tc>
        <w:tc>
          <w:tcPr>
            <w:tcW w:w="1260" w:type="dxa"/>
            <w:noWrap/>
          </w:tcPr>
          <w:p w14:paraId="3730D0EB" w14:textId="19CC5A2C" w:rsidR="00D760A2" w:rsidRPr="00E45DE0" w:rsidRDefault="00B3671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89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323A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</w:t>
            </w:r>
          </w:p>
        </w:tc>
      </w:tr>
      <w:tr w:rsidR="00822C3B" w:rsidRPr="00E45DE0" w14:paraId="3C30E64B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2E1F58D7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Theta</w:t>
            </w:r>
          </w:p>
        </w:tc>
        <w:tc>
          <w:tcPr>
            <w:tcW w:w="1178" w:type="dxa"/>
            <w:noWrap/>
          </w:tcPr>
          <w:p w14:paraId="03A002E8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0.20(0.11)</w:t>
            </w:r>
          </w:p>
        </w:tc>
        <w:tc>
          <w:tcPr>
            <w:tcW w:w="1233" w:type="dxa"/>
            <w:noWrap/>
          </w:tcPr>
          <w:p w14:paraId="2C9C26BE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(0.10)</w:t>
            </w:r>
          </w:p>
        </w:tc>
        <w:tc>
          <w:tcPr>
            <w:tcW w:w="1170" w:type="dxa"/>
            <w:noWrap/>
          </w:tcPr>
          <w:p w14:paraId="7D872428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080" w:type="dxa"/>
            <w:noWrap/>
          </w:tcPr>
          <w:p w14:paraId="44830A44" w14:textId="77777777" w:rsidR="00D760A2" w:rsidRPr="00E45DE0" w:rsidRDefault="005672DF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0.20(0.11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22DB6BB" w14:textId="77777777" w:rsidR="00D760A2" w:rsidRPr="00E45DE0" w:rsidRDefault="00822C3B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0.08(0.06)</w:t>
            </w:r>
          </w:p>
        </w:tc>
        <w:tc>
          <w:tcPr>
            <w:tcW w:w="1260" w:type="dxa"/>
            <w:noWrap/>
          </w:tcPr>
          <w:p w14:paraId="5EC81094" w14:textId="77777777" w:rsidR="00D760A2" w:rsidRPr="00E45DE0" w:rsidRDefault="003323A5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0.22(0.12</w:t>
            </w:r>
            <w:r w:rsidR="00D760A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22C3B" w:rsidRPr="00E45DE0" w14:paraId="5FB01547" w14:textId="77777777" w:rsidTr="00B3671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9" w:type="dxa"/>
            <w:noWrap/>
          </w:tcPr>
          <w:p w14:paraId="3AFF8DA2" w14:textId="77777777" w:rsidR="00D760A2" w:rsidRPr="0091437E" w:rsidRDefault="00D760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PH Assumption</w:t>
            </w:r>
          </w:p>
        </w:tc>
        <w:tc>
          <w:tcPr>
            <w:tcW w:w="1178" w:type="dxa"/>
            <w:noWrap/>
          </w:tcPr>
          <w:p w14:paraId="78E95724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3.28</w:t>
            </w:r>
          </w:p>
        </w:tc>
        <w:tc>
          <w:tcPr>
            <w:tcW w:w="1233" w:type="dxa"/>
            <w:noWrap/>
          </w:tcPr>
          <w:p w14:paraId="2AC0F15F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8.89</w:t>
            </w:r>
          </w:p>
        </w:tc>
        <w:tc>
          <w:tcPr>
            <w:tcW w:w="1170" w:type="dxa"/>
            <w:noWrap/>
          </w:tcPr>
          <w:p w14:paraId="46F89590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32.2**</w:t>
            </w:r>
          </w:p>
        </w:tc>
        <w:tc>
          <w:tcPr>
            <w:tcW w:w="1080" w:type="dxa"/>
            <w:noWrap/>
          </w:tcPr>
          <w:p w14:paraId="498E9D2A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3024A7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74FB170C" w14:textId="77777777" w:rsidR="00D760A2" w:rsidRPr="00E45DE0" w:rsidRDefault="00D760A2" w:rsidP="00B3671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8EACDF" w14:textId="77777777" w:rsidR="007754ED" w:rsidRDefault="007754ED" w:rsidP="00D760A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12D309E" w14:textId="62922B29" w:rsidR="008B1FDF" w:rsidRPr="00E45DE0" w:rsidRDefault="003B6B77" w:rsidP="007754ED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E45DE0">
        <w:rPr>
          <w:rFonts w:ascii="Times New Roman" w:eastAsia="Arial" w:hAnsi="Times New Roman" w:cs="Times New Roman"/>
          <w:sz w:val="24"/>
          <w:szCs w:val="24"/>
        </w:rPr>
        <w:t xml:space="preserve">Note: Coefficients with standard errors in parentheses (conditional on frailty on the five models; grouped by country). Efron Method. *** p&lt;0.001, ** p&lt;0.01, * p&lt;0.05. </w:t>
      </w:r>
    </w:p>
    <w:p w14:paraId="3DAEDF7C" w14:textId="77777777" w:rsidR="00D760A2" w:rsidRPr="00E45DE0" w:rsidRDefault="00D760A2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C079D4" w14:textId="77777777" w:rsidR="00B50C90" w:rsidRPr="00E45DE0" w:rsidRDefault="00B50C90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0EA0E5" w14:textId="6F4734B3" w:rsidR="007754ED" w:rsidRDefault="007754E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19BD9990" w14:textId="77777777" w:rsidR="00B50C90" w:rsidRPr="00E45DE0" w:rsidRDefault="00B50C90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3F33CD" w14:textId="77777777" w:rsidR="00B50C90" w:rsidRPr="00E45DE0" w:rsidRDefault="00B50C90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2B32BAB" w14:textId="77777777" w:rsidR="008B1FDF" w:rsidRPr="0091437E" w:rsidRDefault="003B6B77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437E">
        <w:rPr>
          <w:rFonts w:ascii="Times New Roman" w:eastAsia="Arial" w:hAnsi="Times New Roman" w:cs="Times New Roman"/>
          <w:sz w:val="24"/>
          <w:szCs w:val="24"/>
          <w:lang w:val="es-UY"/>
        </w:rPr>
        <w:t>Education</w:t>
      </w:r>
    </w:p>
    <w:tbl>
      <w:tblPr>
        <w:tblStyle w:val="SombreamentoClaro2"/>
        <w:tblW w:w="9157" w:type="dxa"/>
        <w:jc w:val="center"/>
        <w:tblLook w:val="04A0" w:firstRow="1" w:lastRow="0" w:firstColumn="1" w:lastColumn="0" w:noHBand="0" w:noVBand="1"/>
      </w:tblPr>
      <w:tblGrid>
        <w:gridCol w:w="2915"/>
        <w:gridCol w:w="1216"/>
        <w:gridCol w:w="1216"/>
        <w:gridCol w:w="1236"/>
        <w:gridCol w:w="1216"/>
        <w:gridCol w:w="1216"/>
        <w:gridCol w:w="1236"/>
      </w:tblGrid>
      <w:tr w:rsidR="00312A05" w:rsidRPr="0091437E" w14:paraId="6261F392" w14:textId="77777777" w:rsidTr="00312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E9F240D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A36D3E5" w14:textId="77777777" w:rsidR="00312A05" w:rsidRPr="0091437E" w:rsidRDefault="00312A05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m1</w:t>
            </w:r>
          </w:p>
        </w:tc>
        <w:tc>
          <w:tcPr>
            <w:tcW w:w="0" w:type="auto"/>
            <w:noWrap/>
          </w:tcPr>
          <w:p w14:paraId="246BFBD8" w14:textId="77777777" w:rsidR="00312A05" w:rsidRPr="0091437E" w:rsidRDefault="00312A05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m2</w:t>
            </w:r>
          </w:p>
        </w:tc>
        <w:tc>
          <w:tcPr>
            <w:tcW w:w="0" w:type="auto"/>
            <w:noWrap/>
          </w:tcPr>
          <w:p w14:paraId="5DA9467D" w14:textId="77777777" w:rsidR="00312A05" w:rsidRPr="0091437E" w:rsidRDefault="00312A05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m3</w:t>
            </w:r>
          </w:p>
        </w:tc>
        <w:tc>
          <w:tcPr>
            <w:tcW w:w="0" w:type="auto"/>
            <w:noWrap/>
          </w:tcPr>
          <w:p w14:paraId="42020C04" w14:textId="77777777" w:rsidR="00312A05" w:rsidRPr="0091437E" w:rsidRDefault="00312A05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m4</w:t>
            </w:r>
          </w:p>
        </w:tc>
        <w:tc>
          <w:tcPr>
            <w:tcW w:w="0" w:type="auto"/>
          </w:tcPr>
          <w:p w14:paraId="6393D0CA" w14:textId="77777777" w:rsidR="00312A05" w:rsidRPr="0091437E" w:rsidRDefault="00312A05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m5</w:t>
            </w:r>
          </w:p>
        </w:tc>
        <w:tc>
          <w:tcPr>
            <w:tcW w:w="0" w:type="auto"/>
            <w:noWrap/>
          </w:tcPr>
          <w:p w14:paraId="38BDBF55" w14:textId="77777777" w:rsidR="00312A05" w:rsidRPr="0091437E" w:rsidRDefault="00312A05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m6</w:t>
            </w:r>
          </w:p>
        </w:tc>
      </w:tr>
      <w:tr w:rsidR="00312A05" w:rsidRPr="00E45DE0" w14:paraId="50D42475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CA241E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Education</w:t>
            </w:r>
          </w:p>
        </w:tc>
        <w:tc>
          <w:tcPr>
            <w:tcW w:w="0" w:type="auto"/>
            <w:noWrap/>
          </w:tcPr>
          <w:p w14:paraId="7FD88B4E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1.26**</w:t>
            </w:r>
          </w:p>
        </w:tc>
        <w:tc>
          <w:tcPr>
            <w:tcW w:w="0" w:type="auto"/>
            <w:noWrap/>
          </w:tcPr>
          <w:p w14:paraId="31652B91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1.19*</w:t>
            </w:r>
          </w:p>
        </w:tc>
        <w:tc>
          <w:tcPr>
            <w:tcW w:w="0" w:type="auto"/>
            <w:noWrap/>
          </w:tcPr>
          <w:p w14:paraId="114539D0" w14:textId="77777777" w:rsidR="00312A05" w:rsidRPr="00E45DE0" w:rsidRDefault="00F364D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1.30**</w:t>
            </w:r>
          </w:p>
        </w:tc>
        <w:tc>
          <w:tcPr>
            <w:tcW w:w="0" w:type="auto"/>
            <w:noWrap/>
          </w:tcPr>
          <w:p w14:paraId="27C795C3" w14:textId="77777777" w:rsidR="00312A05" w:rsidRPr="00E45DE0" w:rsidRDefault="00C9256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1.21*</w:t>
            </w:r>
          </w:p>
        </w:tc>
        <w:tc>
          <w:tcPr>
            <w:tcW w:w="0" w:type="auto"/>
          </w:tcPr>
          <w:p w14:paraId="2EC93255" w14:textId="77777777" w:rsidR="00312A05" w:rsidRPr="00E45DE0" w:rsidRDefault="007B3C72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noWrap/>
          </w:tcPr>
          <w:p w14:paraId="779CAE35" w14:textId="77777777" w:rsidR="00312A05" w:rsidRPr="00E45DE0" w:rsidRDefault="003F20E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1.23*</w:t>
            </w:r>
          </w:p>
        </w:tc>
      </w:tr>
      <w:tr w:rsidR="00312A05" w:rsidRPr="00E45DE0" w14:paraId="3B686F33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5878A6C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BD63CFB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(.101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4EE4AD1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(.101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4B9017B" w14:textId="77777777" w:rsidR="00312A05" w:rsidRPr="00E45DE0" w:rsidRDefault="00F364D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(.122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87A7F1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964066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106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E6A39B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B3C72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.173</w:t>
            </w: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C343F2D" w14:textId="77777777" w:rsidR="00312A05" w:rsidRPr="00E45DE0" w:rsidRDefault="003F20E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(.120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12A05" w:rsidRPr="00E45DE0" w14:paraId="5C511DF5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07EC6CE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Economic Growth</w:t>
            </w:r>
          </w:p>
        </w:tc>
        <w:tc>
          <w:tcPr>
            <w:tcW w:w="0" w:type="auto"/>
            <w:noWrap/>
          </w:tcPr>
          <w:p w14:paraId="0A9D870F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853031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.969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03AA95D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.978*</w:t>
            </w:r>
          </w:p>
        </w:tc>
        <w:tc>
          <w:tcPr>
            <w:tcW w:w="0" w:type="auto"/>
            <w:noWrap/>
          </w:tcPr>
          <w:p w14:paraId="42436F69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.955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14:paraId="3015F739" w14:textId="77777777" w:rsidR="00312A05" w:rsidRPr="00E45DE0" w:rsidRDefault="007B3C72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.959</w:t>
            </w:r>
            <w:r w:rsidR="00312A05"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**</w:t>
            </w:r>
          </w:p>
        </w:tc>
        <w:tc>
          <w:tcPr>
            <w:tcW w:w="0" w:type="auto"/>
            <w:noWrap/>
          </w:tcPr>
          <w:p w14:paraId="55BA04A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.969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</w:tr>
      <w:tr w:rsidR="00312A05" w:rsidRPr="00E45DE0" w14:paraId="73831D5C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EF72F0D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BD4C08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BEB5E8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(.008)</w:t>
            </w:r>
          </w:p>
        </w:tc>
        <w:tc>
          <w:tcPr>
            <w:tcW w:w="0" w:type="auto"/>
            <w:noWrap/>
          </w:tcPr>
          <w:p w14:paraId="5F96263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E44657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(.008)</w:t>
            </w:r>
          </w:p>
        </w:tc>
        <w:tc>
          <w:tcPr>
            <w:tcW w:w="0" w:type="auto"/>
          </w:tcPr>
          <w:p w14:paraId="40F5787F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(.013)</w:t>
            </w:r>
          </w:p>
        </w:tc>
        <w:tc>
          <w:tcPr>
            <w:tcW w:w="0" w:type="auto"/>
            <w:noWrap/>
          </w:tcPr>
          <w:p w14:paraId="241C7A0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(.009)</w:t>
            </w:r>
          </w:p>
        </w:tc>
      </w:tr>
      <w:tr w:rsidR="00312A05" w:rsidRPr="00E45DE0" w14:paraId="35B8807A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0A4E0F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GDP/capita</w:t>
            </w:r>
          </w:p>
        </w:tc>
        <w:tc>
          <w:tcPr>
            <w:tcW w:w="0" w:type="auto"/>
            <w:noWrap/>
          </w:tcPr>
          <w:p w14:paraId="0E613DD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38E10E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772B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534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3C2B902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364D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435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6E45723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793BB09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01F1D65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1B1C3BC7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2259CFF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804907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22811E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772B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643E3D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F364D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057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588CB4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4BEA6B2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B1CCE1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4909A6AE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2E03E8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Politician</w:t>
            </w:r>
          </w:p>
        </w:tc>
        <w:tc>
          <w:tcPr>
            <w:tcW w:w="0" w:type="auto"/>
            <w:noWrap/>
          </w:tcPr>
          <w:p w14:paraId="7158A11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029BA76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1.07</w:t>
            </w:r>
          </w:p>
        </w:tc>
        <w:tc>
          <w:tcPr>
            <w:tcW w:w="0" w:type="auto"/>
            <w:noWrap/>
          </w:tcPr>
          <w:p w14:paraId="0BE3347C" w14:textId="77777777" w:rsidR="00312A05" w:rsidRPr="00E45DE0" w:rsidRDefault="00F364D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1.09</w:t>
            </w:r>
          </w:p>
        </w:tc>
        <w:tc>
          <w:tcPr>
            <w:tcW w:w="0" w:type="auto"/>
            <w:noWrap/>
          </w:tcPr>
          <w:p w14:paraId="26613704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1.15</w:t>
            </w:r>
          </w:p>
        </w:tc>
        <w:tc>
          <w:tcPr>
            <w:tcW w:w="0" w:type="auto"/>
          </w:tcPr>
          <w:p w14:paraId="7A88503E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1.59</w:t>
            </w:r>
            <w:r w:rsidR="00312A05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5A7B58C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69C032EE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24C39A1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14B95D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BC0A72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</w:t>
            </w:r>
            <w:r w:rsidR="007772B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8D9970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F364D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E82C34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964066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98B34D1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(.227</w:t>
            </w:r>
            <w:r w:rsidR="00312A05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C76199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284A9845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6ED172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Autocracy</w:t>
            </w:r>
          </w:p>
        </w:tc>
        <w:tc>
          <w:tcPr>
            <w:tcW w:w="0" w:type="auto"/>
            <w:noWrap/>
          </w:tcPr>
          <w:p w14:paraId="6F65B4F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BDD3F0E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.647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61C8BA5A" w14:textId="77777777" w:rsidR="00312A05" w:rsidRPr="00E45DE0" w:rsidRDefault="00775E9C" w:rsidP="000400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.459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6CA1E65C" w14:textId="77777777" w:rsidR="00312A05" w:rsidRPr="00E45DE0" w:rsidRDefault="00312A05" w:rsidP="000400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964066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.745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**</w:t>
            </w:r>
          </w:p>
        </w:tc>
        <w:tc>
          <w:tcPr>
            <w:tcW w:w="0" w:type="auto"/>
          </w:tcPr>
          <w:p w14:paraId="1A0F4532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.611</w:t>
            </w:r>
          </w:p>
        </w:tc>
        <w:tc>
          <w:tcPr>
            <w:tcW w:w="0" w:type="auto"/>
            <w:noWrap/>
          </w:tcPr>
          <w:p w14:paraId="56DE46AF" w14:textId="77777777" w:rsidR="00312A05" w:rsidRPr="00E45DE0" w:rsidRDefault="003D150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.566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312A05" w:rsidRPr="00E45DE0" w14:paraId="03404ECD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0C049BC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BD993C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506208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772B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71A33D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75E9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76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0344327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964066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079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A51249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B3536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.173</w:t>
            </w: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5F5D6D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3D150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12A05" w:rsidRPr="00E45DE0" w14:paraId="374D8367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1BCDA3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President`s Political Group </w:t>
            </w:r>
          </w:p>
        </w:tc>
        <w:tc>
          <w:tcPr>
            <w:tcW w:w="0" w:type="auto"/>
            <w:noWrap/>
          </w:tcPr>
          <w:p w14:paraId="26ACC4C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D05D99D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.791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747A3546" w14:textId="77777777" w:rsidR="00312A05" w:rsidRPr="00E45DE0" w:rsidRDefault="00775E9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.815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</w:t>
            </w:r>
          </w:p>
        </w:tc>
        <w:tc>
          <w:tcPr>
            <w:tcW w:w="0" w:type="auto"/>
            <w:noWrap/>
          </w:tcPr>
          <w:p w14:paraId="0F5AA516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.735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14:paraId="237BEAC7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.623</w:t>
            </w:r>
            <w:r w:rsidR="00312A05"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**</w:t>
            </w:r>
          </w:p>
        </w:tc>
        <w:tc>
          <w:tcPr>
            <w:tcW w:w="0" w:type="auto"/>
            <w:noWrap/>
          </w:tcPr>
          <w:p w14:paraId="63EA8718" w14:textId="77777777" w:rsidR="00312A05" w:rsidRPr="00E45DE0" w:rsidRDefault="003D150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.795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312A05" w:rsidRPr="00E45DE0" w14:paraId="7BBC6796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B6DE89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983F8A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6E5D73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772B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A7DF83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75E9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2DA8991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964066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059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8060742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(.088</w:t>
            </w:r>
            <w:r w:rsidR="00312A05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A514B2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3D150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066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12A05" w:rsidRPr="00E45DE0" w14:paraId="1AF6778F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5DED896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Coalition</w:t>
            </w:r>
          </w:p>
        </w:tc>
        <w:tc>
          <w:tcPr>
            <w:tcW w:w="0" w:type="auto"/>
            <w:noWrap/>
          </w:tcPr>
          <w:p w14:paraId="5127A5F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916ECC3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0" w:type="auto"/>
            <w:noWrap/>
          </w:tcPr>
          <w:p w14:paraId="7F85F497" w14:textId="77777777" w:rsidR="00312A05" w:rsidRPr="00E45DE0" w:rsidRDefault="00775E9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0" w:type="auto"/>
            <w:noWrap/>
          </w:tcPr>
          <w:p w14:paraId="51053985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0" w:type="auto"/>
          </w:tcPr>
          <w:p w14:paraId="507C761D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0" w:type="auto"/>
            <w:noWrap/>
          </w:tcPr>
          <w:p w14:paraId="51CC055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5FB85438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557A51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6427FA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028A1E7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(.112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1D8129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</w:t>
            </w:r>
            <w:r w:rsidR="00775E9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94D94C1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(.115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050738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B3536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.174</w:t>
            </w: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96DADF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67AD0504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83C09C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Technocrat</w:t>
            </w:r>
          </w:p>
        </w:tc>
        <w:tc>
          <w:tcPr>
            <w:tcW w:w="0" w:type="auto"/>
            <w:noWrap/>
          </w:tcPr>
          <w:p w14:paraId="0280F97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8EF0713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.78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74EF2A42" w14:textId="77777777" w:rsidR="00312A05" w:rsidRPr="00E45DE0" w:rsidRDefault="00544B6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.837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noWrap/>
          </w:tcPr>
          <w:p w14:paraId="16352C53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.799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0F239DB" w14:textId="77777777" w:rsidR="00312A05" w:rsidRPr="00E45DE0" w:rsidRDefault="00FB353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.780</w:t>
            </w:r>
          </w:p>
        </w:tc>
        <w:tc>
          <w:tcPr>
            <w:tcW w:w="0" w:type="auto"/>
            <w:noWrap/>
          </w:tcPr>
          <w:p w14:paraId="37A247E6" w14:textId="77777777" w:rsidR="00312A05" w:rsidRPr="00E45DE0" w:rsidRDefault="003D150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.780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</w:tr>
      <w:tr w:rsidR="00312A05" w:rsidRPr="00E45DE0" w14:paraId="632A09ED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3A648B6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D405B4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8FAF26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772B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0E3184E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544B6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.074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CC4499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964066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147FE1F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B3536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.107</w:t>
            </w: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1ECC40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3D150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66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12A05" w:rsidRPr="00E45DE0" w14:paraId="435AD3B7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CBB5D1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Legislative Powers</w:t>
            </w:r>
          </w:p>
        </w:tc>
        <w:tc>
          <w:tcPr>
            <w:tcW w:w="0" w:type="auto"/>
            <w:noWrap/>
          </w:tcPr>
          <w:p w14:paraId="480B024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962E7C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261DD6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.994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4F76E59F" w14:textId="77777777" w:rsidR="00312A05" w:rsidRPr="00E45DE0" w:rsidRDefault="00964066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.988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***</w:t>
            </w:r>
          </w:p>
        </w:tc>
        <w:tc>
          <w:tcPr>
            <w:tcW w:w="0" w:type="auto"/>
          </w:tcPr>
          <w:p w14:paraId="1F53E99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7136189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.989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312A05" w:rsidRPr="00E45DE0" w14:paraId="04884BF3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E78F26B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0F8ABA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EDE8CD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ACD3BF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(.002)</w:t>
            </w:r>
          </w:p>
        </w:tc>
        <w:tc>
          <w:tcPr>
            <w:tcW w:w="0" w:type="auto"/>
            <w:noWrap/>
          </w:tcPr>
          <w:p w14:paraId="5E8341B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(.001)</w:t>
            </w:r>
          </w:p>
        </w:tc>
        <w:tc>
          <w:tcPr>
            <w:tcW w:w="0" w:type="auto"/>
          </w:tcPr>
          <w:p w14:paraId="6C7DA7A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B94BFA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(.001)</w:t>
            </w:r>
          </w:p>
        </w:tc>
      </w:tr>
      <w:tr w:rsidR="00312A05" w:rsidRPr="00E45DE0" w14:paraId="28F65810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D64F30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Effective Number of Parties</w:t>
            </w:r>
          </w:p>
        </w:tc>
        <w:tc>
          <w:tcPr>
            <w:tcW w:w="0" w:type="auto"/>
            <w:noWrap/>
          </w:tcPr>
          <w:p w14:paraId="67A8E13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4D3FF4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3F4FE8A" w14:textId="77777777" w:rsidR="00312A05" w:rsidRPr="00E45DE0" w:rsidRDefault="00C4406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1.11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48D5D35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</w:tcPr>
          <w:p w14:paraId="4E1A91D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6C58E28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.994</w:t>
            </w:r>
          </w:p>
        </w:tc>
      </w:tr>
      <w:tr w:rsidR="00312A05" w:rsidRPr="00E45DE0" w14:paraId="133E622F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9D388E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38F51C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C4180B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7F28C4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="00C4406A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EFD077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0C14417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021296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12A05" w:rsidRPr="00E45DE0" w14:paraId="7A13B622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B497207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Demonstrations</w:t>
            </w:r>
          </w:p>
        </w:tc>
        <w:tc>
          <w:tcPr>
            <w:tcW w:w="0" w:type="auto"/>
            <w:noWrap/>
          </w:tcPr>
          <w:p w14:paraId="2BA84D4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2A9FEA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E9A2BCB" w14:textId="77777777" w:rsidR="00312A05" w:rsidRPr="00E45DE0" w:rsidRDefault="003551C2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1.01</w:t>
            </w:r>
          </w:p>
        </w:tc>
        <w:tc>
          <w:tcPr>
            <w:tcW w:w="0" w:type="auto"/>
            <w:noWrap/>
          </w:tcPr>
          <w:p w14:paraId="7B8F0BB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</w:tcPr>
          <w:p w14:paraId="39C09CB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0" w:type="auto"/>
            <w:noWrap/>
          </w:tcPr>
          <w:p w14:paraId="2D498F8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5E09D447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13F27DE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EE950A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7C905A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5EB3E8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3551C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CCA668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0BCB5C2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61B21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.018</w:t>
            </w: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39BE0C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24BC133F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A21A047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President legislative seats</w:t>
            </w:r>
          </w:p>
        </w:tc>
        <w:tc>
          <w:tcPr>
            <w:tcW w:w="0" w:type="auto"/>
            <w:noWrap/>
          </w:tcPr>
          <w:p w14:paraId="370EA0A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7351C5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B8D76B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1.00</w:t>
            </w:r>
            <w:r w:rsidR="003551C2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noWrap/>
          </w:tcPr>
          <w:p w14:paraId="5D0F67E0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3310D4B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1.01*</w:t>
            </w:r>
          </w:p>
        </w:tc>
        <w:tc>
          <w:tcPr>
            <w:tcW w:w="0" w:type="auto"/>
            <w:noWrap/>
          </w:tcPr>
          <w:p w14:paraId="27BD503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3B86686C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E3B1E9E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D127F3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9A76FC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778A087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(.003)</w:t>
            </w:r>
          </w:p>
        </w:tc>
        <w:tc>
          <w:tcPr>
            <w:tcW w:w="0" w:type="auto"/>
            <w:noWrap/>
          </w:tcPr>
          <w:p w14:paraId="49B3367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CF10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0" w:type="auto"/>
            <w:noWrap/>
          </w:tcPr>
          <w:p w14:paraId="6BF89C0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2B1A8233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E60D3C6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Popularity</w:t>
            </w:r>
          </w:p>
        </w:tc>
        <w:tc>
          <w:tcPr>
            <w:tcW w:w="0" w:type="auto"/>
            <w:noWrap/>
          </w:tcPr>
          <w:p w14:paraId="53A912E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8479FD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ECC704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3FBED7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</w:tcPr>
          <w:p w14:paraId="02D2E03B" w14:textId="77777777" w:rsidR="00312A05" w:rsidRPr="00E45DE0" w:rsidRDefault="00B61B21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.993</w:t>
            </w:r>
          </w:p>
        </w:tc>
        <w:tc>
          <w:tcPr>
            <w:tcW w:w="0" w:type="auto"/>
            <w:noWrap/>
          </w:tcPr>
          <w:p w14:paraId="6EF0E8A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28187680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01B12D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2F6CC3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105FF2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E1B31F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458E20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60E3950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0" w:type="auto"/>
            <w:noWrap/>
          </w:tcPr>
          <w:p w14:paraId="15D85A9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12A05" w:rsidRPr="00E45DE0" w14:paraId="60473F3B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D86DAF3" w14:textId="77777777" w:rsidR="00312A05" w:rsidRPr="0091437E" w:rsidRDefault="003551C2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Autocracy x Education</w:t>
            </w:r>
          </w:p>
        </w:tc>
        <w:tc>
          <w:tcPr>
            <w:tcW w:w="0" w:type="auto"/>
            <w:noWrap/>
          </w:tcPr>
          <w:p w14:paraId="498A7CEF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0E7C2C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629147B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037CA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15DC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44071F44" w14:textId="77777777" w:rsidR="00312A05" w:rsidRPr="00E45DE0" w:rsidRDefault="003D150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.930</w:t>
            </w:r>
          </w:p>
        </w:tc>
      </w:tr>
      <w:tr w:rsidR="00312A05" w:rsidRPr="00E45DE0" w14:paraId="2F99C759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85197DF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D3C0CE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3C7809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79CDAB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77EE78F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3A862D6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8884A5E" w14:textId="77777777" w:rsidR="00312A05" w:rsidRPr="00E45DE0" w:rsidRDefault="003D150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(.226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12A05" w:rsidRPr="00E45DE0" w14:paraId="4762D53F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817AF2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noWrap/>
          </w:tcPr>
          <w:p w14:paraId="3756790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1229</w:t>
            </w:r>
          </w:p>
        </w:tc>
        <w:tc>
          <w:tcPr>
            <w:tcW w:w="0" w:type="auto"/>
            <w:noWrap/>
          </w:tcPr>
          <w:p w14:paraId="0B6E80C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1229</w:t>
            </w:r>
          </w:p>
        </w:tc>
        <w:tc>
          <w:tcPr>
            <w:tcW w:w="0" w:type="auto"/>
            <w:noWrap/>
          </w:tcPr>
          <w:p w14:paraId="294E12D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1001</w:t>
            </w:r>
          </w:p>
        </w:tc>
        <w:tc>
          <w:tcPr>
            <w:tcW w:w="0" w:type="auto"/>
            <w:noWrap/>
          </w:tcPr>
          <w:p w14:paraId="33360B8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1120</w:t>
            </w:r>
          </w:p>
        </w:tc>
        <w:tc>
          <w:tcPr>
            <w:tcW w:w="0" w:type="auto"/>
          </w:tcPr>
          <w:p w14:paraId="3B64840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noWrap/>
          </w:tcPr>
          <w:p w14:paraId="1A298F15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1110</w:t>
            </w:r>
          </w:p>
        </w:tc>
      </w:tr>
      <w:tr w:rsidR="00312A05" w:rsidRPr="00E45DE0" w14:paraId="0958BCF2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59BA9B4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Groups(country)</w:t>
            </w:r>
          </w:p>
        </w:tc>
        <w:tc>
          <w:tcPr>
            <w:tcW w:w="0" w:type="auto"/>
            <w:noWrap/>
          </w:tcPr>
          <w:p w14:paraId="2FCA33B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7B2F88D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69A270C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17CCA0A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03C5999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4646132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312A05" w:rsidRPr="00E45DE0" w14:paraId="56674A75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C554F3B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Failures</w:t>
            </w:r>
          </w:p>
        </w:tc>
        <w:tc>
          <w:tcPr>
            <w:tcW w:w="0" w:type="auto"/>
            <w:noWrap/>
          </w:tcPr>
          <w:p w14:paraId="5FCD509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763</w:t>
            </w:r>
          </w:p>
        </w:tc>
        <w:tc>
          <w:tcPr>
            <w:tcW w:w="0" w:type="auto"/>
            <w:noWrap/>
          </w:tcPr>
          <w:p w14:paraId="6298A51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763</w:t>
            </w:r>
          </w:p>
        </w:tc>
        <w:tc>
          <w:tcPr>
            <w:tcW w:w="0" w:type="auto"/>
            <w:noWrap/>
          </w:tcPr>
          <w:p w14:paraId="15032C9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622</w:t>
            </w:r>
          </w:p>
        </w:tc>
        <w:tc>
          <w:tcPr>
            <w:tcW w:w="0" w:type="auto"/>
            <w:noWrap/>
          </w:tcPr>
          <w:p w14:paraId="35D27BA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716</w:t>
            </w:r>
          </w:p>
        </w:tc>
        <w:tc>
          <w:tcPr>
            <w:tcW w:w="0" w:type="auto"/>
          </w:tcPr>
          <w:p w14:paraId="66DE13CC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noWrap/>
          </w:tcPr>
          <w:p w14:paraId="70AA756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669</w:t>
            </w:r>
          </w:p>
        </w:tc>
      </w:tr>
      <w:tr w:rsidR="00312A05" w:rsidRPr="00E45DE0" w14:paraId="279362D5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3A05A85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χ</w:t>
            </w: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noWrap/>
          </w:tcPr>
          <w:p w14:paraId="49BD8F5C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.25**</w:t>
            </w:r>
          </w:p>
        </w:tc>
        <w:tc>
          <w:tcPr>
            <w:tcW w:w="0" w:type="auto"/>
            <w:noWrap/>
          </w:tcPr>
          <w:p w14:paraId="08319D9C" w14:textId="77777777" w:rsidR="00312A05" w:rsidRPr="00E45DE0" w:rsidRDefault="007772BA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140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72780D56" w14:textId="77777777" w:rsidR="00312A05" w:rsidRPr="00E45DE0" w:rsidRDefault="001376E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160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04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02A487C5" w14:textId="77777777" w:rsidR="00312A05" w:rsidRPr="00E45DE0" w:rsidRDefault="00C9256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118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14:paraId="7CF936DA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46.11***</w:t>
            </w:r>
          </w:p>
        </w:tc>
        <w:tc>
          <w:tcPr>
            <w:tcW w:w="0" w:type="auto"/>
            <w:noWrap/>
          </w:tcPr>
          <w:p w14:paraId="7FBA426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112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312A05" w:rsidRPr="00E45DE0" w14:paraId="25859A00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C435C5F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Log Likelihood</w:t>
            </w:r>
          </w:p>
        </w:tc>
        <w:tc>
          <w:tcPr>
            <w:tcW w:w="0" w:type="auto"/>
            <w:noWrap/>
          </w:tcPr>
          <w:p w14:paraId="1F3B7DEF" w14:textId="17F8BD92" w:rsidR="00312A05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469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63</w:t>
            </w:r>
          </w:p>
        </w:tc>
        <w:tc>
          <w:tcPr>
            <w:tcW w:w="0" w:type="auto"/>
            <w:noWrap/>
          </w:tcPr>
          <w:p w14:paraId="485AEFFF" w14:textId="1429E3D9" w:rsidR="00312A05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26.08</w:t>
            </w:r>
          </w:p>
        </w:tc>
        <w:tc>
          <w:tcPr>
            <w:tcW w:w="0" w:type="auto"/>
            <w:noWrap/>
          </w:tcPr>
          <w:p w14:paraId="63B5EFFD" w14:textId="51BD1F70" w:rsidR="00312A05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25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31</w:t>
            </w:r>
          </w:p>
        </w:tc>
        <w:tc>
          <w:tcPr>
            <w:tcW w:w="0" w:type="auto"/>
            <w:noWrap/>
          </w:tcPr>
          <w:p w14:paraId="55C49B65" w14:textId="48150BF1" w:rsidR="00312A05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C9256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4287.3</w:t>
            </w:r>
          </w:p>
        </w:tc>
        <w:tc>
          <w:tcPr>
            <w:tcW w:w="0" w:type="auto"/>
          </w:tcPr>
          <w:p w14:paraId="728A4D67" w14:textId="1614B8EF" w:rsidR="00312A05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12A05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1385.4</w:t>
            </w:r>
          </w:p>
        </w:tc>
        <w:tc>
          <w:tcPr>
            <w:tcW w:w="0" w:type="auto"/>
            <w:noWrap/>
          </w:tcPr>
          <w:p w14:paraId="3EC84ED8" w14:textId="1D9FD747" w:rsidR="00312A05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89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12A05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</w:t>
            </w:r>
          </w:p>
        </w:tc>
      </w:tr>
      <w:tr w:rsidR="00312A05" w:rsidRPr="00E45DE0" w14:paraId="1A2EF492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71AA33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Theta</w:t>
            </w:r>
          </w:p>
        </w:tc>
        <w:tc>
          <w:tcPr>
            <w:tcW w:w="0" w:type="auto"/>
            <w:noWrap/>
          </w:tcPr>
          <w:p w14:paraId="509B22D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0.20(0.11)</w:t>
            </w:r>
          </w:p>
        </w:tc>
        <w:tc>
          <w:tcPr>
            <w:tcW w:w="0" w:type="auto"/>
            <w:noWrap/>
          </w:tcPr>
          <w:p w14:paraId="6A949AC6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(0.10)</w:t>
            </w:r>
          </w:p>
        </w:tc>
        <w:tc>
          <w:tcPr>
            <w:tcW w:w="0" w:type="auto"/>
            <w:noWrap/>
          </w:tcPr>
          <w:p w14:paraId="620283C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</w:t>
            </w:r>
            <w:r w:rsidR="001376E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</w:t>
            </w:r>
            <w:r w:rsidR="001376E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5857D8D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0.20(0.11)</w:t>
            </w:r>
          </w:p>
        </w:tc>
        <w:tc>
          <w:tcPr>
            <w:tcW w:w="0" w:type="auto"/>
          </w:tcPr>
          <w:p w14:paraId="3D2E360E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0.08(0.06)</w:t>
            </w:r>
          </w:p>
        </w:tc>
        <w:tc>
          <w:tcPr>
            <w:tcW w:w="0" w:type="auto"/>
            <w:noWrap/>
          </w:tcPr>
          <w:p w14:paraId="30DC9AE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0.22(0.12)</w:t>
            </w:r>
          </w:p>
        </w:tc>
      </w:tr>
      <w:tr w:rsidR="00312A05" w:rsidRPr="00E45DE0" w14:paraId="06CD76A4" w14:textId="77777777" w:rsidTr="00312A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69536B" w14:textId="77777777" w:rsidR="00312A05" w:rsidRPr="0091437E" w:rsidRDefault="00312A05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PH Assumption</w:t>
            </w:r>
          </w:p>
        </w:tc>
        <w:tc>
          <w:tcPr>
            <w:tcW w:w="0" w:type="auto"/>
            <w:noWrap/>
          </w:tcPr>
          <w:p w14:paraId="61B1E332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3.28</w:t>
            </w:r>
          </w:p>
        </w:tc>
        <w:tc>
          <w:tcPr>
            <w:tcW w:w="0" w:type="auto"/>
            <w:noWrap/>
          </w:tcPr>
          <w:p w14:paraId="0065DF44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8.89</w:t>
            </w:r>
          </w:p>
        </w:tc>
        <w:tc>
          <w:tcPr>
            <w:tcW w:w="0" w:type="auto"/>
            <w:noWrap/>
          </w:tcPr>
          <w:p w14:paraId="5F32EEF8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32.2**</w:t>
            </w:r>
          </w:p>
        </w:tc>
        <w:tc>
          <w:tcPr>
            <w:tcW w:w="0" w:type="auto"/>
            <w:noWrap/>
          </w:tcPr>
          <w:p w14:paraId="400693EF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57661901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2DA2BC3" w14:textId="77777777" w:rsidR="00312A05" w:rsidRPr="00E45DE0" w:rsidRDefault="00312A05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6FBD45" w14:textId="77777777" w:rsidR="00E45DE0" w:rsidRDefault="00E45DE0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4D17CC" w14:textId="2D3BF697" w:rsidR="008B1FDF" w:rsidRPr="00E45DE0" w:rsidRDefault="003B6B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DE0">
        <w:rPr>
          <w:rFonts w:ascii="Times New Roman" w:eastAsia="Arial" w:hAnsi="Times New Roman" w:cs="Times New Roman"/>
          <w:sz w:val="24"/>
          <w:szCs w:val="24"/>
        </w:rPr>
        <w:t xml:space="preserve">Note: Coefficients with standard errors in parentheses (conditional on frailty on the five models; grouped by country). Efron Method. *** p&lt;0.001, ** p&lt;0.01, * p&lt;0.05. </w:t>
      </w:r>
    </w:p>
    <w:p w14:paraId="0F96A9A5" w14:textId="77777777" w:rsidR="00312A05" w:rsidRDefault="00312A05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2DE2BF" w14:textId="77777777" w:rsidR="007754ED" w:rsidRPr="00E45DE0" w:rsidRDefault="007754ED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1A6BA48" w14:textId="77777777" w:rsidR="008B1FDF" w:rsidRPr="0091437E" w:rsidRDefault="003B6B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7E">
        <w:rPr>
          <w:rFonts w:ascii="Times New Roman" w:eastAsia="Arial" w:hAnsi="Times New Roman" w:cs="Times New Roman"/>
          <w:sz w:val="24"/>
          <w:szCs w:val="24"/>
          <w:lang w:val="es-UY"/>
        </w:rPr>
        <w:t>Health</w:t>
      </w:r>
    </w:p>
    <w:tbl>
      <w:tblPr>
        <w:tblStyle w:val="SombreamentoClaro2"/>
        <w:tblW w:w="9437" w:type="dxa"/>
        <w:jc w:val="center"/>
        <w:tblLook w:val="04A0" w:firstRow="1" w:lastRow="0" w:firstColumn="1" w:lastColumn="0" w:noHBand="0" w:noVBand="1"/>
      </w:tblPr>
      <w:tblGrid>
        <w:gridCol w:w="2915"/>
        <w:gridCol w:w="1216"/>
        <w:gridCol w:w="1216"/>
        <w:gridCol w:w="1236"/>
        <w:gridCol w:w="1216"/>
        <w:gridCol w:w="1216"/>
        <w:gridCol w:w="1236"/>
      </w:tblGrid>
      <w:tr w:rsidR="00C95748" w:rsidRPr="0091437E" w14:paraId="1029946E" w14:textId="77777777" w:rsidTr="00C95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44FDE9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5CDBA1D" w14:textId="77777777" w:rsidR="00C95748" w:rsidRPr="0091437E" w:rsidRDefault="00C95748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m1</w:t>
            </w:r>
          </w:p>
        </w:tc>
        <w:tc>
          <w:tcPr>
            <w:tcW w:w="0" w:type="auto"/>
            <w:noWrap/>
          </w:tcPr>
          <w:p w14:paraId="1069A582" w14:textId="77777777" w:rsidR="00C95748" w:rsidRPr="0091437E" w:rsidRDefault="00C95748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m2</w:t>
            </w:r>
          </w:p>
        </w:tc>
        <w:tc>
          <w:tcPr>
            <w:tcW w:w="0" w:type="auto"/>
            <w:noWrap/>
          </w:tcPr>
          <w:p w14:paraId="3FFF1DD4" w14:textId="77777777" w:rsidR="00C95748" w:rsidRPr="0091437E" w:rsidRDefault="00C95748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m3</w:t>
            </w:r>
          </w:p>
        </w:tc>
        <w:tc>
          <w:tcPr>
            <w:tcW w:w="0" w:type="auto"/>
            <w:noWrap/>
          </w:tcPr>
          <w:p w14:paraId="3928314C" w14:textId="77777777" w:rsidR="00C95748" w:rsidRPr="0091437E" w:rsidRDefault="00C95748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m4</w:t>
            </w:r>
          </w:p>
        </w:tc>
        <w:tc>
          <w:tcPr>
            <w:tcW w:w="0" w:type="auto"/>
          </w:tcPr>
          <w:p w14:paraId="55F7FDEF" w14:textId="77777777" w:rsidR="00C95748" w:rsidRPr="0091437E" w:rsidRDefault="00C95748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m5</w:t>
            </w:r>
          </w:p>
        </w:tc>
        <w:tc>
          <w:tcPr>
            <w:tcW w:w="0" w:type="auto"/>
            <w:noWrap/>
          </w:tcPr>
          <w:p w14:paraId="25D5A50C" w14:textId="77777777" w:rsidR="00C95748" w:rsidRPr="0091437E" w:rsidRDefault="00C95748" w:rsidP="000400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m6</w:t>
            </w:r>
          </w:p>
        </w:tc>
      </w:tr>
      <w:tr w:rsidR="00C95748" w:rsidRPr="00E45DE0" w14:paraId="6813AD0D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62FF5FC" w14:textId="77777777" w:rsidR="00C95748" w:rsidRPr="0091437E" w:rsidRDefault="000400EC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Health</w:t>
            </w:r>
          </w:p>
        </w:tc>
        <w:tc>
          <w:tcPr>
            <w:tcW w:w="0" w:type="auto"/>
            <w:noWrap/>
          </w:tcPr>
          <w:p w14:paraId="18FC9CF7" w14:textId="77777777" w:rsidR="00C95748" w:rsidRPr="00E45DE0" w:rsidRDefault="000400E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.855</w:t>
            </w:r>
          </w:p>
        </w:tc>
        <w:tc>
          <w:tcPr>
            <w:tcW w:w="0" w:type="auto"/>
            <w:noWrap/>
          </w:tcPr>
          <w:p w14:paraId="2E1E7018" w14:textId="77777777" w:rsidR="00C95748" w:rsidRPr="00E45DE0" w:rsidRDefault="00D54EC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.980</w:t>
            </w:r>
          </w:p>
        </w:tc>
        <w:tc>
          <w:tcPr>
            <w:tcW w:w="0" w:type="auto"/>
            <w:noWrap/>
          </w:tcPr>
          <w:p w14:paraId="60BF23AE" w14:textId="77777777" w:rsidR="00C95748" w:rsidRPr="00E45DE0" w:rsidRDefault="001A083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.966</w:t>
            </w:r>
          </w:p>
        </w:tc>
        <w:tc>
          <w:tcPr>
            <w:tcW w:w="0" w:type="auto"/>
            <w:noWrap/>
          </w:tcPr>
          <w:p w14:paraId="1FC8B7AF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.946</w:t>
            </w:r>
          </w:p>
        </w:tc>
        <w:tc>
          <w:tcPr>
            <w:tcW w:w="0" w:type="auto"/>
          </w:tcPr>
          <w:p w14:paraId="723B7682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noWrap/>
          </w:tcPr>
          <w:p w14:paraId="6E3E536F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1.01</w:t>
            </w:r>
          </w:p>
        </w:tc>
      </w:tr>
      <w:tr w:rsidR="00C95748" w:rsidRPr="00E45DE0" w14:paraId="2540D372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E2C2EF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75D2449" w14:textId="77777777" w:rsidR="00C95748" w:rsidRPr="00E45DE0" w:rsidRDefault="000400E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(.075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B460013" w14:textId="77777777" w:rsidR="00C95748" w:rsidRPr="00E45DE0" w:rsidRDefault="00D54EC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(.092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77DC6F9" w14:textId="77777777" w:rsidR="00C95748" w:rsidRPr="00E45DE0" w:rsidRDefault="001A083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(.103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0F4711C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BF0054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093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481D88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30FBF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.167</w:t>
            </w: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745CC00E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0)</w:t>
            </w:r>
          </w:p>
        </w:tc>
      </w:tr>
      <w:tr w:rsidR="00C95748" w:rsidRPr="00E45DE0" w14:paraId="79493BE4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FC87B8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Economic Growth</w:t>
            </w:r>
          </w:p>
        </w:tc>
        <w:tc>
          <w:tcPr>
            <w:tcW w:w="0" w:type="auto"/>
            <w:noWrap/>
          </w:tcPr>
          <w:p w14:paraId="6CEF665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737441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.969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5E3D2B9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.978*</w:t>
            </w:r>
          </w:p>
        </w:tc>
        <w:tc>
          <w:tcPr>
            <w:tcW w:w="0" w:type="auto"/>
            <w:noWrap/>
          </w:tcPr>
          <w:p w14:paraId="6BBECB0C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.956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14:paraId="1180813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.959**</w:t>
            </w:r>
          </w:p>
        </w:tc>
        <w:tc>
          <w:tcPr>
            <w:tcW w:w="0" w:type="auto"/>
            <w:noWrap/>
          </w:tcPr>
          <w:p w14:paraId="09EA36E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.969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</w:tr>
      <w:tr w:rsidR="00C95748" w:rsidRPr="00E45DE0" w14:paraId="5998CAAE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98BA353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D05669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33E8F7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(.008)</w:t>
            </w:r>
          </w:p>
        </w:tc>
        <w:tc>
          <w:tcPr>
            <w:tcW w:w="0" w:type="auto"/>
            <w:noWrap/>
          </w:tcPr>
          <w:p w14:paraId="7212C0C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47AE930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(.008)</w:t>
            </w:r>
          </w:p>
        </w:tc>
        <w:tc>
          <w:tcPr>
            <w:tcW w:w="0" w:type="auto"/>
          </w:tcPr>
          <w:p w14:paraId="0A50AE2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(.013)</w:t>
            </w:r>
          </w:p>
        </w:tc>
        <w:tc>
          <w:tcPr>
            <w:tcW w:w="0" w:type="auto"/>
            <w:noWrap/>
          </w:tcPr>
          <w:p w14:paraId="5436E91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(.009)</w:t>
            </w:r>
          </w:p>
        </w:tc>
      </w:tr>
      <w:tr w:rsidR="00C95748" w:rsidRPr="00E45DE0" w14:paraId="509940C9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A45F4F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GDP/capita</w:t>
            </w:r>
          </w:p>
        </w:tc>
        <w:tc>
          <w:tcPr>
            <w:tcW w:w="0" w:type="auto"/>
            <w:noWrap/>
          </w:tcPr>
          <w:p w14:paraId="1DE93B5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795F95C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54EC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538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6F8BEAD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A083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445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65BDA26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370B66B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4B71320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4E9EA374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2573DBB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7E7F93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94F8080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42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2A01951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1A083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058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19C0ED4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C259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F1B1FC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6722E5EC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F17FB8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Politician</w:t>
            </w:r>
          </w:p>
        </w:tc>
        <w:tc>
          <w:tcPr>
            <w:tcW w:w="0" w:type="auto"/>
            <w:noWrap/>
          </w:tcPr>
          <w:p w14:paraId="69BD82D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652745D" w14:textId="77777777" w:rsidR="00C95748" w:rsidRPr="00E45DE0" w:rsidRDefault="00D54EC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1.06</w:t>
            </w:r>
          </w:p>
        </w:tc>
        <w:tc>
          <w:tcPr>
            <w:tcW w:w="0" w:type="auto"/>
            <w:noWrap/>
          </w:tcPr>
          <w:p w14:paraId="4446D4F9" w14:textId="77777777" w:rsidR="00C95748" w:rsidRPr="00E45DE0" w:rsidRDefault="001A083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1.07</w:t>
            </w:r>
          </w:p>
        </w:tc>
        <w:tc>
          <w:tcPr>
            <w:tcW w:w="0" w:type="auto"/>
            <w:noWrap/>
          </w:tcPr>
          <w:p w14:paraId="6C652F58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1.13</w:t>
            </w:r>
          </w:p>
        </w:tc>
        <w:tc>
          <w:tcPr>
            <w:tcW w:w="0" w:type="auto"/>
          </w:tcPr>
          <w:p w14:paraId="00D6297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1.59**</w:t>
            </w:r>
          </w:p>
        </w:tc>
        <w:tc>
          <w:tcPr>
            <w:tcW w:w="0" w:type="auto"/>
            <w:noWrap/>
          </w:tcPr>
          <w:p w14:paraId="3301CD0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6CA48AF4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0DB816A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000863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F2ABDF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</w:t>
            </w:r>
            <w:r w:rsidR="00D54EC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5C72EA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1A083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554DEC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BF0054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3F3880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(.227)</w:t>
            </w:r>
          </w:p>
        </w:tc>
        <w:tc>
          <w:tcPr>
            <w:tcW w:w="0" w:type="auto"/>
            <w:noWrap/>
          </w:tcPr>
          <w:p w14:paraId="20B5770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17E69F69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F73A80D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Autocracy</w:t>
            </w:r>
          </w:p>
        </w:tc>
        <w:tc>
          <w:tcPr>
            <w:tcW w:w="0" w:type="auto"/>
            <w:noWrap/>
          </w:tcPr>
          <w:p w14:paraId="1302ECD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244C028" w14:textId="77777777" w:rsidR="00C95748" w:rsidRPr="00E45DE0" w:rsidRDefault="00D54EC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.645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528CA662" w14:textId="77777777" w:rsidR="00C95748" w:rsidRPr="00E45DE0" w:rsidRDefault="001A083E" w:rsidP="000400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.468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78D7CE25" w14:textId="77777777" w:rsidR="00C95748" w:rsidRPr="00E45DE0" w:rsidRDefault="00C95748" w:rsidP="000400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BF0054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.743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**</w:t>
            </w:r>
          </w:p>
        </w:tc>
        <w:tc>
          <w:tcPr>
            <w:tcW w:w="0" w:type="auto"/>
          </w:tcPr>
          <w:p w14:paraId="0A0C6BC3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.614</w:t>
            </w:r>
          </w:p>
        </w:tc>
        <w:tc>
          <w:tcPr>
            <w:tcW w:w="0" w:type="auto"/>
            <w:noWrap/>
          </w:tcPr>
          <w:p w14:paraId="198ED74F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.572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C95748" w:rsidRPr="00E45DE0" w14:paraId="1D2A7F4B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57E2AFB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4439CA0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0DC7DD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5D57C0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1A083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4A03CBD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BF0054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078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EB0EDC0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(.174</w:t>
            </w:r>
            <w:r w:rsidR="00C95748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49D9A0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B30FB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95748" w:rsidRPr="00E45DE0" w14:paraId="31D0A00B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262330C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President`s Political Group </w:t>
            </w:r>
          </w:p>
        </w:tc>
        <w:tc>
          <w:tcPr>
            <w:tcW w:w="0" w:type="auto"/>
            <w:noWrap/>
          </w:tcPr>
          <w:p w14:paraId="0C4CFBD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065846E" w14:textId="77777777" w:rsidR="00C95748" w:rsidRPr="00E45DE0" w:rsidRDefault="00D54EC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.801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519631F6" w14:textId="77777777" w:rsidR="00C95748" w:rsidRPr="00E45DE0" w:rsidRDefault="007936B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.838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</w:t>
            </w:r>
          </w:p>
        </w:tc>
        <w:tc>
          <w:tcPr>
            <w:tcW w:w="0" w:type="auto"/>
            <w:noWrap/>
          </w:tcPr>
          <w:p w14:paraId="0A079C4B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.746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14:paraId="61038FC2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.639</w:t>
            </w:r>
            <w:r w:rsidR="00C95748"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**</w:t>
            </w:r>
          </w:p>
        </w:tc>
        <w:tc>
          <w:tcPr>
            <w:tcW w:w="0" w:type="auto"/>
            <w:noWrap/>
          </w:tcPr>
          <w:p w14:paraId="60AEED40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.808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95748" w:rsidRPr="00E45DE0" w14:paraId="640707A7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B98A023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94425E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66EB17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F9ACB9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7936B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08143E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059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A1621BF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(.089</w:t>
            </w:r>
            <w:r w:rsidR="00C95748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E1984C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</w:t>
            </w:r>
            <w:r w:rsidR="00B30FB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067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95748" w:rsidRPr="00E45DE0" w14:paraId="646162ED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CBD7133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Coalition</w:t>
            </w:r>
          </w:p>
        </w:tc>
        <w:tc>
          <w:tcPr>
            <w:tcW w:w="0" w:type="auto"/>
            <w:noWrap/>
          </w:tcPr>
          <w:p w14:paraId="0AACA21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BD25FC9" w14:textId="77777777" w:rsidR="00C95748" w:rsidRPr="00E45DE0" w:rsidRDefault="00D54EC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0" w:type="auto"/>
            <w:noWrap/>
          </w:tcPr>
          <w:p w14:paraId="70B1744A" w14:textId="77777777" w:rsidR="00C95748" w:rsidRPr="00E45DE0" w:rsidRDefault="007936B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1.17</w:t>
            </w:r>
          </w:p>
        </w:tc>
        <w:tc>
          <w:tcPr>
            <w:tcW w:w="0" w:type="auto"/>
            <w:noWrap/>
          </w:tcPr>
          <w:p w14:paraId="62C725A7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0" w:type="auto"/>
          </w:tcPr>
          <w:p w14:paraId="0CFC71BB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noWrap/>
          </w:tcPr>
          <w:p w14:paraId="4BA3C24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5172CE0C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71D1A55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287E88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2EF4420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(.112)</w:t>
            </w:r>
          </w:p>
        </w:tc>
        <w:tc>
          <w:tcPr>
            <w:tcW w:w="0" w:type="auto"/>
            <w:noWrap/>
          </w:tcPr>
          <w:p w14:paraId="2015605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="007936B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F1E870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(.115)</w:t>
            </w:r>
          </w:p>
        </w:tc>
        <w:tc>
          <w:tcPr>
            <w:tcW w:w="0" w:type="auto"/>
          </w:tcPr>
          <w:p w14:paraId="012E2C8D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(.175</w:t>
            </w:r>
            <w:r w:rsidR="00C95748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36FC20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60A85021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C578950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Technocrat</w:t>
            </w:r>
          </w:p>
        </w:tc>
        <w:tc>
          <w:tcPr>
            <w:tcW w:w="0" w:type="auto"/>
            <w:noWrap/>
          </w:tcPr>
          <w:p w14:paraId="053B8B9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8661AC8" w14:textId="77777777" w:rsidR="00C95748" w:rsidRPr="00E45DE0" w:rsidRDefault="001A083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.753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noWrap/>
          </w:tcPr>
          <w:p w14:paraId="601E5414" w14:textId="77777777" w:rsidR="00C95748" w:rsidRPr="00E45DE0" w:rsidRDefault="007936B0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.786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0" w:type="auto"/>
            <w:noWrap/>
          </w:tcPr>
          <w:p w14:paraId="068C72EA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14:paraId="552120D8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.713*</w:t>
            </w:r>
          </w:p>
        </w:tc>
        <w:tc>
          <w:tcPr>
            <w:tcW w:w="0" w:type="auto"/>
            <w:noWrap/>
          </w:tcPr>
          <w:p w14:paraId="72F5F441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.739***</w:t>
            </w:r>
          </w:p>
        </w:tc>
      </w:tr>
      <w:tr w:rsidR="00C95748" w:rsidRPr="00E45DE0" w14:paraId="772E4CDE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416FF32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148E8A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511E6B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1A083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ACD068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7936B0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.072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568008D0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BF0054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8DEEE01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(.095</w:t>
            </w:r>
            <w:r w:rsidR="00C95748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B5D590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B30FB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95748" w:rsidRPr="00E45DE0" w14:paraId="34A4B428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647D84F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Legislative Powers</w:t>
            </w:r>
          </w:p>
        </w:tc>
        <w:tc>
          <w:tcPr>
            <w:tcW w:w="0" w:type="auto"/>
            <w:noWrap/>
          </w:tcPr>
          <w:p w14:paraId="4D422BA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E92C25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F37A2A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.994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7466FEE2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.989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***</w:t>
            </w:r>
          </w:p>
        </w:tc>
        <w:tc>
          <w:tcPr>
            <w:tcW w:w="0" w:type="auto"/>
          </w:tcPr>
          <w:p w14:paraId="2E4D22B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603A38D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.989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C95748" w:rsidRPr="00E45DE0" w14:paraId="7E7BAC38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DA020A6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3114A0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9520AE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B79B68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(.002)</w:t>
            </w:r>
          </w:p>
        </w:tc>
        <w:tc>
          <w:tcPr>
            <w:tcW w:w="0" w:type="auto"/>
            <w:noWrap/>
          </w:tcPr>
          <w:p w14:paraId="675B6AAC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(.001)</w:t>
            </w:r>
          </w:p>
        </w:tc>
        <w:tc>
          <w:tcPr>
            <w:tcW w:w="0" w:type="auto"/>
          </w:tcPr>
          <w:p w14:paraId="3918335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0761E7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(.001)</w:t>
            </w:r>
          </w:p>
        </w:tc>
      </w:tr>
      <w:tr w:rsidR="00C95748" w:rsidRPr="00E45DE0" w14:paraId="2402EB6F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8ADD3F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Effective Number of Parties</w:t>
            </w:r>
          </w:p>
        </w:tc>
        <w:tc>
          <w:tcPr>
            <w:tcW w:w="0" w:type="auto"/>
            <w:noWrap/>
          </w:tcPr>
          <w:p w14:paraId="0F56B24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C02E37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5DD9F4D" w14:textId="77777777" w:rsidR="00C95748" w:rsidRPr="00E45DE0" w:rsidRDefault="00A356D1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1.10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  <w:tc>
          <w:tcPr>
            <w:tcW w:w="0" w:type="auto"/>
            <w:noWrap/>
          </w:tcPr>
          <w:p w14:paraId="023540F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</w:tcPr>
          <w:p w14:paraId="5009FE1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2A65F208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.993</w:t>
            </w:r>
          </w:p>
        </w:tc>
      </w:tr>
      <w:tr w:rsidR="00C95748" w:rsidRPr="00E45DE0" w14:paraId="0CFAF8F8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F0EC297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44BD65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C6AF6B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E8790E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1CF30F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5F9A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8973C8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23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95748" w:rsidRPr="00E45DE0" w14:paraId="35F54AD7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32DEC5B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Demonstrations</w:t>
            </w:r>
          </w:p>
        </w:tc>
        <w:tc>
          <w:tcPr>
            <w:tcW w:w="0" w:type="auto"/>
            <w:noWrap/>
          </w:tcPr>
          <w:p w14:paraId="63D1239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95045F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7988E8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1.01</w:t>
            </w:r>
          </w:p>
        </w:tc>
        <w:tc>
          <w:tcPr>
            <w:tcW w:w="0" w:type="auto"/>
            <w:noWrap/>
          </w:tcPr>
          <w:p w14:paraId="42A00E82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1.01</w:t>
            </w:r>
          </w:p>
        </w:tc>
        <w:tc>
          <w:tcPr>
            <w:tcW w:w="0" w:type="auto"/>
          </w:tcPr>
          <w:p w14:paraId="11595FA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0" w:type="auto"/>
            <w:noWrap/>
          </w:tcPr>
          <w:p w14:paraId="2CB8508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4D8C7EE0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E44FC1D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788AE7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19AD5F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C0F356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</w:t>
            </w:r>
            <w:r w:rsidR="00A356D1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18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0E81887E" w14:textId="77777777" w:rsidR="00C95748" w:rsidRPr="00E45DE0" w:rsidRDefault="00BF0054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(0.15)</w:t>
            </w:r>
          </w:p>
        </w:tc>
        <w:tc>
          <w:tcPr>
            <w:tcW w:w="0" w:type="auto"/>
          </w:tcPr>
          <w:p w14:paraId="1A5E00D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(.018)</w:t>
            </w:r>
          </w:p>
        </w:tc>
        <w:tc>
          <w:tcPr>
            <w:tcW w:w="0" w:type="auto"/>
            <w:noWrap/>
          </w:tcPr>
          <w:p w14:paraId="23534BB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697928FD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EC3796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President legislative seats</w:t>
            </w:r>
          </w:p>
        </w:tc>
        <w:tc>
          <w:tcPr>
            <w:tcW w:w="0" w:type="auto"/>
            <w:noWrap/>
          </w:tcPr>
          <w:p w14:paraId="7E1D31A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106F4C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2E8CB0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1.00*</w:t>
            </w:r>
          </w:p>
        </w:tc>
        <w:tc>
          <w:tcPr>
            <w:tcW w:w="0" w:type="auto"/>
            <w:noWrap/>
          </w:tcPr>
          <w:p w14:paraId="77C2DFB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CF3C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1.01*</w:t>
            </w:r>
          </w:p>
        </w:tc>
        <w:tc>
          <w:tcPr>
            <w:tcW w:w="0" w:type="auto"/>
            <w:noWrap/>
          </w:tcPr>
          <w:p w14:paraId="2DEFF43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042BF303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8265C88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2B8B97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3AF6E2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C20E3C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(.003)</w:t>
            </w:r>
          </w:p>
        </w:tc>
        <w:tc>
          <w:tcPr>
            <w:tcW w:w="0" w:type="auto"/>
            <w:noWrap/>
          </w:tcPr>
          <w:p w14:paraId="34CED91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BA0C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0" w:type="auto"/>
            <w:noWrap/>
          </w:tcPr>
          <w:p w14:paraId="0204909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308D3216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5165AC3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Popularity</w:t>
            </w:r>
          </w:p>
        </w:tc>
        <w:tc>
          <w:tcPr>
            <w:tcW w:w="0" w:type="auto"/>
            <w:noWrap/>
          </w:tcPr>
          <w:p w14:paraId="65A4BCC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BEBEA7C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48F8FA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287F12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</w:tcPr>
          <w:p w14:paraId="243A86E9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.994</w:t>
            </w:r>
          </w:p>
        </w:tc>
        <w:tc>
          <w:tcPr>
            <w:tcW w:w="0" w:type="auto"/>
            <w:noWrap/>
          </w:tcPr>
          <w:p w14:paraId="74565F2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17BEA017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C74471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E9983B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25E9CB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2AF940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4CE2E6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74D5F94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0" w:type="auto"/>
            <w:noWrap/>
          </w:tcPr>
          <w:p w14:paraId="4FCA1CC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48" w:rsidRPr="00E45DE0" w14:paraId="792200F9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71042C3" w14:textId="77777777" w:rsidR="00C95748" w:rsidRPr="0091437E" w:rsidRDefault="00B30FBF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Autocracy x Health</w:t>
            </w:r>
          </w:p>
        </w:tc>
        <w:tc>
          <w:tcPr>
            <w:tcW w:w="0" w:type="auto"/>
            <w:noWrap/>
          </w:tcPr>
          <w:p w14:paraId="15DDF35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ECDAC9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363287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E13868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D2FE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</w:p>
        </w:tc>
        <w:tc>
          <w:tcPr>
            <w:tcW w:w="0" w:type="auto"/>
            <w:noWrap/>
          </w:tcPr>
          <w:p w14:paraId="50C38DC1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.844</w:t>
            </w:r>
          </w:p>
        </w:tc>
      </w:tr>
      <w:tr w:rsidR="00C95748" w:rsidRPr="00E45DE0" w14:paraId="073EF894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88C44D3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839099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F312BB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C66C0C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CFD8B92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05E0499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874E341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(.224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95748" w:rsidRPr="00E45DE0" w14:paraId="79429E69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5D2EF94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noWrap/>
          </w:tcPr>
          <w:p w14:paraId="583DC1E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1229</w:t>
            </w:r>
          </w:p>
        </w:tc>
        <w:tc>
          <w:tcPr>
            <w:tcW w:w="0" w:type="auto"/>
            <w:noWrap/>
          </w:tcPr>
          <w:p w14:paraId="5443A8A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1229</w:t>
            </w:r>
          </w:p>
        </w:tc>
        <w:tc>
          <w:tcPr>
            <w:tcW w:w="0" w:type="auto"/>
            <w:noWrap/>
          </w:tcPr>
          <w:p w14:paraId="42AA1FA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1001</w:t>
            </w:r>
          </w:p>
        </w:tc>
        <w:tc>
          <w:tcPr>
            <w:tcW w:w="0" w:type="auto"/>
            <w:noWrap/>
          </w:tcPr>
          <w:p w14:paraId="138D35B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1120</w:t>
            </w:r>
          </w:p>
        </w:tc>
        <w:tc>
          <w:tcPr>
            <w:tcW w:w="0" w:type="auto"/>
          </w:tcPr>
          <w:p w14:paraId="2B528479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noWrap/>
          </w:tcPr>
          <w:p w14:paraId="17B0EB6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1110</w:t>
            </w:r>
          </w:p>
        </w:tc>
      </w:tr>
      <w:tr w:rsidR="00C95748" w:rsidRPr="00E45DE0" w14:paraId="206B9A49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C40880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Groups(country)</w:t>
            </w:r>
          </w:p>
        </w:tc>
        <w:tc>
          <w:tcPr>
            <w:tcW w:w="0" w:type="auto"/>
            <w:noWrap/>
          </w:tcPr>
          <w:p w14:paraId="7A86CEC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20B7453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31E72D5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0CC24A3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4A57533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</w:tcPr>
          <w:p w14:paraId="2A8DE3DF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95748" w:rsidRPr="00E45DE0" w14:paraId="4A83B319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B0AA5CE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Failures</w:t>
            </w:r>
          </w:p>
        </w:tc>
        <w:tc>
          <w:tcPr>
            <w:tcW w:w="0" w:type="auto"/>
            <w:noWrap/>
          </w:tcPr>
          <w:p w14:paraId="4287AE0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763</w:t>
            </w:r>
          </w:p>
        </w:tc>
        <w:tc>
          <w:tcPr>
            <w:tcW w:w="0" w:type="auto"/>
            <w:noWrap/>
          </w:tcPr>
          <w:p w14:paraId="6A2BDC04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763</w:t>
            </w:r>
          </w:p>
        </w:tc>
        <w:tc>
          <w:tcPr>
            <w:tcW w:w="0" w:type="auto"/>
            <w:noWrap/>
          </w:tcPr>
          <w:p w14:paraId="2FA47C5E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622</w:t>
            </w:r>
          </w:p>
        </w:tc>
        <w:tc>
          <w:tcPr>
            <w:tcW w:w="0" w:type="auto"/>
            <w:noWrap/>
          </w:tcPr>
          <w:p w14:paraId="5443DFB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716</w:t>
            </w:r>
          </w:p>
        </w:tc>
        <w:tc>
          <w:tcPr>
            <w:tcW w:w="0" w:type="auto"/>
          </w:tcPr>
          <w:p w14:paraId="4AEB3B56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noWrap/>
          </w:tcPr>
          <w:p w14:paraId="3D503EBD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669</w:t>
            </w:r>
          </w:p>
        </w:tc>
      </w:tr>
      <w:tr w:rsidR="00C95748" w:rsidRPr="00E45DE0" w14:paraId="3AE1354F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7AA923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χ</w:t>
            </w: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noWrap/>
          </w:tcPr>
          <w:p w14:paraId="31B78280" w14:textId="77777777" w:rsidR="00C95748" w:rsidRPr="00E45DE0" w:rsidRDefault="000400EC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3.14</w:t>
            </w:r>
          </w:p>
        </w:tc>
        <w:tc>
          <w:tcPr>
            <w:tcW w:w="0" w:type="auto"/>
            <w:noWrap/>
          </w:tcPr>
          <w:p w14:paraId="681639B8" w14:textId="77777777" w:rsidR="00C95748" w:rsidRPr="00E45DE0" w:rsidRDefault="001A083E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136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37B1442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160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04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  <w:noWrap/>
          </w:tcPr>
          <w:p w14:paraId="26904CC2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113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  <w:tc>
          <w:tcPr>
            <w:tcW w:w="0" w:type="auto"/>
          </w:tcPr>
          <w:p w14:paraId="08DD77FC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  <w:lang w:val="es-UY"/>
              </w:rPr>
              <w:t>46.11***</w:t>
            </w:r>
          </w:p>
        </w:tc>
        <w:tc>
          <w:tcPr>
            <w:tcW w:w="0" w:type="auto"/>
            <w:noWrap/>
          </w:tcPr>
          <w:p w14:paraId="3350B94B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108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05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***</w:t>
            </w:r>
          </w:p>
        </w:tc>
      </w:tr>
      <w:tr w:rsidR="00C95748" w:rsidRPr="00E45DE0" w14:paraId="05A98EA1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CC6E0FA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Log Likelihood</w:t>
            </w:r>
          </w:p>
        </w:tc>
        <w:tc>
          <w:tcPr>
            <w:tcW w:w="0" w:type="auto"/>
            <w:noWrap/>
          </w:tcPr>
          <w:p w14:paraId="24B1C963" w14:textId="1B625CF1" w:rsidR="00C95748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469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400EC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68</w:t>
            </w:r>
          </w:p>
        </w:tc>
        <w:tc>
          <w:tcPr>
            <w:tcW w:w="0" w:type="auto"/>
            <w:noWrap/>
          </w:tcPr>
          <w:p w14:paraId="5387AA77" w14:textId="7EB0B34C" w:rsidR="00C95748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  <w:r w:rsidR="001A083E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27.2</w:t>
            </w:r>
          </w:p>
        </w:tc>
        <w:tc>
          <w:tcPr>
            <w:tcW w:w="0" w:type="auto"/>
            <w:noWrap/>
          </w:tcPr>
          <w:p w14:paraId="16A3665C" w14:textId="086D240B" w:rsidR="00C95748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25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31</w:t>
            </w:r>
          </w:p>
        </w:tc>
        <w:tc>
          <w:tcPr>
            <w:tcW w:w="0" w:type="auto"/>
            <w:noWrap/>
          </w:tcPr>
          <w:p w14:paraId="159A83B5" w14:textId="1BF641F8" w:rsidR="00C95748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B30FB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4289.5</w:t>
            </w:r>
          </w:p>
        </w:tc>
        <w:tc>
          <w:tcPr>
            <w:tcW w:w="0" w:type="auto"/>
          </w:tcPr>
          <w:p w14:paraId="63BB77A4" w14:textId="287D3582" w:rsidR="00C95748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95748"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1385.4</w:t>
            </w:r>
          </w:p>
        </w:tc>
        <w:tc>
          <w:tcPr>
            <w:tcW w:w="0" w:type="auto"/>
            <w:noWrap/>
          </w:tcPr>
          <w:p w14:paraId="29E9B3F5" w14:textId="06970A77" w:rsidR="00C95748" w:rsidRPr="00E45DE0" w:rsidRDefault="00B3671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  <w:r w:rsidR="00B30FB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91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30FBF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6</w:t>
            </w:r>
          </w:p>
        </w:tc>
      </w:tr>
      <w:tr w:rsidR="00C95748" w:rsidRPr="00E45DE0" w14:paraId="418D8407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D17B0C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Theta</w:t>
            </w:r>
          </w:p>
        </w:tc>
        <w:tc>
          <w:tcPr>
            <w:tcW w:w="0" w:type="auto"/>
            <w:noWrap/>
          </w:tcPr>
          <w:p w14:paraId="036A5CEC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0.20(0.11)</w:t>
            </w:r>
          </w:p>
        </w:tc>
        <w:tc>
          <w:tcPr>
            <w:tcW w:w="0" w:type="auto"/>
            <w:noWrap/>
          </w:tcPr>
          <w:p w14:paraId="227B69E1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0.1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7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(0.10)</w:t>
            </w:r>
          </w:p>
        </w:tc>
        <w:tc>
          <w:tcPr>
            <w:tcW w:w="0" w:type="auto"/>
            <w:noWrap/>
          </w:tcPr>
          <w:p w14:paraId="7399B3A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25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UY"/>
              </w:rPr>
              <w:t>15</w:t>
            </w: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6A8E027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0.20(0.11)</w:t>
            </w:r>
          </w:p>
        </w:tc>
        <w:tc>
          <w:tcPr>
            <w:tcW w:w="0" w:type="auto"/>
          </w:tcPr>
          <w:p w14:paraId="6502096A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sz w:val="24"/>
                <w:szCs w:val="24"/>
              </w:rPr>
              <w:t>0.08(0.06)</w:t>
            </w:r>
          </w:p>
        </w:tc>
        <w:tc>
          <w:tcPr>
            <w:tcW w:w="0" w:type="auto"/>
            <w:noWrap/>
          </w:tcPr>
          <w:p w14:paraId="1A301475" w14:textId="77777777" w:rsidR="00C95748" w:rsidRPr="00E45DE0" w:rsidRDefault="00B30FBF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0.23</w:t>
            </w:r>
            <w:r w:rsidR="00C95748"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(0.12)</w:t>
            </w:r>
          </w:p>
        </w:tc>
      </w:tr>
      <w:tr w:rsidR="00C95748" w:rsidRPr="00E45DE0" w14:paraId="3E737092" w14:textId="77777777" w:rsidTr="00C957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0ECADF" w14:textId="77777777" w:rsidR="00C95748" w:rsidRPr="0091437E" w:rsidRDefault="00C95748" w:rsidP="000400E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437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PH Assumption</w:t>
            </w:r>
          </w:p>
        </w:tc>
        <w:tc>
          <w:tcPr>
            <w:tcW w:w="0" w:type="auto"/>
            <w:noWrap/>
          </w:tcPr>
          <w:p w14:paraId="6B89AE0B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3.28</w:t>
            </w:r>
          </w:p>
        </w:tc>
        <w:tc>
          <w:tcPr>
            <w:tcW w:w="0" w:type="auto"/>
            <w:noWrap/>
          </w:tcPr>
          <w:p w14:paraId="1BE6BE88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8.89</w:t>
            </w:r>
          </w:p>
        </w:tc>
        <w:tc>
          <w:tcPr>
            <w:tcW w:w="0" w:type="auto"/>
            <w:noWrap/>
          </w:tcPr>
          <w:p w14:paraId="7E28157C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32.2**</w:t>
            </w:r>
          </w:p>
        </w:tc>
        <w:tc>
          <w:tcPr>
            <w:tcW w:w="0" w:type="auto"/>
            <w:noWrap/>
          </w:tcPr>
          <w:p w14:paraId="62CD2B15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73FABA5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4CB8327" w14:textId="77777777" w:rsidR="00C95748" w:rsidRPr="00E45DE0" w:rsidRDefault="00C95748" w:rsidP="00040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DB25F30" w14:textId="77777777" w:rsidR="00C95748" w:rsidRPr="00E45DE0" w:rsidRDefault="00C95748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FA9F95" w14:textId="77777777" w:rsidR="00BF2941" w:rsidRPr="00E45DE0" w:rsidRDefault="00443710" w:rsidP="001135EA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E45DE0">
        <w:rPr>
          <w:rFonts w:ascii="Times New Roman" w:eastAsia="Arial" w:hAnsi="Times New Roman" w:cs="Times New Roman"/>
          <w:sz w:val="24"/>
          <w:szCs w:val="24"/>
        </w:rPr>
        <w:t xml:space="preserve">The estimated models for finance, education and health show, as expected, stability in the relevance of the independent variables addressed in the main article. The results </w:t>
      </w:r>
      <w:r w:rsidRPr="00E45DE0">
        <w:rPr>
          <w:rFonts w:ascii="Times New Roman" w:eastAsia="Arial" w:hAnsi="Times New Roman" w:cs="Times New Roman"/>
          <w:sz w:val="24"/>
          <w:szCs w:val="24"/>
        </w:rPr>
        <w:lastRenderedPageBreak/>
        <w:t>are quite homogeneous. It is interesting to note that only the ministry of education showed significance at the 95% confid</w:t>
      </w:r>
      <w:r w:rsidR="00F417D0" w:rsidRPr="00E45DE0">
        <w:rPr>
          <w:rFonts w:ascii="Times New Roman" w:eastAsia="Arial" w:hAnsi="Times New Roman" w:cs="Times New Roman"/>
          <w:sz w:val="24"/>
          <w:szCs w:val="24"/>
        </w:rPr>
        <w:t>ence interval, being</w:t>
      </w:r>
      <w:r w:rsidRPr="00E45DE0">
        <w:rPr>
          <w:rFonts w:ascii="Times New Roman" w:eastAsia="Arial" w:hAnsi="Times New Roman" w:cs="Times New Roman"/>
          <w:sz w:val="24"/>
          <w:szCs w:val="24"/>
        </w:rPr>
        <w:t xml:space="preserve"> a risk factor for ministerial </w:t>
      </w:r>
      <w:r w:rsidR="00F417D0" w:rsidRPr="00E45DE0">
        <w:rPr>
          <w:rFonts w:ascii="Times New Roman" w:eastAsia="Arial" w:hAnsi="Times New Roman" w:cs="Times New Roman"/>
          <w:sz w:val="24"/>
          <w:szCs w:val="24"/>
        </w:rPr>
        <w:t>survival. The portfolio dummy variables</w:t>
      </w:r>
      <w:r w:rsidRPr="00E45DE0">
        <w:rPr>
          <w:rFonts w:ascii="Times New Roman" w:eastAsia="Arial" w:hAnsi="Times New Roman" w:cs="Times New Roman"/>
          <w:sz w:val="24"/>
          <w:szCs w:val="24"/>
        </w:rPr>
        <w:t>, in most models,</w:t>
      </w:r>
      <w:r w:rsidR="00F417D0" w:rsidRPr="00E45DE0">
        <w:rPr>
          <w:rFonts w:ascii="Times New Roman" w:eastAsia="Arial" w:hAnsi="Times New Roman" w:cs="Times New Roman"/>
          <w:sz w:val="24"/>
          <w:szCs w:val="24"/>
        </w:rPr>
        <w:t xml:space="preserve"> represent</w:t>
      </w:r>
      <w:r w:rsidRPr="00E45DE0">
        <w:rPr>
          <w:rFonts w:ascii="Times New Roman" w:eastAsia="Arial" w:hAnsi="Times New Roman" w:cs="Times New Roman"/>
          <w:sz w:val="24"/>
          <w:szCs w:val="24"/>
        </w:rPr>
        <w:t xml:space="preserve"> a risk factor for ministerial survival. The Ministry of Health is an </w:t>
      </w:r>
      <w:r w:rsidR="00E60F41" w:rsidRPr="00E45DE0">
        <w:rPr>
          <w:rFonts w:ascii="Times New Roman" w:eastAsia="Arial" w:hAnsi="Times New Roman" w:cs="Times New Roman"/>
          <w:sz w:val="24"/>
          <w:szCs w:val="24"/>
        </w:rPr>
        <w:t>exception;</w:t>
      </w:r>
      <w:r w:rsidRPr="00E45DE0">
        <w:rPr>
          <w:rFonts w:ascii="Times New Roman" w:eastAsia="Arial" w:hAnsi="Times New Roman" w:cs="Times New Roman"/>
          <w:sz w:val="24"/>
          <w:szCs w:val="24"/>
        </w:rPr>
        <w:t xml:space="preserve"> with a hazard coefficient less than one in models 1 to 4.</w:t>
      </w:r>
      <w:r w:rsidR="00E60F41" w:rsidRPr="00E45D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17D0" w:rsidRPr="00E45DE0">
        <w:rPr>
          <w:rFonts w:ascii="Times New Roman" w:eastAsia="Arial" w:hAnsi="Times New Roman" w:cs="Times New Roman"/>
          <w:sz w:val="24"/>
          <w:szCs w:val="24"/>
        </w:rPr>
        <w:t>It is also interesting to note that all interactions terms between autocracy and a domestic portfolio were not significant and the hazard coefficient smaller</w:t>
      </w:r>
      <w:r w:rsidR="00E60F41" w:rsidRPr="00E45DE0">
        <w:rPr>
          <w:rFonts w:ascii="Times New Roman" w:eastAsia="Arial" w:hAnsi="Times New Roman" w:cs="Times New Roman"/>
          <w:sz w:val="24"/>
          <w:szCs w:val="24"/>
        </w:rPr>
        <w:t xml:space="preserve"> than one.</w:t>
      </w:r>
      <w:r w:rsidR="00F417D0" w:rsidRPr="00E45D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75B3C" w:rsidRPr="00E45D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2941" w:rsidRPr="00E45DE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FC90DBE" w14:textId="751B434C" w:rsidR="00D41602" w:rsidRPr="00E45DE0" w:rsidRDefault="00D41602">
      <w:pP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14:paraId="24F7EF96" w14:textId="77777777" w:rsidR="00D41602" w:rsidRPr="00E45DE0" w:rsidRDefault="00D416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602" w:rsidRPr="00E45D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159E" w14:textId="77777777" w:rsidR="00901646" w:rsidRDefault="00901646">
      <w:pPr>
        <w:spacing w:line="240" w:lineRule="auto"/>
      </w:pPr>
      <w:r>
        <w:separator/>
      </w:r>
    </w:p>
  </w:endnote>
  <w:endnote w:type="continuationSeparator" w:id="0">
    <w:p w14:paraId="42A7B4C8" w14:textId="77777777" w:rsidR="00901646" w:rsidRDefault="00901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94EB" w14:textId="77777777" w:rsidR="00901646" w:rsidRDefault="00901646">
      <w:pPr>
        <w:spacing w:after="0"/>
      </w:pPr>
      <w:r>
        <w:separator/>
      </w:r>
    </w:p>
  </w:footnote>
  <w:footnote w:type="continuationSeparator" w:id="0">
    <w:p w14:paraId="5CD61EB9" w14:textId="77777777" w:rsidR="00901646" w:rsidRDefault="009016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▪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562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F236C5"/>
    <w:rsid w:val="000019DA"/>
    <w:rsid w:val="00026DCE"/>
    <w:rsid w:val="000400EC"/>
    <w:rsid w:val="00050A74"/>
    <w:rsid w:val="000855E9"/>
    <w:rsid w:val="00085F15"/>
    <w:rsid w:val="0009098D"/>
    <w:rsid w:val="00097DF1"/>
    <w:rsid w:val="000B69C2"/>
    <w:rsid w:val="000D715D"/>
    <w:rsid w:val="000F2045"/>
    <w:rsid w:val="00110492"/>
    <w:rsid w:val="001135EA"/>
    <w:rsid w:val="001139A1"/>
    <w:rsid w:val="001376E0"/>
    <w:rsid w:val="001476E5"/>
    <w:rsid w:val="001874A4"/>
    <w:rsid w:val="001A083E"/>
    <w:rsid w:val="001B6F83"/>
    <w:rsid w:val="00263814"/>
    <w:rsid w:val="002644F6"/>
    <w:rsid w:val="00275B3C"/>
    <w:rsid w:val="00285ED1"/>
    <w:rsid w:val="002C1DBB"/>
    <w:rsid w:val="00312A05"/>
    <w:rsid w:val="003258DB"/>
    <w:rsid w:val="003323A5"/>
    <w:rsid w:val="003551C2"/>
    <w:rsid w:val="003A665F"/>
    <w:rsid w:val="003B6B77"/>
    <w:rsid w:val="003D1508"/>
    <w:rsid w:val="003D4A24"/>
    <w:rsid w:val="003F20EE"/>
    <w:rsid w:val="003F7C49"/>
    <w:rsid w:val="00443710"/>
    <w:rsid w:val="00446C2A"/>
    <w:rsid w:val="00461383"/>
    <w:rsid w:val="00463CB4"/>
    <w:rsid w:val="00513339"/>
    <w:rsid w:val="0051437D"/>
    <w:rsid w:val="00544B6C"/>
    <w:rsid w:val="005672DF"/>
    <w:rsid w:val="005861B8"/>
    <w:rsid w:val="005E076E"/>
    <w:rsid w:val="00602D7D"/>
    <w:rsid w:val="00630473"/>
    <w:rsid w:val="00637D46"/>
    <w:rsid w:val="006E0659"/>
    <w:rsid w:val="00716148"/>
    <w:rsid w:val="00731078"/>
    <w:rsid w:val="007754ED"/>
    <w:rsid w:val="00775E9C"/>
    <w:rsid w:val="007772BA"/>
    <w:rsid w:val="007936B0"/>
    <w:rsid w:val="00794307"/>
    <w:rsid w:val="007B3C72"/>
    <w:rsid w:val="007B4079"/>
    <w:rsid w:val="007D5674"/>
    <w:rsid w:val="007D7362"/>
    <w:rsid w:val="00822C3B"/>
    <w:rsid w:val="00843178"/>
    <w:rsid w:val="00891A13"/>
    <w:rsid w:val="008B1FDF"/>
    <w:rsid w:val="008F1885"/>
    <w:rsid w:val="00901646"/>
    <w:rsid w:val="0091437E"/>
    <w:rsid w:val="00934215"/>
    <w:rsid w:val="009561DC"/>
    <w:rsid w:val="00964066"/>
    <w:rsid w:val="00A06438"/>
    <w:rsid w:val="00A15DF8"/>
    <w:rsid w:val="00A356D1"/>
    <w:rsid w:val="00A92341"/>
    <w:rsid w:val="00AA2576"/>
    <w:rsid w:val="00AA3A70"/>
    <w:rsid w:val="00B01F22"/>
    <w:rsid w:val="00B02C31"/>
    <w:rsid w:val="00B3083F"/>
    <w:rsid w:val="00B30FBF"/>
    <w:rsid w:val="00B34F70"/>
    <w:rsid w:val="00B3671F"/>
    <w:rsid w:val="00B50C90"/>
    <w:rsid w:val="00B61B21"/>
    <w:rsid w:val="00B64D82"/>
    <w:rsid w:val="00B9200E"/>
    <w:rsid w:val="00BA55C8"/>
    <w:rsid w:val="00BC68F0"/>
    <w:rsid w:val="00BE6CEF"/>
    <w:rsid w:val="00BF0054"/>
    <w:rsid w:val="00BF2941"/>
    <w:rsid w:val="00BF73C3"/>
    <w:rsid w:val="00C12460"/>
    <w:rsid w:val="00C407FD"/>
    <w:rsid w:val="00C4406A"/>
    <w:rsid w:val="00C55F29"/>
    <w:rsid w:val="00C73B4F"/>
    <w:rsid w:val="00C9256C"/>
    <w:rsid w:val="00C95748"/>
    <w:rsid w:val="00CE2FE2"/>
    <w:rsid w:val="00D255EB"/>
    <w:rsid w:val="00D25807"/>
    <w:rsid w:val="00D41602"/>
    <w:rsid w:val="00D42489"/>
    <w:rsid w:val="00D54EC0"/>
    <w:rsid w:val="00D760A2"/>
    <w:rsid w:val="00DD2A9E"/>
    <w:rsid w:val="00E45DE0"/>
    <w:rsid w:val="00E60F41"/>
    <w:rsid w:val="00EE3932"/>
    <w:rsid w:val="00EF2910"/>
    <w:rsid w:val="00F07D68"/>
    <w:rsid w:val="00F1514A"/>
    <w:rsid w:val="00F364DC"/>
    <w:rsid w:val="00F417D0"/>
    <w:rsid w:val="00FB3536"/>
    <w:rsid w:val="00FD0F52"/>
    <w:rsid w:val="00FE4BD1"/>
    <w:rsid w:val="01FB5E83"/>
    <w:rsid w:val="077C714E"/>
    <w:rsid w:val="15847AE3"/>
    <w:rsid w:val="1BA93E85"/>
    <w:rsid w:val="25A258E1"/>
    <w:rsid w:val="275D0D06"/>
    <w:rsid w:val="2B8A1861"/>
    <w:rsid w:val="2FA53A3A"/>
    <w:rsid w:val="43F236C5"/>
    <w:rsid w:val="544660BF"/>
    <w:rsid w:val="5D033221"/>
    <w:rsid w:val="62394179"/>
    <w:rsid w:val="6CA9490D"/>
    <w:rsid w:val="6CF75DF9"/>
    <w:rsid w:val="6E761D86"/>
    <w:rsid w:val="70684B75"/>
    <w:rsid w:val="7D7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03399"/>
  <w15:docId w15:val="{A2B2DA37-F8B6-43CF-9123-2D19D5D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mbreamentoClaro2">
    <w:name w:val="Sombreamento Claro2"/>
    <w:basedOn w:val="TableNormal"/>
    <w:uiPriority w:val="60"/>
    <w:qFormat/>
    <w:rPr>
      <w:color w:val="000000"/>
      <w:sz w:val="22"/>
      <w:szCs w:val="22"/>
      <w:lang w:eastAsia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Text">
    <w:name w:val="annotation text"/>
    <w:basedOn w:val="Normal"/>
    <w:link w:val="CommentTextChar"/>
    <w:qFormat/>
    <w:rsid w:val="00514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51437D"/>
    <w:rPr>
      <w:rFonts w:ascii="Calibri" w:eastAsia="Calibri" w:hAnsi="Calibri" w:cs="Calibri"/>
      <w:lang w:val="en-US"/>
    </w:rPr>
  </w:style>
  <w:style w:type="table" w:customStyle="1" w:styleId="GradeClara1">
    <w:name w:val="Grade Clara1"/>
    <w:basedOn w:val="TableNormal"/>
    <w:uiPriority w:val="62"/>
    <w:qFormat/>
    <w:rsid w:val="0051437D"/>
    <w:rPr>
      <w:sz w:val="22"/>
      <w:szCs w:val="22"/>
      <w:lang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1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7D"/>
    <w:rPr>
      <w:rFonts w:ascii="Tahoma" w:eastAsia="Calibri" w:hAnsi="Tahoma" w:cs="Tahoma"/>
      <w:sz w:val="16"/>
      <w:szCs w:val="16"/>
      <w:lang w:val="en-US"/>
    </w:rPr>
  </w:style>
  <w:style w:type="table" w:customStyle="1" w:styleId="Style13">
    <w:name w:val="_Style 13"/>
    <w:basedOn w:val="TableNormal"/>
    <w:qFormat/>
    <w:rsid w:val="00BE6CEF"/>
    <w:rPr>
      <w:rFonts w:ascii="Calibri" w:eastAsia="Calibri" w:hAnsi="Calibri" w:cs="Calibri"/>
      <w:color w:val="000000"/>
    </w:rPr>
    <w:tblPr/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1459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López Burian</dc:creator>
  <cp:lastModifiedBy>CED</cp:lastModifiedBy>
  <cp:revision>15</cp:revision>
  <dcterms:created xsi:type="dcterms:W3CDTF">2023-06-20T02:15:00Z</dcterms:created>
  <dcterms:modified xsi:type="dcterms:W3CDTF">2023-06-23T18:10:00Z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2058-11.2.0.11486</vt:lpwstr>
  </property>
  <property fmtid="{D5CDD505-2E9C-101B-9397-08002B2CF9AE}" pid="3" name="ICV">
    <vt:lpwstr>1A7A566B48F0405AB33C09EB9B3FBD04</vt:lpwstr>
  </property>
</Properties>
</file>