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669A8A65" w14:textId="77777777" w:rsidR="00BA0229" w:rsidRPr="00BA0229" w:rsidRDefault="00BA0229" w:rsidP="00BA0229">
      <w:pPr>
        <w:pStyle w:val="Title"/>
        <w:jc w:val="center"/>
        <w:rPr>
          <w:b/>
          <w:bCs/>
          <w:sz w:val="24"/>
          <w:szCs w:val="24"/>
        </w:rPr>
      </w:pPr>
      <w:bookmarkStart w:id="0" w:name="_heading=h.hgrpe1vwq9uk" w:colFirst="0" w:colLast="0"/>
      <w:bookmarkEnd w:id="0"/>
      <w:r w:rsidRPr="00BA0229">
        <w:rPr>
          <w:b/>
          <w:bCs/>
          <w:sz w:val="24"/>
          <w:szCs w:val="24"/>
        </w:rPr>
        <w:t>Legitimacy and Policy during Crises: Subnational COVID-19 Responses in Bolivia</w:t>
      </w:r>
    </w:p>
    <w:p w14:paraId="10E2F4AC" w14:textId="77777777" w:rsidR="000242BF" w:rsidRPr="00BA0229" w:rsidRDefault="00092FA5">
      <w:pPr>
        <w:widowControl w:val="0"/>
        <w:spacing w:before="240" w:after="240"/>
        <w:jc w:val="center"/>
        <w:rPr>
          <w:b/>
          <w:sz w:val="24"/>
          <w:szCs w:val="24"/>
        </w:rPr>
      </w:pPr>
      <w:r w:rsidRPr="00BA0229">
        <w:rPr>
          <w:b/>
          <w:sz w:val="24"/>
          <w:szCs w:val="24"/>
        </w:rPr>
        <w:t>Methodological Appendix</w:t>
      </w:r>
    </w:p>
    <w:p w14:paraId="6DD135EF" w14:textId="77777777" w:rsidR="000242BF" w:rsidRPr="00BA0229" w:rsidRDefault="000242BF">
      <w:pPr>
        <w:widowControl w:val="0"/>
        <w:rPr>
          <w:sz w:val="24"/>
          <w:szCs w:val="24"/>
        </w:rPr>
      </w:pPr>
    </w:p>
    <w:p w14:paraId="0E0F0EA8" w14:textId="77777777" w:rsidR="000242BF" w:rsidRPr="00BA0229" w:rsidRDefault="00092FA5">
      <w:pPr>
        <w:widowControl w:val="0"/>
        <w:spacing w:before="240" w:after="240"/>
        <w:ind w:left="0"/>
        <w:rPr>
          <w:b/>
          <w:sz w:val="24"/>
          <w:szCs w:val="24"/>
        </w:rPr>
      </w:pPr>
      <w:r w:rsidRPr="00BA0229">
        <w:rPr>
          <w:b/>
          <w:sz w:val="24"/>
          <w:szCs w:val="24"/>
        </w:rPr>
        <w:t>List of Data Collection Sources:</w:t>
      </w:r>
    </w:p>
    <w:p w14:paraId="72B20E2E" w14:textId="77777777" w:rsidR="000242BF" w:rsidRPr="00BA0229" w:rsidRDefault="00092FA5">
      <w:pPr>
        <w:widowControl w:val="0"/>
        <w:ind w:left="0"/>
        <w:rPr>
          <w:sz w:val="24"/>
          <w:szCs w:val="24"/>
        </w:rPr>
      </w:pPr>
      <w:r w:rsidRPr="00BA0229">
        <w:rPr>
          <w:sz w:val="24"/>
          <w:szCs w:val="24"/>
        </w:rPr>
        <w:t>Ministry of Health: daily confirmed cases and death reports</w:t>
      </w:r>
    </w:p>
    <w:p w14:paraId="33D70208" w14:textId="77777777" w:rsidR="000242BF" w:rsidRPr="00BA0229" w:rsidRDefault="00092FA5">
      <w:pPr>
        <w:widowControl w:val="0"/>
        <w:ind w:left="0"/>
        <w:rPr>
          <w:sz w:val="24"/>
          <w:szCs w:val="24"/>
        </w:rPr>
      </w:pPr>
      <w:proofErr w:type="spellStart"/>
      <w:r w:rsidRPr="00BA0229">
        <w:rPr>
          <w:sz w:val="24"/>
          <w:szCs w:val="24"/>
        </w:rPr>
        <w:t>Servicios</w:t>
      </w:r>
      <w:proofErr w:type="spellEnd"/>
      <w:r w:rsidRPr="00BA0229">
        <w:rPr>
          <w:sz w:val="24"/>
          <w:szCs w:val="24"/>
        </w:rPr>
        <w:t xml:space="preserve"> </w:t>
      </w:r>
      <w:proofErr w:type="spellStart"/>
      <w:r w:rsidRPr="00BA0229">
        <w:rPr>
          <w:sz w:val="24"/>
          <w:szCs w:val="24"/>
        </w:rPr>
        <w:t>Departamental</w:t>
      </w:r>
      <w:proofErr w:type="spellEnd"/>
      <w:r w:rsidRPr="00BA0229">
        <w:rPr>
          <w:sz w:val="24"/>
          <w:szCs w:val="24"/>
        </w:rPr>
        <w:t xml:space="preserve"> de </w:t>
      </w:r>
      <w:proofErr w:type="spellStart"/>
      <w:r w:rsidRPr="00BA0229">
        <w:rPr>
          <w:sz w:val="24"/>
          <w:szCs w:val="24"/>
        </w:rPr>
        <w:t>Salud</w:t>
      </w:r>
      <w:proofErr w:type="spellEnd"/>
      <w:r w:rsidRPr="00BA0229">
        <w:rPr>
          <w:sz w:val="24"/>
          <w:szCs w:val="24"/>
        </w:rPr>
        <w:t xml:space="preserve"> (SEDES). </w:t>
      </w:r>
      <w:proofErr w:type="spellStart"/>
      <w:r w:rsidRPr="00BA0229">
        <w:rPr>
          <w:sz w:val="24"/>
          <w:szCs w:val="24"/>
        </w:rPr>
        <w:t>Departamental</w:t>
      </w:r>
      <w:proofErr w:type="spellEnd"/>
      <w:r w:rsidRPr="00BA0229">
        <w:rPr>
          <w:sz w:val="24"/>
          <w:szCs w:val="24"/>
        </w:rPr>
        <w:t xml:space="preserve"> Health Services information (for all 9 regions)</w:t>
      </w:r>
    </w:p>
    <w:p w14:paraId="5A75C88B" w14:textId="77777777" w:rsidR="000242BF" w:rsidRPr="00BA0229" w:rsidRDefault="00092FA5">
      <w:pPr>
        <w:widowControl w:val="0"/>
        <w:ind w:left="0"/>
        <w:rPr>
          <w:sz w:val="24"/>
          <w:szCs w:val="24"/>
        </w:rPr>
      </w:pPr>
      <w:r w:rsidRPr="00BA0229">
        <w:rPr>
          <w:sz w:val="24"/>
          <w:szCs w:val="24"/>
        </w:rPr>
        <w:t>Bolivia Segura: Official governmental information service for COVID-19 in Bolivia</w:t>
      </w:r>
    </w:p>
    <w:p w14:paraId="739B5BF4" w14:textId="77777777" w:rsidR="000242BF" w:rsidRPr="00BA0229" w:rsidRDefault="00092FA5">
      <w:pPr>
        <w:widowControl w:val="0"/>
        <w:ind w:left="0"/>
        <w:rPr>
          <w:sz w:val="24"/>
          <w:szCs w:val="24"/>
        </w:rPr>
      </w:pPr>
      <w:proofErr w:type="spellStart"/>
      <w:r w:rsidRPr="00BA0229">
        <w:rPr>
          <w:sz w:val="24"/>
          <w:szCs w:val="24"/>
        </w:rPr>
        <w:t>Gaceta</w:t>
      </w:r>
      <w:proofErr w:type="spellEnd"/>
      <w:r w:rsidRPr="00BA0229">
        <w:rPr>
          <w:sz w:val="24"/>
          <w:szCs w:val="24"/>
        </w:rPr>
        <w:t xml:space="preserve"> </w:t>
      </w:r>
      <w:proofErr w:type="spellStart"/>
      <w:r w:rsidRPr="00BA0229">
        <w:rPr>
          <w:sz w:val="24"/>
          <w:szCs w:val="24"/>
        </w:rPr>
        <w:t>Oficial</w:t>
      </w:r>
      <w:proofErr w:type="spellEnd"/>
      <w:r w:rsidRPr="00BA0229">
        <w:rPr>
          <w:sz w:val="24"/>
          <w:szCs w:val="24"/>
        </w:rPr>
        <w:t xml:space="preserve"> del Estado </w:t>
      </w:r>
      <w:proofErr w:type="spellStart"/>
      <w:r w:rsidRPr="00BA0229">
        <w:rPr>
          <w:sz w:val="24"/>
          <w:szCs w:val="24"/>
        </w:rPr>
        <w:t>Plurinacional</w:t>
      </w:r>
      <w:proofErr w:type="spellEnd"/>
      <w:r w:rsidRPr="00BA0229">
        <w:rPr>
          <w:sz w:val="24"/>
          <w:szCs w:val="24"/>
        </w:rPr>
        <w:t xml:space="preserve"> de Bolivia: Repository of all national laws in the country</w:t>
      </w:r>
    </w:p>
    <w:p w14:paraId="2A238937" w14:textId="77777777" w:rsidR="000242BF" w:rsidRPr="00BA0229" w:rsidRDefault="00092FA5">
      <w:pPr>
        <w:widowControl w:val="0"/>
        <w:ind w:left="0"/>
        <w:rPr>
          <w:sz w:val="24"/>
          <w:szCs w:val="24"/>
        </w:rPr>
      </w:pPr>
      <w:r w:rsidRPr="00BA0229">
        <w:rPr>
          <w:sz w:val="24"/>
          <w:szCs w:val="24"/>
        </w:rPr>
        <w:t xml:space="preserve">Ministry of Communication </w:t>
      </w:r>
    </w:p>
    <w:p w14:paraId="3053DA46" w14:textId="77777777" w:rsidR="000242BF" w:rsidRPr="00BA0229" w:rsidRDefault="00092FA5">
      <w:pPr>
        <w:widowControl w:val="0"/>
        <w:ind w:left="0"/>
        <w:rPr>
          <w:sz w:val="24"/>
          <w:szCs w:val="24"/>
        </w:rPr>
      </w:pPr>
      <w:r w:rsidRPr="00BA0229">
        <w:rPr>
          <w:sz w:val="24"/>
          <w:szCs w:val="24"/>
        </w:rPr>
        <w:t>Ministry of Public Works: responsible for transportation decisions</w:t>
      </w:r>
    </w:p>
    <w:p w14:paraId="1BE97A5C" w14:textId="77777777" w:rsidR="000242BF" w:rsidRPr="00BA0229" w:rsidRDefault="00092FA5">
      <w:pPr>
        <w:widowControl w:val="0"/>
        <w:ind w:left="0"/>
        <w:rPr>
          <w:sz w:val="24"/>
          <w:szCs w:val="24"/>
        </w:rPr>
      </w:pPr>
      <w:r w:rsidRPr="00BA0229">
        <w:rPr>
          <w:sz w:val="24"/>
          <w:szCs w:val="24"/>
        </w:rPr>
        <w:t>National Institute of Statistics: demographic, economic, health, and other information</w:t>
      </w:r>
    </w:p>
    <w:p w14:paraId="6707E779" w14:textId="77777777" w:rsidR="000242BF" w:rsidRPr="00BA0229" w:rsidRDefault="00092FA5">
      <w:pPr>
        <w:widowControl w:val="0"/>
        <w:ind w:left="0"/>
        <w:rPr>
          <w:sz w:val="24"/>
          <w:szCs w:val="24"/>
        </w:rPr>
      </w:pPr>
      <w:proofErr w:type="spellStart"/>
      <w:r w:rsidRPr="00BA0229">
        <w:rPr>
          <w:sz w:val="24"/>
          <w:szCs w:val="24"/>
        </w:rPr>
        <w:t>Servicio</w:t>
      </w:r>
      <w:proofErr w:type="spellEnd"/>
      <w:r w:rsidRPr="00BA0229">
        <w:rPr>
          <w:sz w:val="24"/>
          <w:szCs w:val="24"/>
        </w:rPr>
        <w:t xml:space="preserve"> de </w:t>
      </w:r>
      <w:proofErr w:type="spellStart"/>
      <w:r w:rsidRPr="00BA0229">
        <w:rPr>
          <w:sz w:val="24"/>
          <w:szCs w:val="24"/>
        </w:rPr>
        <w:t>Registro</w:t>
      </w:r>
      <w:proofErr w:type="spellEnd"/>
      <w:r w:rsidRPr="00BA0229">
        <w:rPr>
          <w:sz w:val="24"/>
          <w:szCs w:val="24"/>
        </w:rPr>
        <w:t xml:space="preserve"> </w:t>
      </w:r>
      <w:proofErr w:type="spellStart"/>
      <w:r w:rsidRPr="00BA0229">
        <w:rPr>
          <w:sz w:val="24"/>
          <w:szCs w:val="24"/>
        </w:rPr>
        <w:t>Cívico</w:t>
      </w:r>
      <w:proofErr w:type="spellEnd"/>
      <w:r w:rsidRPr="00BA0229">
        <w:rPr>
          <w:sz w:val="24"/>
          <w:szCs w:val="24"/>
        </w:rPr>
        <w:t xml:space="preserve"> (SERECI): deaths reports</w:t>
      </w:r>
    </w:p>
    <w:p w14:paraId="3547F4CF" w14:textId="77777777" w:rsidR="000242BF" w:rsidRPr="00BA0229" w:rsidRDefault="00092FA5">
      <w:pPr>
        <w:widowControl w:val="0"/>
        <w:ind w:left="0"/>
        <w:rPr>
          <w:sz w:val="24"/>
          <w:szCs w:val="24"/>
        </w:rPr>
      </w:pPr>
      <w:proofErr w:type="spellStart"/>
      <w:r w:rsidRPr="00BA0229">
        <w:rPr>
          <w:sz w:val="24"/>
          <w:szCs w:val="24"/>
        </w:rPr>
        <w:t>Agencia</w:t>
      </w:r>
      <w:proofErr w:type="spellEnd"/>
      <w:r w:rsidRPr="00BA0229">
        <w:rPr>
          <w:sz w:val="24"/>
          <w:szCs w:val="24"/>
        </w:rPr>
        <w:t xml:space="preserve"> </w:t>
      </w:r>
      <w:proofErr w:type="spellStart"/>
      <w:r w:rsidRPr="00BA0229">
        <w:rPr>
          <w:sz w:val="24"/>
          <w:szCs w:val="24"/>
        </w:rPr>
        <w:t>Boliviana</w:t>
      </w:r>
      <w:proofErr w:type="spellEnd"/>
      <w:r w:rsidRPr="00BA0229">
        <w:rPr>
          <w:sz w:val="24"/>
          <w:szCs w:val="24"/>
        </w:rPr>
        <w:t xml:space="preserve"> de </w:t>
      </w:r>
      <w:proofErr w:type="spellStart"/>
      <w:r w:rsidRPr="00BA0229">
        <w:rPr>
          <w:sz w:val="24"/>
          <w:szCs w:val="24"/>
        </w:rPr>
        <w:t>Información</w:t>
      </w:r>
      <w:proofErr w:type="spellEnd"/>
      <w:r w:rsidRPr="00BA0229">
        <w:rPr>
          <w:sz w:val="24"/>
          <w:szCs w:val="24"/>
        </w:rPr>
        <w:t xml:space="preserve"> (ABI) </w:t>
      </w:r>
    </w:p>
    <w:p w14:paraId="24877999" w14:textId="55093966" w:rsidR="000242BF" w:rsidRPr="00BA0229" w:rsidRDefault="006367AB">
      <w:pPr>
        <w:widowControl w:val="0"/>
        <w:ind w:left="0"/>
        <w:rPr>
          <w:sz w:val="24"/>
          <w:szCs w:val="24"/>
        </w:rPr>
      </w:pPr>
      <w:r>
        <w:rPr>
          <w:sz w:val="24"/>
          <w:szCs w:val="24"/>
        </w:rPr>
        <w:t xml:space="preserve">The </w:t>
      </w:r>
      <w:r w:rsidR="00092FA5" w:rsidRPr="00BA0229">
        <w:rPr>
          <w:sz w:val="24"/>
          <w:szCs w:val="24"/>
        </w:rPr>
        <w:t>New York Times: death reports</w:t>
      </w:r>
    </w:p>
    <w:p w14:paraId="7C50B899" w14:textId="77777777" w:rsidR="000242BF" w:rsidRPr="00BA0229" w:rsidRDefault="00092FA5">
      <w:pPr>
        <w:widowControl w:val="0"/>
        <w:ind w:left="0"/>
        <w:rPr>
          <w:sz w:val="24"/>
          <w:szCs w:val="24"/>
        </w:rPr>
      </w:pPr>
      <w:r w:rsidRPr="00BA0229">
        <w:rPr>
          <w:sz w:val="24"/>
          <w:szCs w:val="24"/>
        </w:rPr>
        <w:t>Our World in Data: regional trends</w:t>
      </w:r>
    </w:p>
    <w:p w14:paraId="3FC6B381" w14:textId="77777777" w:rsidR="000242BF" w:rsidRPr="00BA0229" w:rsidRDefault="00092FA5">
      <w:pPr>
        <w:ind w:left="0"/>
        <w:rPr>
          <w:sz w:val="24"/>
          <w:szCs w:val="24"/>
        </w:rPr>
      </w:pPr>
      <w:r w:rsidRPr="00BA0229">
        <w:rPr>
          <w:sz w:val="24"/>
          <w:szCs w:val="24"/>
        </w:rPr>
        <w:t xml:space="preserve">News media outlets </w:t>
      </w:r>
    </w:p>
    <w:p w14:paraId="44E12152" w14:textId="77777777" w:rsidR="000242BF" w:rsidRPr="00BA0229" w:rsidRDefault="00092FA5">
      <w:pPr>
        <w:widowControl w:val="0"/>
        <w:spacing w:before="240" w:after="240"/>
        <w:ind w:left="0"/>
        <w:rPr>
          <w:b/>
          <w:sz w:val="24"/>
          <w:szCs w:val="24"/>
        </w:rPr>
      </w:pPr>
      <w:r w:rsidRPr="00BA0229">
        <w:rPr>
          <w:b/>
          <w:sz w:val="24"/>
          <w:szCs w:val="24"/>
        </w:rPr>
        <w:t>Public Policy Variables</w:t>
      </w:r>
    </w:p>
    <w:tbl>
      <w:tblPr>
        <w:tblStyle w:val="a"/>
        <w:tblW w:w="94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370"/>
        <w:gridCol w:w="2520"/>
        <w:gridCol w:w="4605"/>
      </w:tblGrid>
      <w:tr w:rsidR="000242BF" w:rsidRPr="00BA0229" w14:paraId="5E67BE48" w14:textId="77777777">
        <w:trPr>
          <w:trHeight w:val="485"/>
        </w:trPr>
        <w:tc>
          <w:tcPr>
            <w:tcW w:w="2370"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tcPr>
          <w:p w14:paraId="0BC82F3E" w14:textId="77777777" w:rsidR="000242BF" w:rsidRPr="00BA0229" w:rsidRDefault="00092FA5">
            <w:pPr>
              <w:widowControl w:val="0"/>
              <w:rPr>
                <w:b/>
                <w:sz w:val="24"/>
                <w:szCs w:val="24"/>
              </w:rPr>
            </w:pPr>
            <w:r w:rsidRPr="00BA0229">
              <w:rPr>
                <w:b/>
                <w:sz w:val="24"/>
                <w:szCs w:val="24"/>
              </w:rPr>
              <w:t>Variable Name</w:t>
            </w:r>
          </w:p>
        </w:tc>
        <w:tc>
          <w:tcPr>
            <w:tcW w:w="2520" w:type="dxa"/>
            <w:tcBorders>
              <w:top w:val="single" w:sz="8" w:space="0" w:color="BFBFBF"/>
              <w:bottom w:val="single" w:sz="8" w:space="0" w:color="BFBFBF"/>
              <w:right w:val="single" w:sz="8" w:space="0" w:color="BFBFBF"/>
            </w:tcBorders>
            <w:tcMar>
              <w:top w:w="100" w:type="dxa"/>
              <w:left w:w="100" w:type="dxa"/>
              <w:bottom w:w="100" w:type="dxa"/>
              <w:right w:w="100" w:type="dxa"/>
            </w:tcMar>
          </w:tcPr>
          <w:p w14:paraId="19C918F2" w14:textId="77777777" w:rsidR="000242BF" w:rsidRPr="00BA0229" w:rsidRDefault="00092FA5">
            <w:pPr>
              <w:widowControl w:val="0"/>
              <w:rPr>
                <w:b/>
                <w:sz w:val="24"/>
                <w:szCs w:val="24"/>
              </w:rPr>
            </w:pPr>
            <w:r w:rsidRPr="00BA0229">
              <w:rPr>
                <w:b/>
                <w:sz w:val="24"/>
                <w:szCs w:val="24"/>
              </w:rPr>
              <w:t>Description</w:t>
            </w:r>
          </w:p>
        </w:tc>
        <w:tc>
          <w:tcPr>
            <w:tcW w:w="4605" w:type="dxa"/>
            <w:tcBorders>
              <w:top w:val="single" w:sz="8" w:space="0" w:color="BFBFBF"/>
              <w:bottom w:val="single" w:sz="8" w:space="0" w:color="BFBFBF"/>
              <w:right w:val="single" w:sz="8" w:space="0" w:color="BFBFBF"/>
            </w:tcBorders>
            <w:tcMar>
              <w:top w:w="100" w:type="dxa"/>
              <w:left w:w="100" w:type="dxa"/>
              <w:bottom w:w="100" w:type="dxa"/>
              <w:right w:w="100" w:type="dxa"/>
            </w:tcMar>
          </w:tcPr>
          <w:p w14:paraId="52CEB0F6" w14:textId="77777777" w:rsidR="000242BF" w:rsidRPr="00BA0229" w:rsidRDefault="00092FA5">
            <w:pPr>
              <w:widowControl w:val="0"/>
              <w:rPr>
                <w:b/>
                <w:sz w:val="24"/>
                <w:szCs w:val="24"/>
              </w:rPr>
            </w:pPr>
            <w:r w:rsidRPr="00BA0229">
              <w:rPr>
                <w:b/>
                <w:sz w:val="24"/>
                <w:szCs w:val="24"/>
              </w:rPr>
              <w:t>Coding</w:t>
            </w:r>
          </w:p>
        </w:tc>
      </w:tr>
      <w:tr w:rsidR="000242BF" w:rsidRPr="00BA0229" w14:paraId="69ACB5F5" w14:textId="77777777">
        <w:trPr>
          <w:trHeight w:val="1535"/>
        </w:trPr>
        <w:tc>
          <w:tcPr>
            <w:tcW w:w="2370" w:type="dxa"/>
            <w:tcBorders>
              <w:left w:val="single" w:sz="8" w:space="0" w:color="BFBFBF"/>
              <w:bottom w:val="single" w:sz="8" w:space="0" w:color="BFBFBF"/>
              <w:right w:val="single" w:sz="8" w:space="0" w:color="BFBFBF"/>
            </w:tcBorders>
            <w:tcMar>
              <w:top w:w="100" w:type="dxa"/>
              <w:left w:w="100" w:type="dxa"/>
              <w:bottom w:w="100" w:type="dxa"/>
              <w:right w:w="100" w:type="dxa"/>
            </w:tcMar>
          </w:tcPr>
          <w:p w14:paraId="4CFBC618" w14:textId="77777777" w:rsidR="000242BF" w:rsidRPr="00BA0229" w:rsidRDefault="00092FA5">
            <w:pPr>
              <w:widowControl w:val="0"/>
              <w:rPr>
                <w:sz w:val="24"/>
                <w:szCs w:val="24"/>
              </w:rPr>
            </w:pPr>
            <w:r w:rsidRPr="00BA0229">
              <w:rPr>
                <w:sz w:val="24"/>
                <w:szCs w:val="24"/>
              </w:rPr>
              <w:t>Stay at home</w:t>
            </w:r>
          </w:p>
        </w:tc>
        <w:tc>
          <w:tcPr>
            <w:tcW w:w="2520" w:type="dxa"/>
            <w:tcBorders>
              <w:bottom w:val="single" w:sz="8" w:space="0" w:color="BFBFBF"/>
              <w:right w:val="single" w:sz="8" w:space="0" w:color="BFBFBF"/>
            </w:tcBorders>
            <w:tcMar>
              <w:top w:w="100" w:type="dxa"/>
              <w:left w:w="100" w:type="dxa"/>
              <w:bottom w:w="100" w:type="dxa"/>
              <w:right w:w="100" w:type="dxa"/>
            </w:tcMar>
          </w:tcPr>
          <w:p w14:paraId="71EB5CCF" w14:textId="77777777" w:rsidR="000242BF" w:rsidRPr="00BA0229" w:rsidRDefault="00092FA5">
            <w:pPr>
              <w:widowControl w:val="0"/>
              <w:rPr>
                <w:sz w:val="24"/>
                <w:szCs w:val="24"/>
              </w:rPr>
            </w:pPr>
            <w:r w:rsidRPr="00BA0229">
              <w:rPr>
                <w:sz w:val="24"/>
                <w:szCs w:val="24"/>
              </w:rPr>
              <w:t>Record orders to “shelter-in- place”</w:t>
            </w:r>
          </w:p>
        </w:tc>
        <w:tc>
          <w:tcPr>
            <w:tcW w:w="4605" w:type="dxa"/>
            <w:tcBorders>
              <w:bottom w:val="single" w:sz="8" w:space="0" w:color="BFBFBF"/>
              <w:right w:val="single" w:sz="8" w:space="0" w:color="BFBFBF"/>
            </w:tcBorders>
            <w:tcMar>
              <w:top w:w="100" w:type="dxa"/>
              <w:left w:w="100" w:type="dxa"/>
              <w:bottom w:w="100" w:type="dxa"/>
              <w:right w:w="100" w:type="dxa"/>
            </w:tcMar>
          </w:tcPr>
          <w:p w14:paraId="6D546616" w14:textId="77777777" w:rsidR="000242BF" w:rsidRPr="00BA0229" w:rsidRDefault="00092FA5">
            <w:pPr>
              <w:widowControl w:val="0"/>
              <w:rPr>
                <w:sz w:val="24"/>
                <w:szCs w:val="24"/>
              </w:rPr>
            </w:pPr>
            <w:r w:rsidRPr="00BA0229">
              <w:rPr>
                <w:sz w:val="24"/>
                <w:szCs w:val="24"/>
              </w:rPr>
              <w:t>0 -No Measures</w:t>
            </w:r>
          </w:p>
          <w:p w14:paraId="59DD419E" w14:textId="77777777" w:rsidR="000242BF" w:rsidRPr="00BA0229" w:rsidRDefault="00092FA5">
            <w:pPr>
              <w:widowControl w:val="0"/>
              <w:rPr>
                <w:sz w:val="24"/>
                <w:szCs w:val="24"/>
              </w:rPr>
            </w:pPr>
            <w:r w:rsidRPr="00BA0229">
              <w:rPr>
                <w:sz w:val="24"/>
                <w:szCs w:val="24"/>
              </w:rPr>
              <w:t xml:space="preserve">0.33 -Recommend not leaving the house </w:t>
            </w:r>
          </w:p>
          <w:p w14:paraId="182B2C55" w14:textId="77777777" w:rsidR="000242BF" w:rsidRPr="00BA0229" w:rsidRDefault="00092FA5">
            <w:pPr>
              <w:widowControl w:val="0"/>
              <w:rPr>
                <w:sz w:val="24"/>
                <w:szCs w:val="24"/>
              </w:rPr>
            </w:pPr>
            <w:r w:rsidRPr="00BA0229">
              <w:rPr>
                <w:sz w:val="24"/>
                <w:szCs w:val="24"/>
              </w:rPr>
              <w:t>0.66 -partial requirements (specified groups or times)</w:t>
            </w:r>
          </w:p>
          <w:p w14:paraId="4B507BDD" w14:textId="77777777" w:rsidR="000242BF" w:rsidRPr="00BA0229" w:rsidRDefault="00092FA5">
            <w:pPr>
              <w:widowControl w:val="0"/>
              <w:rPr>
                <w:sz w:val="24"/>
                <w:szCs w:val="24"/>
              </w:rPr>
            </w:pPr>
            <w:r w:rsidRPr="00BA0229">
              <w:rPr>
                <w:sz w:val="24"/>
                <w:szCs w:val="24"/>
              </w:rPr>
              <w:t>1 -Require not leaving the house with minimal exceptions (</w:t>
            </w:r>
            <w:proofErr w:type="gramStart"/>
            <w:r w:rsidRPr="00BA0229">
              <w:rPr>
                <w:sz w:val="24"/>
                <w:szCs w:val="24"/>
              </w:rPr>
              <w:t>e.g.</w:t>
            </w:r>
            <w:proofErr w:type="gramEnd"/>
            <w:r w:rsidRPr="00BA0229">
              <w:rPr>
                <w:sz w:val="24"/>
                <w:szCs w:val="24"/>
              </w:rPr>
              <w:t xml:space="preserve"> allowed to leave only once a week, or only one person can leave at a time, etc.)</w:t>
            </w:r>
          </w:p>
        </w:tc>
      </w:tr>
      <w:tr w:rsidR="000242BF" w:rsidRPr="00BA0229" w14:paraId="0ACC81CF" w14:textId="77777777">
        <w:trPr>
          <w:trHeight w:val="1485"/>
        </w:trPr>
        <w:tc>
          <w:tcPr>
            <w:tcW w:w="2370" w:type="dxa"/>
            <w:tcBorders>
              <w:left w:val="single" w:sz="8" w:space="0" w:color="BFBFBF"/>
              <w:bottom w:val="single" w:sz="8" w:space="0" w:color="BFBFBF"/>
              <w:right w:val="single" w:sz="8" w:space="0" w:color="BFBFBF"/>
            </w:tcBorders>
            <w:tcMar>
              <w:top w:w="100" w:type="dxa"/>
              <w:left w:w="100" w:type="dxa"/>
              <w:bottom w:w="100" w:type="dxa"/>
              <w:right w:w="100" w:type="dxa"/>
            </w:tcMar>
          </w:tcPr>
          <w:p w14:paraId="21CD6EB1" w14:textId="77777777" w:rsidR="000242BF" w:rsidRPr="00BA0229" w:rsidRDefault="00092FA5">
            <w:pPr>
              <w:widowControl w:val="0"/>
              <w:rPr>
                <w:sz w:val="24"/>
                <w:szCs w:val="24"/>
              </w:rPr>
            </w:pPr>
            <w:r w:rsidRPr="00BA0229">
              <w:rPr>
                <w:sz w:val="24"/>
                <w:szCs w:val="24"/>
              </w:rPr>
              <w:t>School Closure</w:t>
            </w:r>
          </w:p>
        </w:tc>
        <w:tc>
          <w:tcPr>
            <w:tcW w:w="2520" w:type="dxa"/>
            <w:tcBorders>
              <w:bottom w:val="single" w:sz="8" w:space="0" w:color="BFBFBF"/>
              <w:right w:val="single" w:sz="8" w:space="0" w:color="BFBFBF"/>
            </w:tcBorders>
            <w:tcMar>
              <w:top w:w="100" w:type="dxa"/>
              <w:left w:w="100" w:type="dxa"/>
              <w:bottom w:w="100" w:type="dxa"/>
              <w:right w:w="100" w:type="dxa"/>
            </w:tcMar>
          </w:tcPr>
          <w:p w14:paraId="611C4B59" w14:textId="77777777" w:rsidR="000242BF" w:rsidRPr="00BA0229" w:rsidRDefault="00092FA5">
            <w:pPr>
              <w:widowControl w:val="0"/>
              <w:rPr>
                <w:sz w:val="24"/>
                <w:szCs w:val="24"/>
              </w:rPr>
            </w:pPr>
            <w:r w:rsidRPr="00BA0229">
              <w:rPr>
                <w:sz w:val="24"/>
                <w:szCs w:val="24"/>
              </w:rPr>
              <w:t>Closure of in-person classes</w:t>
            </w:r>
          </w:p>
        </w:tc>
        <w:tc>
          <w:tcPr>
            <w:tcW w:w="4605" w:type="dxa"/>
            <w:tcBorders>
              <w:bottom w:val="single" w:sz="8" w:space="0" w:color="BFBFBF"/>
              <w:right w:val="single" w:sz="8" w:space="0" w:color="BFBFBF"/>
            </w:tcBorders>
            <w:tcMar>
              <w:top w:w="100" w:type="dxa"/>
              <w:left w:w="100" w:type="dxa"/>
              <w:bottom w:w="100" w:type="dxa"/>
              <w:right w:w="100" w:type="dxa"/>
            </w:tcMar>
          </w:tcPr>
          <w:p w14:paraId="15838760" w14:textId="77777777" w:rsidR="000242BF" w:rsidRPr="00BA0229" w:rsidRDefault="00092FA5">
            <w:pPr>
              <w:widowControl w:val="0"/>
              <w:rPr>
                <w:sz w:val="24"/>
                <w:szCs w:val="24"/>
              </w:rPr>
            </w:pPr>
            <w:r w:rsidRPr="00BA0229">
              <w:rPr>
                <w:sz w:val="24"/>
                <w:szCs w:val="24"/>
              </w:rPr>
              <w:t>0 -No measures</w:t>
            </w:r>
          </w:p>
          <w:p w14:paraId="71ED32E2" w14:textId="77777777" w:rsidR="000242BF" w:rsidRPr="00BA0229" w:rsidRDefault="00092FA5">
            <w:pPr>
              <w:widowControl w:val="0"/>
              <w:rPr>
                <w:sz w:val="24"/>
                <w:szCs w:val="24"/>
              </w:rPr>
            </w:pPr>
            <w:r w:rsidRPr="00BA0229">
              <w:rPr>
                <w:sz w:val="24"/>
                <w:szCs w:val="24"/>
              </w:rPr>
              <w:t>0.33 -Recommend closing</w:t>
            </w:r>
          </w:p>
          <w:p w14:paraId="33C5ED1B" w14:textId="77777777" w:rsidR="000242BF" w:rsidRPr="00BA0229" w:rsidRDefault="00092FA5">
            <w:pPr>
              <w:widowControl w:val="0"/>
              <w:rPr>
                <w:sz w:val="24"/>
                <w:szCs w:val="24"/>
              </w:rPr>
            </w:pPr>
            <w:r w:rsidRPr="00BA0229">
              <w:rPr>
                <w:sz w:val="24"/>
                <w:szCs w:val="24"/>
              </w:rPr>
              <w:t>0.66 -Partial (only some levels and/or times (</w:t>
            </w:r>
            <w:proofErr w:type="gramStart"/>
            <w:r w:rsidRPr="00BA0229">
              <w:rPr>
                <w:sz w:val="24"/>
                <w:szCs w:val="24"/>
              </w:rPr>
              <w:t>e.g.</w:t>
            </w:r>
            <w:proofErr w:type="gramEnd"/>
            <w:r w:rsidRPr="00BA0229">
              <w:rPr>
                <w:sz w:val="24"/>
                <w:szCs w:val="24"/>
              </w:rPr>
              <w:t xml:space="preserve"> just high school, or just public schools)</w:t>
            </w:r>
          </w:p>
          <w:p w14:paraId="4B25F8F4" w14:textId="77777777" w:rsidR="000242BF" w:rsidRPr="00BA0229" w:rsidRDefault="00092FA5">
            <w:pPr>
              <w:widowControl w:val="0"/>
              <w:rPr>
                <w:sz w:val="24"/>
                <w:szCs w:val="24"/>
              </w:rPr>
            </w:pPr>
            <w:r w:rsidRPr="00BA0229">
              <w:rPr>
                <w:sz w:val="24"/>
                <w:szCs w:val="24"/>
              </w:rPr>
              <w:t>1 -Require closing all levels</w:t>
            </w:r>
          </w:p>
        </w:tc>
      </w:tr>
      <w:tr w:rsidR="000242BF" w:rsidRPr="00BA0229" w14:paraId="2D3F879A" w14:textId="77777777">
        <w:trPr>
          <w:trHeight w:val="1505"/>
        </w:trPr>
        <w:tc>
          <w:tcPr>
            <w:tcW w:w="2370" w:type="dxa"/>
            <w:tcBorders>
              <w:left w:val="single" w:sz="8" w:space="0" w:color="BFBFBF"/>
              <w:bottom w:val="single" w:sz="8" w:space="0" w:color="BFBFBF"/>
              <w:right w:val="single" w:sz="8" w:space="0" w:color="BFBFBF"/>
            </w:tcBorders>
            <w:tcMar>
              <w:top w:w="100" w:type="dxa"/>
              <w:left w:w="100" w:type="dxa"/>
              <w:bottom w:w="100" w:type="dxa"/>
              <w:right w:w="100" w:type="dxa"/>
            </w:tcMar>
          </w:tcPr>
          <w:p w14:paraId="629C9B85" w14:textId="77777777" w:rsidR="000242BF" w:rsidRPr="00BA0229" w:rsidRDefault="00092FA5">
            <w:pPr>
              <w:widowControl w:val="0"/>
              <w:rPr>
                <w:sz w:val="24"/>
                <w:szCs w:val="24"/>
              </w:rPr>
            </w:pPr>
            <w:r w:rsidRPr="00BA0229">
              <w:rPr>
                <w:sz w:val="24"/>
                <w:szCs w:val="24"/>
              </w:rPr>
              <w:t>Workplace Closure</w:t>
            </w:r>
          </w:p>
        </w:tc>
        <w:tc>
          <w:tcPr>
            <w:tcW w:w="2520" w:type="dxa"/>
            <w:tcBorders>
              <w:bottom w:val="single" w:sz="8" w:space="0" w:color="BFBFBF"/>
              <w:right w:val="single" w:sz="8" w:space="0" w:color="BFBFBF"/>
            </w:tcBorders>
            <w:tcMar>
              <w:top w:w="100" w:type="dxa"/>
              <w:left w:w="100" w:type="dxa"/>
              <w:bottom w:w="100" w:type="dxa"/>
              <w:right w:w="100" w:type="dxa"/>
            </w:tcMar>
          </w:tcPr>
          <w:p w14:paraId="2D07156F" w14:textId="77777777" w:rsidR="000242BF" w:rsidRPr="00BA0229" w:rsidRDefault="00092FA5">
            <w:pPr>
              <w:widowControl w:val="0"/>
              <w:rPr>
                <w:sz w:val="24"/>
                <w:szCs w:val="24"/>
              </w:rPr>
            </w:pPr>
            <w:r w:rsidRPr="00BA0229">
              <w:rPr>
                <w:sz w:val="24"/>
                <w:szCs w:val="24"/>
              </w:rPr>
              <w:t>workplaces closures, restrict working hours, and / or closure of specific economic activities/sectors</w:t>
            </w:r>
          </w:p>
          <w:p w14:paraId="03CE0E2E" w14:textId="77777777" w:rsidR="000242BF" w:rsidRPr="00BA0229" w:rsidRDefault="000242BF">
            <w:pPr>
              <w:widowControl w:val="0"/>
              <w:rPr>
                <w:sz w:val="24"/>
                <w:szCs w:val="24"/>
              </w:rPr>
            </w:pPr>
          </w:p>
        </w:tc>
        <w:tc>
          <w:tcPr>
            <w:tcW w:w="4605" w:type="dxa"/>
            <w:tcBorders>
              <w:bottom w:val="single" w:sz="8" w:space="0" w:color="BFBFBF"/>
              <w:right w:val="single" w:sz="8" w:space="0" w:color="BFBFBF"/>
            </w:tcBorders>
            <w:tcMar>
              <w:top w:w="100" w:type="dxa"/>
              <w:left w:w="100" w:type="dxa"/>
              <w:bottom w:w="100" w:type="dxa"/>
              <w:right w:w="100" w:type="dxa"/>
            </w:tcMar>
          </w:tcPr>
          <w:p w14:paraId="1302BFCC" w14:textId="77777777" w:rsidR="000242BF" w:rsidRPr="00BA0229" w:rsidRDefault="00092FA5">
            <w:pPr>
              <w:widowControl w:val="0"/>
              <w:rPr>
                <w:sz w:val="24"/>
                <w:szCs w:val="24"/>
              </w:rPr>
            </w:pPr>
            <w:r w:rsidRPr="00BA0229">
              <w:rPr>
                <w:sz w:val="24"/>
                <w:szCs w:val="24"/>
              </w:rPr>
              <w:t>0 - No measures</w:t>
            </w:r>
          </w:p>
          <w:p w14:paraId="6B84BAB7" w14:textId="77777777" w:rsidR="000242BF" w:rsidRPr="00BA0229" w:rsidRDefault="00092FA5">
            <w:pPr>
              <w:widowControl w:val="0"/>
              <w:rPr>
                <w:sz w:val="24"/>
                <w:szCs w:val="24"/>
              </w:rPr>
            </w:pPr>
            <w:r w:rsidRPr="00BA0229">
              <w:rPr>
                <w:sz w:val="24"/>
                <w:szCs w:val="24"/>
              </w:rPr>
              <w:t>0.33 -Recommend closing (or work from home)</w:t>
            </w:r>
          </w:p>
          <w:p w14:paraId="5DFBF4DE" w14:textId="77777777" w:rsidR="000242BF" w:rsidRPr="00BA0229" w:rsidRDefault="00092FA5">
            <w:pPr>
              <w:widowControl w:val="0"/>
              <w:rPr>
                <w:sz w:val="24"/>
                <w:szCs w:val="24"/>
              </w:rPr>
            </w:pPr>
            <w:r w:rsidRPr="00BA0229">
              <w:rPr>
                <w:sz w:val="24"/>
                <w:szCs w:val="24"/>
              </w:rPr>
              <w:t>0.66 -</w:t>
            </w:r>
            <w:proofErr w:type="spellStart"/>
            <w:r w:rsidRPr="00BA0229">
              <w:rPr>
                <w:sz w:val="24"/>
                <w:szCs w:val="24"/>
              </w:rPr>
              <w:t>Parcial</w:t>
            </w:r>
            <w:proofErr w:type="spellEnd"/>
            <w:r w:rsidRPr="00BA0229">
              <w:rPr>
                <w:sz w:val="24"/>
                <w:szCs w:val="24"/>
              </w:rPr>
              <w:t xml:space="preserve"> (or work from home) for some activities, sectors or categories of workers, and times</w:t>
            </w:r>
          </w:p>
          <w:p w14:paraId="25EDC231" w14:textId="77777777" w:rsidR="000242BF" w:rsidRPr="00BA0229" w:rsidRDefault="00092FA5">
            <w:pPr>
              <w:widowControl w:val="0"/>
              <w:rPr>
                <w:sz w:val="24"/>
                <w:szCs w:val="24"/>
              </w:rPr>
            </w:pPr>
            <w:r w:rsidRPr="00BA0229">
              <w:rPr>
                <w:sz w:val="24"/>
                <w:szCs w:val="24"/>
              </w:rPr>
              <w:t xml:space="preserve">1 -Require closing </w:t>
            </w:r>
          </w:p>
        </w:tc>
      </w:tr>
      <w:tr w:rsidR="000242BF" w:rsidRPr="00BA0229" w14:paraId="353FAFF1" w14:textId="77777777">
        <w:trPr>
          <w:trHeight w:val="975"/>
        </w:trPr>
        <w:tc>
          <w:tcPr>
            <w:tcW w:w="2370" w:type="dxa"/>
            <w:tcBorders>
              <w:left w:val="single" w:sz="8" w:space="0" w:color="BFBFBF"/>
              <w:bottom w:val="single" w:sz="8" w:space="0" w:color="BFBFBF"/>
              <w:right w:val="single" w:sz="8" w:space="0" w:color="BFBFBF"/>
            </w:tcBorders>
            <w:tcMar>
              <w:top w:w="100" w:type="dxa"/>
              <w:left w:w="100" w:type="dxa"/>
              <w:bottom w:w="100" w:type="dxa"/>
              <w:right w:w="100" w:type="dxa"/>
            </w:tcMar>
          </w:tcPr>
          <w:p w14:paraId="7941E274" w14:textId="77777777" w:rsidR="000242BF" w:rsidRPr="00BA0229" w:rsidRDefault="00092FA5">
            <w:pPr>
              <w:widowControl w:val="0"/>
              <w:rPr>
                <w:sz w:val="24"/>
                <w:szCs w:val="24"/>
              </w:rPr>
            </w:pPr>
            <w:r w:rsidRPr="00BA0229">
              <w:rPr>
                <w:sz w:val="24"/>
                <w:szCs w:val="24"/>
              </w:rPr>
              <w:lastRenderedPageBreak/>
              <w:t>Public Events Cancelled</w:t>
            </w:r>
          </w:p>
        </w:tc>
        <w:tc>
          <w:tcPr>
            <w:tcW w:w="2520" w:type="dxa"/>
            <w:tcBorders>
              <w:bottom w:val="single" w:sz="8" w:space="0" w:color="BFBFBF"/>
              <w:right w:val="single" w:sz="8" w:space="0" w:color="BFBFBF"/>
            </w:tcBorders>
            <w:tcMar>
              <w:top w:w="100" w:type="dxa"/>
              <w:left w:w="100" w:type="dxa"/>
              <w:bottom w:w="100" w:type="dxa"/>
              <w:right w:w="100" w:type="dxa"/>
            </w:tcMar>
          </w:tcPr>
          <w:p w14:paraId="6F996F3A" w14:textId="77777777" w:rsidR="000242BF" w:rsidRPr="00BA0229" w:rsidRDefault="00092FA5">
            <w:pPr>
              <w:widowControl w:val="0"/>
              <w:rPr>
                <w:sz w:val="24"/>
                <w:szCs w:val="24"/>
              </w:rPr>
            </w:pPr>
            <w:r w:rsidRPr="00BA0229">
              <w:rPr>
                <w:sz w:val="24"/>
                <w:szCs w:val="24"/>
              </w:rPr>
              <w:t>Prohibition of events, social, cultural or religious activities and sports</w:t>
            </w:r>
          </w:p>
          <w:p w14:paraId="6C4D0445" w14:textId="77777777" w:rsidR="000242BF" w:rsidRPr="00BA0229" w:rsidRDefault="000242BF">
            <w:pPr>
              <w:widowControl w:val="0"/>
              <w:rPr>
                <w:sz w:val="24"/>
                <w:szCs w:val="24"/>
              </w:rPr>
            </w:pPr>
          </w:p>
        </w:tc>
        <w:tc>
          <w:tcPr>
            <w:tcW w:w="4605" w:type="dxa"/>
            <w:tcBorders>
              <w:bottom w:val="single" w:sz="8" w:space="0" w:color="BFBFBF"/>
              <w:right w:val="single" w:sz="8" w:space="0" w:color="BFBFBF"/>
            </w:tcBorders>
            <w:tcMar>
              <w:top w:w="100" w:type="dxa"/>
              <w:left w:w="100" w:type="dxa"/>
              <w:bottom w:w="100" w:type="dxa"/>
              <w:right w:w="100" w:type="dxa"/>
            </w:tcMar>
          </w:tcPr>
          <w:p w14:paraId="61A9C32D" w14:textId="77777777" w:rsidR="000242BF" w:rsidRPr="00BA0229" w:rsidRDefault="00092FA5">
            <w:pPr>
              <w:widowControl w:val="0"/>
              <w:rPr>
                <w:sz w:val="24"/>
                <w:szCs w:val="24"/>
              </w:rPr>
            </w:pPr>
            <w:r w:rsidRPr="00BA0229">
              <w:rPr>
                <w:sz w:val="24"/>
                <w:szCs w:val="24"/>
              </w:rPr>
              <w:t>0 -No measures</w:t>
            </w:r>
          </w:p>
          <w:p w14:paraId="48B175C8" w14:textId="77777777" w:rsidR="000242BF" w:rsidRPr="00BA0229" w:rsidRDefault="00092FA5">
            <w:pPr>
              <w:widowControl w:val="0"/>
              <w:rPr>
                <w:sz w:val="24"/>
                <w:szCs w:val="24"/>
              </w:rPr>
            </w:pPr>
            <w:r w:rsidRPr="00BA0229">
              <w:rPr>
                <w:sz w:val="24"/>
                <w:szCs w:val="24"/>
              </w:rPr>
              <w:t>0.5 -Recommend cancelling</w:t>
            </w:r>
          </w:p>
          <w:p w14:paraId="5B004ABA" w14:textId="77777777" w:rsidR="000242BF" w:rsidRPr="00BA0229" w:rsidRDefault="00092FA5">
            <w:pPr>
              <w:widowControl w:val="0"/>
              <w:rPr>
                <w:sz w:val="24"/>
                <w:szCs w:val="24"/>
              </w:rPr>
            </w:pPr>
            <w:r w:rsidRPr="00BA0229">
              <w:rPr>
                <w:sz w:val="24"/>
                <w:szCs w:val="24"/>
              </w:rPr>
              <w:t xml:space="preserve">1 -Require cancelling </w:t>
            </w:r>
          </w:p>
        </w:tc>
      </w:tr>
      <w:tr w:rsidR="000242BF" w:rsidRPr="00BA0229" w14:paraId="70F76935" w14:textId="77777777">
        <w:trPr>
          <w:trHeight w:val="1770"/>
        </w:trPr>
        <w:tc>
          <w:tcPr>
            <w:tcW w:w="2370" w:type="dxa"/>
            <w:tcBorders>
              <w:left w:val="single" w:sz="8" w:space="0" w:color="BFBFBF"/>
              <w:bottom w:val="single" w:sz="8" w:space="0" w:color="BFBFBF"/>
              <w:right w:val="single" w:sz="8" w:space="0" w:color="BFBFBF"/>
            </w:tcBorders>
            <w:tcMar>
              <w:top w:w="100" w:type="dxa"/>
              <w:left w:w="100" w:type="dxa"/>
              <w:bottom w:w="100" w:type="dxa"/>
              <w:right w:w="100" w:type="dxa"/>
            </w:tcMar>
          </w:tcPr>
          <w:p w14:paraId="674D7961" w14:textId="77777777" w:rsidR="000242BF" w:rsidRPr="00BA0229" w:rsidRDefault="00092FA5">
            <w:pPr>
              <w:widowControl w:val="0"/>
              <w:rPr>
                <w:sz w:val="24"/>
                <w:szCs w:val="24"/>
              </w:rPr>
            </w:pPr>
            <w:r w:rsidRPr="00BA0229">
              <w:rPr>
                <w:sz w:val="24"/>
                <w:szCs w:val="24"/>
              </w:rPr>
              <w:t>Restrictions on gatherings</w:t>
            </w:r>
          </w:p>
        </w:tc>
        <w:tc>
          <w:tcPr>
            <w:tcW w:w="2520" w:type="dxa"/>
            <w:tcBorders>
              <w:bottom w:val="single" w:sz="8" w:space="0" w:color="BFBFBF"/>
              <w:right w:val="single" w:sz="8" w:space="0" w:color="BFBFBF"/>
            </w:tcBorders>
            <w:tcMar>
              <w:top w:w="100" w:type="dxa"/>
              <w:left w:w="100" w:type="dxa"/>
              <w:bottom w:w="100" w:type="dxa"/>
              <w:right w:w="100" w:type="dxa"/>
            </w:tcMar>
          </w:tcPr>
          <w:p w14:paraId="22366D5C" w14:textId="77777777" w:rsidR="000242BF" w:rsidRPr="00BA0229" w:rsidRDefault="00092FA5">
            <w:pPr>
              <w:widowControl w:val="0"/>
              <w:rPr>
                <w:sz w:val="24"/>
                <w:szCs w:val="24"/>
              </w:rPr>
            </w:pPr>
            <w:r w:rsidRPr="00BA0229">
              <w:rPr>
                <w:sz w:val="24"/>
                <w:szCs w:val="24"/>
              </w:rPr>
              <w:t>Restrictions on crowds of people</w:t>
            </w:r>
          </w:p>
          <w:p w14:paraId="1D0E2436" w14:textId="77777777" w:rsidR="000242BF" w:rsidRPr="00BA0229" w:rsidRDefault="000242BF">
            <w:pPr>
              <w:widowControl w:val="0"/>
              <w:rPr>
                <w:sz w:val="24"/>
                <w:szCs w:val="24"/>
              </w:rPr>
            </w:pPr>
          </w:p>
        </w:tc>
        <w:tc>
          <w:tcPr>
            <w:tcW w:w="4605" w:type="dxa"/>
            <w:tcBorders>
              <w:bottom w:val="single" w:sz="8" w:space="0" w:color="BFBFBF"/>
              <w:right w:val="single" w:sz="8" w:space="0" w:color="BFBFBF"/>
            </w:tcBorders>
            <w:tcMar>
              <w:top w:w="100" w:type="dxa"/>
              <w:left w:w="100" w:type="dxa"/>
              <w:bottom w:w="100" w:type="dxa"/>
              <w:right w:w="100" w:type="dxa"/>
            </w:tcMar>
          </w:tcPr>
          <w:p w14:paraId="428FF187" w14:textId="77777777" w:rsidR="000242BF" w:rsidRPr="00BA0229" w:rsidRDefault="00092FA5">
            <w:pPr>
              <w:widowControl w:val="0"/>
              <w:rPr>
                <w:sz w:val="24"/>
                <w:szCs w:val="24"/>
              </w:rPr>
            </w:pPr>
            <w:r w:rsidRPr="00BA0229">
              <w:rPr>
                <w:sz w:val="24"/>
                <w:szCs w:val="24"/>
              </w:rPr>
              <w:t>0 -No restrictions</w:t>
            </w:r>
          </w:p>
          <w:p w14:paraId="27318D94" w14:textId="39847239" w:rsidR="000242BF" w:rsidRPr="00BA0229" w:rsidRDefault="00092FA5">
            <w:pPr>
              <w:widowControl w:val="0"/>
              <w:rPr>
                <w:sz w:val="24"/>
                <w:szCs w:val="24"/>
              </w:rPr>
            </w:pPr>
            <w:r w:rsidRPr="00BA0229">
              <w:rPr>
                <w:sz w:val="24"/>
                <w:szCs w:val="24"/>
              </w:rPr>
              <w:t>0.33 -Restrictions on very large gatherings (limit is above 1000)</w:t>
            </w:r>
          </w:p>
          <w:p w14:paraId="33112FD2" w14:textId="77777777" w:rsidR="000242BF" w:rsidRPr="00BA0229" w:rsidRDefault="00092FA5">
            <w:pPr>
              <w:widowControl w:val="0"/>
              <w:rPr>
                <w:sz w:val="24"/>
                <w:szCs w:val="24"/>
              </w:rPr>
            </w:pPr>
            <w:r w:rsidRPr="00BA0229">
              <w:rPr>
                <w:sz w:val="24"/>
                <w:szCs w:val="24"/>
              </w:rPr>
              <w:t>0.66 -Restrictions on gatherings between 11-100 people</w:t>
            </w:r>
          </w:p>
          <w:p w14:paraId="356468F3" w14:textId="77777777" w:rsidR="000242BF" w:rsidRPr="00BA0229" w:rsidRDefault="00092FA5">
            <w:pPr>
              <w:widowControl w:val="0"/>
              <w:rPr>
                <w:sz w:val="24"/>
                <w:szCs w:val="24"/>
              </w:rPr>
            </w:pPr>
            <w:r w:rsidRPr="00BA0229">
              <w:rPr>
                <w:sz w:val="24"/>
                <w:szCs w:val="24"/>
              </w:rPr>
              <w:t>1 -Restrictions on gatherings of 10 people or less.</w:t>
            </w:r>
          </w:p>
          <w:p w14:paraId="681B0E10" w14:textId="77777777" w:rsidR="000242BF" w:rsidRPr="00BA0229" w:rsidRDefault="000242BF">
            <w:pPr>
              <w:widowControl w:val="0"/>
              <w:rPr>
                <w:sz w:val="24"/>
                <w:szCs w:val="24"/>
              </w:rPr>
            </w:pPr>
          </w:p>
        </w:tc>
      </w:tr>
      <w:tr w:rsidR="000242BF" w:rsidRPr="00BA0229" w14:paraId="7BB693D6" w14:textId="77777777">
        <w:trPr>
          <w:trHeight w:val="1770"/>
        </w:trPr>
        <w:tc>
          <w:tcPr>
            <w:tcW w:w="2370" w:type="dxa"/>
            <w:tcBorders>
              <w:left w:val="single" w:sz="8" w:space="0" w:color="BFBFBF"/>
              <w:bottom w:val="single" w:sz="8" w:space="0" w:color="BFBFBF"/>
              <w:right w:val="single" w:sz="8" w:space="0" w:color="BFBFBF"/>
            </w:tcBorders>
            <w:tcMar>
              <w:top w:w="100" w:type="dxa"/>
              <w:left w:w="100" w:type="dxa"/>
              <w:bottom w:w="100" w:type="dxa"/>
              <w:right w:w="100" w:type="dxa"/>
            </w:tcMar>
          </w:tcPr>
          <w:p w14:paraId="5E8BF796" w14:textId="77777777" w:rsidR="000242BF" w:rsidRPr="00BA0229" w:rsidRDefault="00092FA5">
            <w:pPr>
              <w:widowControl w:val="0"/>
              <w:rPr>
                <w:sz w:val="24"/>
                <w:szCs w:val="24"/>
              </w:rPr>
            </w:pPr>
            <w:r w:rsidRPr="00BA0229">
              <w:rPr>
                <w:sz w:val="24"/>
                <w:szCs w:val="24"/>
              </w:rPr>
              <w:t>Public transit suspended</w:t>
            </w:r>
          </w:p>
        </w:tc>
        <w:tc>
          <w:tcPr>
            <w:tcW w:w="2520" w:type="dxa"/>
            <w:tcBorders>
              <w:bottom w:val="single" w:sz="8" w:space="0" w:color="BFBFBF"/>
              <w:right w:val="single" w:sz="8" w:space="0" w:color="BFBFBF"/>
            </w:tcBorders>
            <w:tcMar>
              <w:top w:w="100" w:type="dxa"/>
              <w:left w:w="100" w:type="dxa"/>
              <w:bottom w:w="100" w:type="dxa"/>
              <w:right w:w="100" w:type="dxa"/>
            </w:tcMar>
          </w:tcPr>
          <w:p w14:paraId="3AA60D89" w14:textId="77777777" w:rsidR="000242BF" w:rsidRPr="00BA0229" w:rsidRDefault="00092FA5">
            <w:pPr>
              <w:widowControl w:val="0"/>
              <w:rPr>
                <w:sz w:val="24"/>
                <w:szCs w:val="24"/>
              </w:rPr>
            </w:pPr>
            <w:r w:rsidRPr="00BA0229">
              <w:rPr>
                <w:sz w:val="24"/>
                <w:szCs w:val="24"/>
              </w:rPr>
              <w:t>Traffic restrictions, schedules, types, or routes of travel in each department</w:t>
            </w:r>
          </w:p>
          <w:p w14:paraId="0F6204A8" w14:textId="77777777" w:rsidR="000242BF" w:rsidRPr="00BA0229" w:rsidRDefault="000242BF">
            <w:pPr>
              <w:widowControl w:val="0"/>
              <w:rPr>
                <w:sz w:val="24"/>
                <w:szCs w:val="24"/>
              </w:rPr>
            </w:pPr>
          </w:p>
        </w:tc>
        <w:tc>
          <w:tcPr>
            <w:tcW w:w="4605" w:type="dxa"/>
            <w:tcBorders>
              <w:bottom w:val="single" w:sz="8" w:space="0" w:color="BFBFBF"/>
              <w:right w:val="single" w:sz="8" w:space="0" w:color="BFBFBF"/>
            </w:tcBorders>
            <w:tcMar>
              <w:top w:w="100" w:type="dxa"/>
              <w:left w:w="100" w:type="dxa"/>
              <w:bottom w:w="100" w:type="dxa"/>
              <w:right w:w="100" w:type="dxa"/>
            </w:tcMar>
          </w:tcPr>
          <w:p w14:paraId="3E596A3D" w14:textId="77777777" w:rsidR="000242BF" w:rsidRPr="00BA0229" w:rsidRDefault="00092FA5">
            <w:pPr>
              <w:widowControl w:val="0"/>
              <w:rPr>
                <w:sz w:val="24"/>
                <w:szCs w:val="24"/>
              </w:rPr>
            </w:pPr>
            <w:r w:rsidRPr="00BA0229">
              <w:rPr>
                <w:sz w:val="24"/>
                <w:szCs w:val="24"/>
              </w:rPr>
              <w:t>0 -No measures</w:t>
            </w:r>
          </w:p>
          <w:p w14:paraId="074D6B66" w14:textId="77777777" w:rsidR="000242BF" w:rsidRPr="00BA0229" w:rsidRDefault="00092FA5">
            <w:pPr>
              <w:widowControl w:val="0"/>
              <w:rPr>
                <w:sz w:val="24"/>
                <w:szCs w:val="24"/>
              </w:rPr>
            </w:pPr>
            <w:r w:rsidRPr="00BA0229">
              <w:rPr>
                <w:sz w:val="24"/>
                <w:szCs w:val="24"/>
              </w:rPr>
              <w:t>0.33 -Recommended closing</w:t>
            </w:r>
          </w:p>
          <w:p w14:paraId="401DD53D" w14:textId="77777777" w:rsidR="000242BF" w:rsidRPr="00BA0229" w:rsidRDefault="00092FA5">
            <w:pPr>
              <w:widowControl w:val="0"/>
              <w:rPr>
                <w:sz w:val="24"/>
                <w:szCs w:val="24"/>
              </w:rPr>
            </w:pPr>
            <w:r w:rsidRPr="00BA0229">
              <w:rPr>
                <w:sz w:val="24"/>
                <w:szCs w:val="24"/>
              </w:rPr>
              <w:t>0.66 -Significantly reduce volume/route/means of transport available</w:t>
            </w:r>
          </w:p>
          <w:p w14:paraId="538A4CF1" w14:textId="77777777" w:rsidR="000242BF" w:rsidRPr="00BA0229" w:rsidRDefault="00092FA5">
            <w:pPr>
              <w:widowControl w:val="0"/>
              <w:rPr>
                <w:sz w:val="24"/>
                <w:szCs w:val="24"/>
              </w:rPr>
            </w:pPr>
            <w:r w:rsidRPr="00BA0229">
              <w:rPr>
                <w:sz w:val="24"/>
                <w:szCs w:val="24"/>
              </w:rPr>
              <w:t>1 - Require closing (or prohibit most citizens from using it)</w:t>
            </w:r>
          </w:p>
        </w:tc>
      </w:tr>
      <w:tr w:rsidR="000242BF" w:rsidRPr="00BA0229" w14:paraId="4FC42E26" w14:textId="77777777">
        <w:trPr>
          <w:trHeight w:val="1485"/>
        </w:trPr>
        <w:tc>
          <w:tcPr>
            <w:tcW w:w="2370" w:type="dxa"/>
            <w:tcBorders>
              <w:left w:val="single" w:sz="8" w:space="0" w:color="BFBFBF"/>
              <w:bottom w:val="single" w:sz="8" w:space="0" w:color="BFBFBF"/>
              <w:right w:val="single" w:sz="8" w:space="0" w:color="BFBFBF"/>
            </w:tcBorders>
            <w:tcMar>
              <w:top w:w="100" w:type="dxa"/>
              <w:left w:w="100" w:type="dxa"/>
              <w:bottom w:w="100" w:type="dxa"/>
              <w:right w:w="100" w:type="dxa"/>
            </w:tcMar>
          </w:tcPr>
          <w:p w14:paraId="2652743A" w14:textId="77777777" w:rsidR="000242BF" w:rsidRPr="00BA0229" w:rsidRDefault="00092FA5">
            <w:pPr>
              <w:widowControl w:val="0"/>
              <w:rPr>
                <w:sz w:val="24"/>
                <w:szCs w:val="24"/>
              </w:rPr>
            </w:pPr>
            <w:r w:rsidRPr="00BA0229">
              <w:rPr>
                <w:sz w:val="24"/>
                <w:szCs w:val="24"/>
              </w:rPr>
              <w:t>Information campaign</w:t>
            </w:r>
          </w:p>
        </w:tc>
        <w:tc>
          <w:tcPr>
            <w:tcW w:w="2520" w:type="dxa"/>
            <w:tcBorders>
              <w:bottom w:val="single" w:sz="8" w:space="0" w:color="BFBFBF"/>
              <w:right w:val="single" w:sz="8" w:space="0" w:color="BFBFBF"/>
            </w:tcBorders>
            <w:tcMar>
              <w:top w:w="100" w:type="dxa"/>
              <w:left w:w="100" w:type="dxa"/>
              <w:bottom w:w="100" w:type="dxa"/>
              <w:right w:w="100" w:type="dxa"/>
            </w:tcMar>
          </w:tcPr>
          <w:p w14:paraId="444195BC" w14:textId="77777777" w:rsidR="000242BF" w:rsidRPr="00BA0229" w:rsidRDefault="00092FA5">
            <w:pPr>
              <w:widowControl w:val="0"/>
              <w:rPr>
                <w:sz w:val="24"/>
                <w:szCs w:val="24"/>
              </w:rPr>
            </w:pPr>
            <w:r w:rsidRPr="00BA0229">
              <w:rPr>
                <w:sz w:val="24"/>
                <w:szCs w:val="24"/>
              </w:rPr>
              <w:t>Measures to disseminate information on health, contagions, prevention measures, tests, and laws</w:t>
            </w:r>
          </w:p>
          <w:p w14:paraId="231A1DC6" w14:textId="77777777" w:rsidR="000242BF" w:rsidRPr="00BA0229" w:rsidRDefault="000242BF">
            <w:pPr>
              <w:widowControl w:val="0"/>
              <w:rPr>
                <w:sz w:val="24"/>
                <w:szCs w:val="24"/>
              </w:rPr>
            </w:pPr>
          </w:p>
        </w:tc>
        <w:tc>
          <w:tcPr>
            <w:tcW w:w="4605" w:type="dxa"/>
            <w:tcBorders>
              <w:bottom w:val="single" w:sz="8" w:space="0" w:color="BFBFBF"/>
              <w:right w:val="single" w:sz="8" w:space="0" w:color="BFBFBF"/>
            </w:tcBorders>
            <w:tcMar>
              <w:top w:w="100" w:type="dxa"/>
              <w:left w:w="100" w:type="dxa"/>
              <w:bottom w:w="100" w:type="dxa"/>
              <w:right w:w="100" w:type="dxa"/>
            </w:tcMar>
          </w:tcPr>
          <w:p w14:paraId="3BF4EB8E" w14:textId="77777777" w:rsidR="000242BF" w:rsidRPr="00BA0229" w:rsidRDefault="00092FA5">
            <w:pPr>
              <w:widowControl w:val="0"/>
              <w:rPr>
                <w:sz w:val="24"/>
                <w:szCs w:val="24"/>
              </w:rPr>
            </w:pPr>
            <w:r w:rsidRPr="00BA0229">
              <w:rPr>
                <w:sz w:val="24"/>
                <w:szCs w:val="24"/>
              </w:rPr>
              <w:t>0 -No covid-19 public information campaign</w:t>
            </w:r>
          </w:p>
          <w:p w14:paraId="3DFD6A06" w14:textId="77777777" w:rsidR="000242BF" w:rsidRPr="00BA0229" w:rsidRDefault="00092FA5">
            <w:pPr>
              <w:widowControl w:val="0"/>
              <w:rPr>
                <w:sz w:val="24"/>
                <w:szCs w:val="24"/>
              </w:rPr>
            </w:pPr>
            <w:r w:rsidRPr="00BA0229">
              <w:rPr>
                <w:sz w:val="24"/>
                <w:szCs w:val="24"/>
              </w:rPr>
              <w:t>0.5 -Public officials urging caution about covid-19</w:t>
            </w:r>
          </w:p>
          <w:p w14:paraId="3DD92DF0" w14:textId="51BC2280" w:rsidR="000242BF" w:rsidRPr="00BA0229" w:rsidRDefault="00092FA5">
            <w:pPr>
              <w:widowControl w:val="0"/>
              <w:rPr>
                <w:sz w:val="24"/>
                <w:szCs w:val="24"/>
              </w:rPr>
            </w:pPr>
            <w:r w:rsidRPr="00BA0229">
              <w:rPr>
                <w:sz w:val="24"/>
                <w:szCs w:val="24"/>
              </w:rPr>
              <w:t>1 -Coordinated public information campaign (</w:t>
            </w:r>
            <w:proofErr w:type="gramStart"/>
            <w:r w:rsidRPr="00BA0229">
              <w:rPr>
                <w:sz w:val="24"/>
                <w:szCs w:val="24"/>
              </w:rPr>
              <w:t>e.g.</w:t>
            </w:r>
            <w:proofErr w:type="gramEnd"/>
            <w:r w:rsidRPr="00BA0229">
              <w:rPr>
                <w:sz w:val="24"/>
                <w:szCs w:val="24"/>
              </w:rPr>
              <w:t xml:space="preserve"> across traditional and social media)</w:t>
            </w:r>
          </w:p>
        </w:tc>
      </w:tr>
      <w:tr w:rsidR="000242BF" w:rsidRPr="00BA0229" w14:paraId="342A3FF4" w14:textId="77777777">
        <w:trPr>
          <w:trHeight w:val="1215"/>
        </w:trPr>
        <w:tc>
          <w:tcPr>
            <w:tcW w:w="2370" w:type="dxa"/>
            <w:tcBorders>
              <w:left w:val="single" w:sz="8" w:space="0" w:color="BFBFBF"/>
              <w:bottom w:val="single" w:sz="8" w:space="0" w:color="BFBFBF"/>
              <w:right w:val="single" w:sz="8" w:space="0" w:color="BFBFBF"/>
            </w:tcBorders>
            <w:tcMar>
              <w:top w:w="100" w:type="dxa"/>
              <w:left w:w="100" w:type="dxa"/>
              <w:bottom w:w="100" w:type="dxa"/>
              <w:right w:w="100" w:type="dxa"/>
            </w:tcMar>
          </w:tcPr>
          <w:p w14:paraId="342B391A" w14:textId="77777777" w:rsidR="000242BF" w:rsidRPr="00BA0229" w:rsidRDefault="00092FA5">
            <w:pPr>
              <w:widowControl w:val="0"/>
              <w:rPr>
                <w:sz w:val="24"/>
                <w:szCs w:val="24"/>
              </w:rPr>
            </w:pPr>
            <w:r w:rsidRPr="00BA0229">
              <w:rPr>
                <w:sz w:val="24"/>
                <w:szCs w:val="24"/>
              </w:rPr>
              <w:t>Use face masks</w:t>
            </w:r>
          </w:p>
        </w:tc>
        <w:tc>
          <w:tcPr>
            <w:tcW w:w="2520" w:type="dxa"/>
            <w:tcBorders>
              <w:bottom w:val="single" w:sz="8" w:space="0" w:color="BFBFBF"/>
              <w:right w:val="single" w:sz="8" w:space="0" w:color="BFBFBF"/>
            </w:tcBorders>
            <w:tcMar>
              <w:top w:w="100" w:type="dxa"/>
              <w:left w:w="100" w:type="dxa"/>
              <w:bottom w:w="100" w:type="dxa"/>
              <w:right w:w="100" w:type="dxa"/>
            </w:tcMar>
          </w:tcPr>
          <w:p w14:paraId="793A775A" w14:textId="77777777" w:rsidR="000242BF" w:rsidRPr="00BA0229" w:rsidRDefault="00092FA5">
            <w:pPr>
              <w:widowControl w:val="0"/>
              <w:rPr>
                <w:sz w:val="24"/>
                <w:szCs w:val="24"/>
              </w:rPr>
            </w:pPr>
            <w:r w:rsidRPr="00BA0229">
              <w:rPr>
                <w:sz w:val="24"/>
                <w:szCs w:val="24"/>
              </w:rPr>
              <w:t>Use of face coverings</w:t>
            </w:r>
          </w:p>
        </w:tc>
        <w:tc>
          <w:tcPr>
            <w:tcW w:w="4605" w:type="dxa"/>
            <w:tcBorders>
              <w:bottom w:val="single" w:sz="8" w:space="0" w:color="BFBFBF"/>
              <w:right w:val="single" w:sz="8" w:space="0" w:color="BFBFBF"/>
            </w:tcBorders>
            <w:tcMar>
              <w:top w:w="100" w:type="dxa"/>
              <w:left w:w="100" w:type="dxa"/>
              <w:bottom w:w="100" w:type="dxa"/>
              <w:right w:w="100" w:type="dxa"/>
            </w:tcMar>
          </w:tcPr>
          <w:p w14:paraId="5301C0E3" w14:textId="77777777" w:rsidR="000242BF" w:rsidRPr="00BA0229" w:rsidRDefault="00092FA5">
            <w:pPr>
              <w:widowControl w:val="0"/>
              <w:rPr>
                <w:sz w:val="24"/>
                <w:szCs w:val="24"/>
              </w:rPr>
            </w:pPr>
            <w:r w:rsidRPr="00BA0229">
              <w:rPr>
                <w:sz w:val="24"/>
                <w:szCs w:val="24"/>
              </w:rPr>
              <w:t>0 -No measure</w:t>
            </w:r>
          </w:p>
          <w:p w14:paraId="0551B4C9" w14:textId="77777777" w:rsidR="000242BF" w:rsidRPr="00BA0229" w:rsidRDefault="00092FA5">
            <w:pPr>
              <w:widowControl w:val="0"/>
              <w:rPr>
                <w:sz w:val="24"/>
                <w:szCs w:val="24"/>
              </w:rPr>
            </w:pPr>
            <w:r w:rsidRPr="00BA0229">
              <w:rPr>
                <w:sz w:val="24"/>
                <w:szCs w:val="24"/>
              </w:rPr>
              <w:t>0.33 -Recommended</w:t>
            </w:r>
          </w:p>
          <w:p w14:paraId="2A914136" w14:textId="77777777" w:rsidR="000242BF" w:rsidRPr="00BA0229" w:rsidRDefault="00092FA5">
            <w:pPr>
              <w:widowControl w:val="0"/>
              <w:rPr>
                <w:sz w:val="24"/>
                <w:szCs w:val="24"/>
              </w:rPr>
            </w:pPr>
            <w:r w:rsidRPr="00BA0229">
              <w:rPr>
                <w:sz w:val="24"/>
                <w:szCs w:val="24"/>
              </w:rPr>
              <w:t>0.66 -Partial and mandatory</w:t>
            </w:r>
          </w:p>
          <w:p w14:paraId="217F8551" w14:textId="77777777" w:rsidR="000242BF" w:rsidRPr="00BA0229" w:rsidRDefault="00092FA5">
            <w:pPr>
              <w:widowControl w:val="0"/>
              <w:rPr>
                <w:sz w:val="24"/>
                <w:szCs w:val="24"/>
              </w:rPr>
            </w:pPr>
            <w:r w:rsidRPr="00BA0229">
              <w:rPr>
                <w:sz w:val="24"/>
                <w:szCs w:val="24"/>
              </w:rPr>
              <w:t>1 -total/mandatory implementation</w:t>
            </w:r>
          </w:p>
        </w:tc>
      </w:tr>
      <w:tr w:rsidR="000242BF" w:rsidRPr="00BA0229" w14:paraId="39A4C12D" w14:textId="77777777">
        <w:trPr>
          <w:trHeight w:val="1560"/>
        </w:trPr>
        <w:tc>
          <w:tcPr>
            <w:tcW w:w="2370" w:type="dxa"/>
            <w:tcBorders>
              <w:left w:val="single" w:sz="8" w:space="0" w:color="BFBFBF"/>
              <w:bottom w:val="single" w:sz="8" w:space="0" w:color="BFBFBF"/>
              <w:right w:val="single" w:sz="8" w:space="0" w:color="BFBFBF"/>
            </w:tcBorders>
            <w:tcMar>
              <w:top w:w="100" w:type="dxa"/>
              <w:left w:w="100" w:type="dxa"/>
              <w:bottom w:w="100" w:type="dxa"/>
              <w:right w:w="100" w:type="dxa"/>
            </w:tcMar>
          </w:tcPr>
          <w:p w14:paraId="53E45113" w14:textId="77777777" w:rsidR="000242BF" w:rsidRPr="00BA0229" w:rsidRDefault="00092FA5">
            <w:pPr>
              <w:widowControl w:val="0"/>
              <w:rPr>
                <w:sz w:val="24"/>
                <w:szCs w:val="24"/>
              </w:rPr>
            </w:pPr>
            <w:r w:rsidRPr="00BA0229">
              <w:rPr>
                <w:sz w:val="24"/>
                <w:szCs w:val="24"/>
              </w:rPr>
              <w:t>Internal Travel Control</w:t>
            </w:r>
          </w:p>
        </w:tc>
        <w:tc>
          <w:tcPr>
            <w:tcW w:w="2520" w:type="dxa"/>
            <w:tcBorders>
              <w:bottom w:val="single" w:sz="8" w:space="0" w:color="BFBFBF"/>
              <w:right w:val="single" w:sz="8" w:space="0" w:color="BFBFBF"/>
            </w:tcBorders>
            <w:tcMar>
              <w:top w:w="100" w:type="dxa"/>
              <w:left w:w="100" w:type="dxa"/>
              <w:bottom w:w="100" w:type="dxa"/>
              <w:right w:w="100" w:type="dxa"/>
            </w:tcMar>
          </w:tcPr>
          <w:p w14:paraId="79073325" w14:textId="77777777" w:rsidR="000242BF" w:rsidRPr="00BA0229" w:rsidRDefault="00092FA5">
            <w:pPr>
              <w:widowControl w:val="0"/>
              <w:rPr>
                <w:sz w:val="24"/>
                <w:szCs w:val="24"/>
              </w:rPr>
            </w:pPr>
            <w:r w:rsidRPr="00BA0229">
              <w:rPr>
                <w:sz w:val="24"/>
                <w:szCs w:val="24"/>
              </w:rPr>
              <w:t>Traffic restrictions, schedules, types, or routes of travel within each department</w:t>
            </w:r>
          </w:p>
          <w:p w14:paraId="24420C34" w14:textId="77777777" w:rsidR="000242BF" w:rsidRPr="00BA0229" w:rsidRDefault="000242BF">
            <w:pPr>
              <w:widowControl w:val="0"/>
              <w:rPr>
                <w:sz w:val="24"/>
                <w:szCs w:val="24"/>
              </w:rPr>
            </w:pPr>
          </w:p>
        </w:tc>
        <w:tc>
          <w:tcPr>
            <w:tcW w:w="4605" w:type="dxa"/>
            <w:tcBorders>
              <w:bottom w:val="single" w:sz="8" w:space="0" w:color="BFBFBF"/>
              <w:right w:val="single" w:sz="8" w:space="0" w:color="BFBFBF"/>
            </w:tcBorders>
            <w:tcMar>
              <w:top w:w="100" w:type="dxa"/>
              <w:left w:w="100" w:type="dxa"/>
              <w:bottom w:w="100" w:type="dxa"/>
              <w:right w:w="100" w:type="dxa"/>
            </w:tcMar>
          </w:tcPr>
          <w:p w14:paraId="14DAE0D0" w14:textId="77777777" w:rsidR="000242BF" w:rsidRPr="00BA0229" w:rsidRDefault="00092FA5">
            <w:pPr>
              <w:widowControl w:val="0"/>
              <w:rPr>
                <w:sz w:val="24"/>
                <w:szCs w:val="24"/>
              </w:rPr>
            </w:pPr>
            <w:r w:rsidRPr="00BA0229">
              <w:rPr>
                <w:sz w:val="24"/>
                <w:szCs w:val="24"/>
              </w:rPr>
              <w:t>0 -No measures</w:t>
            </w:r>
          </w:p>
          <w:p w14:paraId="2BEF4EB3" w14:textId="77777777" w:rsidR="000242BF" w:rsidRPr="00BA0229" w:rsidRDefault="00092FA5">
            <w:pPr>
              <w:widowControl w:val="0"/>
              <w:rPr>
                <w:sz w:val="24"/>
                <w:szCs w:val="24"/>
              </w:rPr>
            </w:pPr>
            <w:r w:rsidRPr="00BA0229">
              <w:rPr>
                <w:sz w:val="24"/>
                <w:szCs w:val="24"/>
              </w:rPr>
              <w:t>0.33 -Recommend not to travel between regions/cities</w:t>
            </w:r>
          </w:p>
          <w:p w14:paraId="16AAF947" w14:textId="77777777" w:rsidR="000242BF" w:rsidRPr="00BA0229" w:rsidRDefault="00092FA5">
            <w:pPr>
              <w:widowControl w:val="0"/>
              <w:rPr>
                <w:sz w:val="24"/>
                <w:szCs w:val="24"/>
              </w:rPr>
            </w:pPr>
            <w:r w:rsidRPr="00BA0229">
              <w:rPr>
                <w:sz w:val="24"/>
                <w:szCs w:val="24"/>
              </w:rPr>
              <w:t>0.66 -Relaxed moving restrictions</w:t>
            </w:r>
          </w:p>
          <w:p w14:paraId="3829E0E0" w14:textId="77777777" w:rsidR="000242BF" w:rsidRPr="00BA0229" w:rsidRDefault="00092FA5">
            <w:pPr>
              <w:widowControl w:val="0"/>
              <w:rPr>
                <w:sz w:val="24"/>
                <w:szCs w:val="24"/>
              </w:rPr>
            </w:pPr>
            <w:r w:rsidRPr="00BA0229">
              <w:rPr>
                <w:sz w:val="24"/>
                <w:szCs w:val="24"/>
              </w:rPr>
              <w:t>1 -Internal moving restrictions in place</w:t>
            </w:r>
          </w:p>
        </w:tc>
      </w:tr>
      <w:tr w:rsidR="000242BF" w:rsidRPr="00BA0229" w14:paraId="0FEC2B84" w14:textId="77777777">
        <w:trPr>
          <w:trHeight w:val="1335"/>
        </w:trPr>
        <w:tc>
          <w:tcPr>
            <w:tcW w:w="2370" w:type="dxa"/>
            <w:tcBorders>
              <w:left w:val="single" w:sz="8" w:space="0" w:color="BFBFBF"/>
              <w:bottom w:val="single" w:sz="8" w:space="0" w:color="BFBFBF"/>
              <w:right w:val="single" w:sz="8" w:space="0" w:color="BFBFBF"/>
            </w:tcBorders>
            <w:tcMar>
              <w:top w:w="100" w:type="dxa"/>
              <w:left w:w="100" w:type="dxa"/>
              <w:bottom w:w="100" w:type="dxa"/>
              <w:right w:w="100" w:type="dxa"/>
            </w:tcMar>
          </w:tcPr>
          <w:p w14:paraId="00939FFC" w14:textId="77777777" w:rsidR="000242BF" w:rsidRPr="00BA0229" w:rsidRDefault="00092FA5">
            <w:pPr>
              <w:widowControl w:val="0"/>
              <w:rPr>
                <w:sz w:val="24"/>
                <w:szCs w:val="24"/>
              </w:rPr>
            </w:pPr>
            <w:r w:rsidRPr="00BA0229">
              <w:rPr>
                <w:sz w:val="24"/>
                <w:szCs w:val="24"/>
              </w:rPr>
              <w:t>International Ban</w:t>
            </w:r>
          </w:p>
        </w:tc>
        <w:tc>
          <w:tcPr>
            <w:tcW w:w="2520" w:type="dxa"/>
            <w:tcBorders>
              <w:bottom w:val="single" w:sz="8" w:space="0" w:color="BFBFBF"/>
              <w:right w:val="single" w:sz="8" w:space="0" w:color="BFBFBF"/>
            </w:tcBorders>
            <w:tcMar>
              <w:top w:w="100" w:type="dxa"/>
              <w:left w:w="100" w:type="dxa"/>
              <w:bottom w:w="100" w:type="dxa"/>
              <w:right w:w="100" w:type="dxa"/>
            </w:tcMar>
          </w:tcPr>
          <w:p w14:paraId="3A6D48B6" w14:textId="77777777" w:rsidR="000242BF" w:rsidRPr="00BA0229" w:rsidRDefault="00092FA5">
            <w:pPr>
              <w:widowControl w:val="0"/>
              <w:rPr>
                <w:sz w:val="24"/>
                <w:szCs w:val="24"/>
              </w:rPr>
            </w:pPr>
            <w:r w:rsidRPr="00BA0229">
              <w:rPr>
                <w:sz w:val="24"/>
                <w:szCs w:val="24"/>
              </w:rPr>
              <w:t>Movement restrictions on international travel including air, land, water</w:t>
            </w:r>
          </w:p>
          <w:p w14:paraId="0D8B3082" w14:textId="77777777" w:rsidR="000242BF" w:rsidRPr="00BA0229" w:rsidRDefault="000242BF">
            <w:pPr>
              <w:widowControl w:val="0"/>
              <w:rPr>
                <w:sz w:val="24"/>
                <w:szCs w:val="24"/>
              </w:rPr>
            </w:pPr>
          </w:p>
        </w:tc>
        <w:tc>
          <w:tcPr>
            <w:tcW w:w="4605" w:type="dxa"/>
            <w:tcBorders>
              <w:bottom w:val="single" w:sz="8" w:space="0" w:color="BFBFBF"/>
              <w:right w:val="single" w:sz="8" w:space="0" w:color="BFBFBF"/>
            </w:tcBorders>
            <w:tcMar>
              <w:top w:w="100" w:type="dxa"/>
              <w:left w:w="100" w:type="dxa"/>
              <w:bottom w:w="100" w:type="dxa"/>
              <w:right w:w="100" w:type="dxa"/>
            </w:tcMar>
          </w:tcPr>
          <w:p w14:paraId="2FD0A79F" w14:textId="77777777" w:rsidR="000242BF" w:rsidRPr="00BA0229" w:rsidRDefault="00092FA5">
            <w:pPr>
              <w:widowControl w:val="0"/>
              <w:rPr>
                <w:sz w:val="24"/>
                <w:szCs w:val="24"/>
              </w:rPr>
            </w:pPr>
            <w:r w:rsidRPr="00BA0229">
              <w:rPr>
                <w:sz w:val="24"/>
                <w:szCs w:val="24"/>
              </w:rPr>
              <w:t>0 -No measure</w:t>
            </w:r>
          </w:p>
          <w:p w14:paraId="72BB41AB" w14:textId="77777777" w:rsidR="000242BF" w:rsidRPr="00BA0229" w:rsidRDefault="00092FA5">
            <w:pPr>
              <w:widowControl w:val="0"/>
              <w:rPr>
                <w:sz w:val="24"/>
                <w:szCs w:val="24"/>
              </w:rPr>
            </w:pPr>
            <w:r w:rsidRPr="00BA0229">
              <w:rPr>
                <w:sz w:val="24"/>
                <w:szCs w:val="24"/>
              </w:rPr>
              <w:t>0.33 -Quarantine arrivals from high-risk regions</w:t>
            </w:r>
          </w:p>
          <w:p w14:paraId="14D34532" w14:textId="77777777" w:rsidR="000242BF" w:rsidRPr="00BA0229" w:rsidRDefault="00092FA5">
            <w:pPr>
              <w:widowControl w:val="0"/>
              <w:rPr>
                <w:sz w:val="24"/>
                <w:szCs w:val="24"/>
              </w:rPr>
            </w:pPr>
            <w:r w:rsidRPr="00BA0229">
              <w:rPr>
                <w:sz w:val="24"/>
                <w:szCs w:val="24"/>
              </w:rPr>
              <w:t>0.66 Ban on arrivals from some regions</w:t>
            </w:r>
          </w:p>
          <w:p w14:paraId="08123D40" w14:textId="77777777" w:rsidR="000242BF" w:rsidRPr="00BA0229" w:rsidRDefault="00092FA5">
            <w:pPr>
              <w:widowControl w:val="0"/>
              <w:rPr>
                <w:sz w:val="24"/>
                <w:szCs w:val="24"/>
              </w:rPr>
            </w:pPr>
            <w:r w:rsidRPr="00BA0229">
              <w:rPr>
                <w:sz w:val="24"/>
                <w:szCs w:val="24"/>
              </w:rPr>
              <w:t>1-Ban on all regions or total border closure</w:t>
            </w:r>
          </w:p>
          <w:p w14:paraId="3EC46890" w14:textId="77777777" w:rsidR="000242BF" w:rsidRPr="00BA0229" w:rsidRDefault="000242BF">
            <w:pPr>
              <w:widowControl w:val="0"/>
              <w:rPr>
                <w:sz w:val="24"/>
                <w:szCs w:val="24"/>
              </w:rPr>
            </w:pPr>
          </w:p>
        </w:tc>
      </w:tr>
    </w:tbl>
    <w:p w14:paraId="724E1A34" w14:textId="77777777" w:rsidR="000242BF" w:rsidRPr="00BA0229" w:rsidRDefault="000242BF">
      <w:pPr>
        <w:widowControl w:val="0"/>
        <w:spacing w:before="240" w:after="240"/>
        <w:ind w:left="0"/>
        <w:rPr>
          <w:sz w:val="24"/>
          <w:szCs w:val="24"/>
        </w:rPr>
      </w:pPr>
    </w:p>
    <w:p w14:paraId="39502006" w14:textId="77777777" w:rsidR="000242BF" w:rsidRPr="00BA0229" w:rsidRDefault="00092FA5">
      <w:pPr>
        <w:widowControl w:val="0"/>
        <w:spacing w:before="240" w:after="240"/>
        <w:ind w:left="0"/>
        <w:rPr>
          <w:sz w:val="24"/>
          <w:szCs w:val="24"/>
        </w:rPr>
      </w:pPr>
      <w:r w:rsidRPr="00BA0229">
        <w:rPr>
          <w:sz w:val="24"/>
          <w:szCs w:val="24"/>
        </w:rPr>
        <w:t xml:space="preserve">To measure the government's response and compare the measures in each department, we </w:t>
      </w:r>
      <w:r w:rsidRPr="00BA0229">
        <w:rPr>
          <w:sz w:val="24"/>
          <w:szCs w:val="24"/>
        </w:rPr>
        <w:lastRenderedPageBreak/>
        <w:t>combined these 10 variables in an index developed in conjunction with teams at Oxford University and the Observatory for the Containment of COVID-19 in the Americas at the University of Miami (Hale et al 2020; Knaul et al 2020). We take into account the time that has passed since the implementation of each measure (Knaul et al 2020):</w:t>
      </w:r>
    </w:p>
    <w:p w14:paraId="51E945A5" w14:textId="77777777" w:rsidR="000242BF" w:rsidRPr="00BA0229" w:rsidRDefault="00A111B9">
      <w:pPr>
        <w:spacing w:line="360" w:lineRule="auto"/>
        <w:ind w:left="0"/>
        <w:jc w:val="center"/>
        <w:rPr>
          <w:sz w:val="24"/>
          <w:szCs w:val="24"/>
        </w:rPr>
      </w:pPr>
      <m:oMathPara>
        <m:oMath>
          <m:sSub>
            <m:sSubPr>
              <m:ctrlPr>
                <w:rPr>
                  <w:rFonts w:ascii="Cambria Math" w:hAnsi="Cambria Math"/>
                  <w:sz w:val="24"/>
                  <w:szCs w:val="24"/>
                </w:rPr>
              </m:ctrlPr>
            </m:sSubPr>
            <m:e>
              <m:r>
                <w:rPr>
                  <w:rFonts w:ascii="Cambria Math" w:hAnsi="Cambria Math"/>
                  <w:sz w:val="24"/>
                  <w:szCs w:val="24"/>
                </w:rPr>
                <m:t>IPP</m:t>
              </m:r>
            </m:e>
            <m:sub>
              <m:r>
                <w:rPr>
                  <w:rFonts w:ascii="Cambria Math" w:hAnsi="Cambria Math"/>
                  <w:sz w:val="24"/>
                  <w:szCs w:val="24"/>
                </w:rPr>
                <m:t>it</m:t>
              </m:r>
            </m:sub>
          </m:sSub>
          <m:r>
            <w:rPr>
              <w:rFonts w:ascii="Cambria Math" w:hAnsi="Cambria Math"/>
              <w:sz w:val="24"/>
              <w:szCs w:val="24"/>
            </w:rPr>
            <m:t xml:space="preserve"> =100 * </m:t>
          </m:r>
          <m:f>
            <m:fPr>
              <m:ctrlPr>
                <w:rPr>
                  <w:rFonts w:ascii="Cambria Math" w:hAnsi="Cambria Math"/>
                  <w:sz w:val="24"/>
                  <w:szCs w:val="24"/>
                </w:rPr>
              </m:ctrlPr>
            </m:fPr>
            <m:num>
              <m:d>
                <m:dPr>
                  <m:begChr m:val="["/>
                  <m:endChr m:val="]"/>
                  <m:ctrlPr>
                    <w:rPr>
                      <w:rFonts w:ascii="Cambria Math" w:hAnsi="Cambria Math"/>
                      <w:sz w:val="24"/>
                      <w:szCs w:val="24"/>
                    </w:rPr>
                  </m:ctrlPr>
                </m:dPr>
                <m:e>
                  <m:nary>
                    <m:naryPr>
                      <m:chr m:val="∑"/>
                      <m:ctrlPr>
                        <w:rPr>
                          <w:rFonts w:ascii="Cambria Math" w:hAnsi="Cambria Math"/>
                          <w:sz w:val="24"/>
                          <w:szCs w:val="24"/>
                        </w:rPr>
                      </m:ctrlPr>
                    </m:naryPr>
                    <m:sub>
                      <m:r>
                        <w:rPr>
                          <w:rFonts w:ascii="Cambria Math" w:hAnsi="Cambria Math"/>
                          <w:sz w:val="24"/>
                          <w:szCs w:val="24"/>
                        </w:rPr>
                        <m:t>j=1</m:t>
                      </m:r>
                    </m:sub>
                    <m:sup>
                      <m:r>
                        <w:rPr>
                          <w:rFonts w:ascii="Cambria Math" w:hAnsi="Cambria Math"/>
                          <w:sz w:val="24"/>
                          <w:szCs w:val="24"/>
                        </w:rPr>
                        <m:t>n</m:t>
                      </m:r>
                    </m:sup>
                    <m:e/>
                  </m:nary>
                  <m:sSub>
                    <m:sSubPr>
                      <m:ctrlPr>
                        <w:rPr>
                          <w:rFonts w:ascii="Cambria Math" w:hAnsi="Cambria Math"/>
                          <w:sz w:val="24"/>
                          <w:szCs w:val="24"/>
                        </w:rPr>
                      </m:ctrlPr>
                    </m:sSubPr>
                    <m:e>
                      <m:r>
                        <w:rPr>
                          <w:rFonts w:ascii="Cambria Math" w:hAnsi="Cambria Math"/>
                          <w:sz w:val="24"/>
                          <w:szCs w:val="24"/>
                        </w:rPr>
                        <m:t>I</m:t>
                      </m:r>
                    </m:e>
                    <m:sub>
                      <m:r>
                        <w:rPr>
                          <w:rFonts w:ascii="Cambria Math" w:hAnsi="Cambria Math"/>
                          <w:sz w:val="24"/>
                          <w:szCs w:val="24"/>
                        </w:rPr>
                        <m:t>jt</m:t>
                      </m:r>
                    </m:sub>
                  </m:sSub>
                  <m:d>
                    <m:dPr>
                      <m:ctrlPr>
                        <w:rPr>
                          <w:rFonts w:ascii="Cambria Math" w:hAnsi="Cambria Math"/>
                          <w:sz w:val="24"/>
                          <w:szCs w:val="24"/>
                        </w:rPr>
                      </m:ctrlPr>
                    </m:dPr>
                    <m:e>
                      <m:sSup>
                        <m:sSupPr>
                          <m:ctrlPr>
                            <w:rPr>
                              <w:rFonts w:ascii="Cambria Math" w:hAnsi="Cambria Math"/>
                              <w:sz w:val="24"/>
                              <w:szCs w:val="24"/>
                            </w:rPr>
                          </m:ctrlPr>
                        </m:sSupPr>
                        <m:e>
                          <m:d>
                            <m:dPr>
                              <m:begChr m:val="["/>
                              <m:endChr m:val="]"/>
                              <m:ctrlPr>
                                <w:rPr>
                                  <w:rFonts w:ascii="Cambria Math" w:hAnsi="Cambria Math"/>
                                  <w:sz w:val="24"/>
                                  <w:szCs w:val="24"/>
                                </w:rPr>
                              </m:ctrlPr>
                            </m:dPr>
                            <m:e>
                              <m:f>
                                <m:fPr>
                                  <m:ctrlPr>
                                    <w:rPr>
                                      <w:rFonts w:ascii="Cambria Math" w:hAnsi="Cambria Math"/>
                                      <w:sz w:val="24"/>
                                      <w:szCs w:val="24"/>
                                    </w:rPr>
                                  </m:ctrlPr>
                                </m:fPr>
                                <m:num>
                                  <m:r>
                                    <w:rPr>
                                      <w:rFonts w:ascii="Cambria Math" w:hAnsi="Cambria Math"/>
                                      <w:sz w:val="24"/>
                                      <w:szCs w:val="24"/>
                                    </w:rPr>
                                    <m:t>djt</m:t>
                                  </m:r>
                                </m:num>
                                <m:den>
                                  <m:r>
                                    <w:rPr>
                                      <w:rFonts w:ascii="Cambria Math" w:hAnsi="Cambria Math"/>
                                      <w:sz w:val="24"/>
                                      <w:szCs w:val="24"/>
                                    </w:rPr>
                                    <m:t>Dt</m:t>
                                  </m:r>
                                </m:den>
                              </m:f>
                            </m:e>
                          </m:d>
                        </m:e>
                        <m:sup>
                          <m:r>
                            <w:rPr>
                              <w:rFonts w:ascii="Cambria Math" w:hAnsi="Cambria Math"/>
                              <w:sz w:val="24"/>
                              <w:szCs w:val="24"/>
                            </w:rPr>
                            <m:t>.5</m:t>
                          </m:r>
                        </m:sup>
                      </m:sSup>
                    </m:e>
                  </m:d>
                </m:e>
              </m:d>
            </m:num>
            <m:den>
              <m:r>
                <w:rPr>
                  <w:rFonts w:ascii="Cambria Math" w:hAnsi="Cambria Math"/>
                  <w:sz w:val="24"/>
                  <w:szCs w:val="24"/>
                </w:rPr>
                <m:t>10</m:t>
              </m:r>
            </m:den>
          </m:f>
        </m:oMath>
      </m:oMathPara>
    </w:p>
    <w:p w14:paraId="7D219F02" w14:textId="77777777" w:rsidR="000242BF" w:rsidRPr="00BA0229" w:rsidRDefault="00092FA5">
      <w:pPr>
        <w:spacing w:line="360" w:lineRule="auto"/>
        <w:ind w:left="0"/>
        <w:rPr>
          <w:sz w:val="24"/>
          <w:szCs w:val="24"/>
        </w:rPr>
      </w:pPr>
      <w:r w:rsidRPr="00BA0229">
        <w:rPr>
          <w:sz w:val="24"/>
          <w:szCs w:val="24"/>
        </w:rPr>
        <w:t>Where:</w:t>
      </w:r>
    </w:p>
    <w:p w14:paraId="0DDE084A" w14:textId="77777777" w:rsidR="000242BF" w:rsidRPr="00BA0229" w:rsidRDefault="00092FA5">
      <w:pPr>
        <w:spacing w:line="360" w:lineRule="auto"/>
        <w:ind w:left="0"/>
        <w:rPr>
          <w:sz w:val="24"/>
          <w:szCs w:val="24"/>
        </w:rPr>
      </w:pPr>
      <m:oMath>
        <m:r>
          <w:rPr>
            <w:rFonts w:ascii="Cambria Math" w:hAnsi="Cambria Math"/>
            <w:sz w:val="24"/>
            <w:szCs w:val="24"/>
          </w:rPr>
          <m:t>IP</m:t>
        </m:r>
        <m:sSub>
          <m:sSubPr>
            <m:ctrlPr>
              <w:rPr>
                <w:rFonts w:ascii="Cambria Math" w:hAnsi="Cambria Math"/>
                <w:sz w:val="24"/>
                <w:szCs w:val="24"/>
              </w:rPr>
            </m:ctrlPr>
          </m:sSubPr>
          <m:e>
            <m:r>
              <w:rPr>
                <w:rFonts w:ascii="Cambria Math" w:hAnsi="Cambria Math"/>
                <w:sz w:val="24"/>
                <w:szCs w:val="24"/>
              </w:rPr>
              <m:t>P</m:t>
            </m:r>
          </m:e>
          <m:sub>
            <m:r>
              <w:rPr>
                <w:rFonts w:ascii="Cambria Math" w:hAnsi="Cambria Math"/>
                <w:sz w:val="24"/>
                <w:szCs w:val="24"/>
              </w:rPr>
              <m:t>it</m:t>
            </m:r>
          </m:sub>
        </m:sSub>
      </m:oMath>
      <w:r w:rsidRPr="00BA0229">
        <w:rPr>
          <w:sz w:val="24"/>
          <w:szCs w:val="24"/>
        </w:rPr>
        <w:t xml:space="preserve"> = index of public policy adoption in the country/department </w:t>
      </w:r>
      <m:oMath>
        <m:r>
          <w:rPr>
            <w:rFonts w:ascii="Cambria Math" w:hAnsi="Cambria Math"/>
            <w:sz w:val="24"/>
            <w:szCs w:val="24"/>
          </w:rPr>
          <m:t>I</m:t>
        </m:r>
      </m:oMath>
      <w:r w:rsidRPr="00BA0229">
        <w:rPr>
          <w:sz w:val="24"/>
          <w:szCs w:val="24"/>
        </w:rPr>
        <w:t xml:space="preserve">at time </w:t>
      </w:r>
      <m:oMath>
        <m:r>
          <w:rPr>
            <w:rFonts w:ascii="Cambria Math" w:hAnsi="Cambria Math"/>
            <w:sz w:val="24"/>
            <w:szCs w:val="24"/>
          </w:rPr>
          <m:t>t.</m:t>
        </m:r>
      </m:oMath>
    </w:p>
    <w:p w14:paraId="19F0BC67" w14:textId="77777777" w:rsidR="000242BF" w:rsidRPr="00BA0229" w:rsidRDefault="00A111B9">
      <w:pPr>
        <w:spacing w:line="360" w:lineRule="auto"/>
        <w:ind w:left="0"/>
        <w:rPr>
          <w:sz w:val="24"/>
          <w:szCs w:val="24"/>
        </w:rPr>
      </w:pPr>
      <m:oMath>
        <m:sSub>
          <m:sSubPr>
            <m:ctrlPr>
              <w:rPr>
                <w:rFonts w:ascii="Cambria Math" w:hAnsi="Cambria Math"/>
                <w:sz w:val="24"/>
                <w:szCs w:val="24"/>
              </w:rPr>
            </m:ctrlPr>
          </m:sSubPr>
          <m:e>
            <m:r>
              <w:rPr>
                <w:rFonts w:ascii="Cambria Math" w:hAnsi="Cambria Math"/>
                <w:sz w:val="24"/>
                <w:szCs w:val="24"/>
              </w:rPr>
              <m:t>I</m:t>
            </m:r>
          </m:e>
          <m:sub>
            <m:r>
              <w:rPr>
                <w:rFonts w:ascii="Cambria Math" w:hAnsi="Cambria Math"/>
                <w:sz w:val="24"/>
                <w:szCs w:val="24"/>
              </w:rPr>
              <m:t>j</m:t>
            </m:r>
          </m:sub>
        </m:sSub>
      </m:oMath>
      <w:r w:rsidR="00092FA5" w:rsidRPr="00BA0229">
        <w:rPr>
          <w:sz w:val="24"/>
          <w:szCs w:val="24"/>
        </w:rPr>
        <w:t xml:space="preserve"> </w:t>
      </w:r>
      <w:proofErr w:type="gramStart"/>
      <w:r w:rsidR="00092FA5" w:rsidRPr="00BA0229">
        <w:rPr>
          <w:sz w:val="24"/>
          <w:szCs w:val="24"/>
        </w:rPr>
        <w:t>=  index</w:t>
      </w:r>
      <w:proofErr w:type="gramEnd"/>
      <w:r w:rsidR="00092FA5" w:rsidRPr="00BA0229">
        <w:rPr>
          <w:sz w:val="24"/>
          <w:szCs w:val="24"/>
        </w:rPr>
        <w:t xml:space="preserve"> </w:t>
      </w:r>
      <m:oMath>
        <m:r>
          <w:rPr>
            <w:rFonts w:ascii="Cambria Math" w:hAnsi="Cambria Math"/>
            <w:sz w:val="24"/>
            <w:szCs w:val="24"/>
          </w:rPr>
          <m:t>j</m:t>
        </m:r>
      </m:oMath>
      <w:r w:rsidR="00092FA5" w:rsidRPr="00BA0229">
        <w:rPr>
          <w:sz w:val="24"/>
          <w:szCs w:val="24"/>
        </w:rPr>
        <w:t>of public policy, where</w:t>
      </w:r>
      <m:oMath>
        <m:r>
          <w:rPr>
            <w:rFonts w:ascii="Cambria Math" w:hAnsi="Cambria Math"/>
            <w:sz w:val="24"/>
            <w:szCs w:val="24"/>
          </w:rPr>
          <m:t>j</m:t>
        </m:r>
      </m:oMath>
      <w:r w:rsidR="00092FA5" w:rsidRPr="00BA0229">
        <w:rPr>
          <w:sz w:val="24"/>
          <w:szCs w:val="24"/>
        </w:rPr>
        <w:t xml:space="preserve">goes from 1 to </w:t>
      </w:r>
      <m:oMath>
        <m:r>
          <w:rPr>
            <w:rFonts w:ascii="Cambria Math" w:hAnsi="Cambria Math"/>
            <w:sz w:val="24"/>
            <w:szCs w:val="24"/>
          </w:rPr>
          <m:t xml:space="preserve">n=10. </m:t>
        </m:r>
      </m:oMath>
    </w:p>
    <w:p w14:paraId="437873C4" w14:textId="77777777" w:rsidR="000242BF" w:rsidRPr="00BA0229" w:rsidRDefault="00092FA5">
      <w:pPr>
        <w:spacing w:line="360" w:lineRule="auto"/>
        <w:ind w:left="0"/>
        <w:rPr>
          <w:sz w:val="24"/>
          <w:szCs w:val="24"/>
        </w:rPr>
      </w:pPr>
      <m:oMath>
        <m:r>
          <w:rPr>
            <w:rFonts w:ascii="Cambria Math" w:hAnsi="Cambria Math"/>
            <w:sz w:val="24"/>
            <w:szCs w:val="24"/>
          </w:rPr>
          <m:t>Dt</m:t>
        </m:r>
      </m:oMath>
      <w:r w:rsidRPr="00BA0229">
        <w:rPr>
          <w:sz w:val="24"/>
          <w:szCs w:val="24"/>
        </w:rPr>
        <w:t xml:space="preserve"> = Days since first reported case until time</w:t>
      </w:r>
      <m:oMath>
        <m:r>
          <w:rPr>
            <w:rFonts w:ascii="Cambria Math" w:hAnsi="Cambria Math"/>
            <w:sz w:val="24"/>
            <w:szCs w:val="24"/>
          </w:rPr>
          <m:t>t.</m:t>
        </m:r>
      </m:oMath>
    </w:p>
    <w:p w14:paraId="7EFDF074" w14:textId="77777777" w:rsidR="000242BF" w:rsidRPr="00BA0229" w:rsidRDefault="00092FA5">
      <w:pPr>
        <w:spacing w:line="360" w:lineRule="auto"/>
        <w:ind w:left="0"/>
        <w:rPr>
          <w:sz w:val="24"/>
          <w:szCs w:val="24"/>
        </w:rPr>
      </w:pPr>
      <m:oMath>
        <m:r>
          <w:rPr>
            <w:rFonts w:ascii="Cambria Math" w:hAnsi="Cambria Math"/>
            <w:sz w:val="24"/>
            <w:szCs w:val="24"/>
          </w:rPr>
          <m:t>dt</m:t>
        </m:r>
      </m:oMath>
      <w:r w:rsidRPr="00BA0229">
        <w:rPr>
          <w:sz w:val="24"/>
          <w:szCs w:val="24"/>
        </w:rPr>
        <w:t>= Days since implementation of public policy</w:t>
      </w:r>
      <m:oMath>
        <m:r>
          <w:rPr>
            <w:rFonts w:ascii="Cambria Math" w:hAnsi="Cambria Math"/>
            <w:sz w:val="24"/>
            <w:szCs w:val="24"/>
          </w:rPr>
          <m:t>j</m:t>
        </m:r>
      </m:oMath>
      <w:r w:rsidRPr="00BA0229">
        <w:rPr>
          <w:sz w:val="24"/>
          <w:szCs w:val="24"/>
        </w:rPr>
        <w:t>until time</w:t>
      </w:r>
      <m:oMath>
        <m:r>
          <w:rPr>
            <w:rFonts w:ascii="Cambria Math" w:hAnsi="Cambria Math"/>
            <w:sz w:val="24"/>
            <w:szCs w:val="24"/>
          </w:rPr>
          <m:t>t.</m:t>
        </m:r>
      </m:oMath>
    </w:p>
    <w:p w14:paraId="6EFE9291" w14:textId="291ED9DD" w:rsidR="000242BF" w:rsidRPr="00BA0229" w:rsidRDefault="00092FA5">
      <w:pPr>
        <w:widowControl w:val="0"/>
        <w:spacing w:before="240" w:after="240"/>
        <w:ind w:left="0"/>
        <w:rPr>
          <w:sz w:val="24"/>
          <w:szCs w:val="24"/>
        </w:rPr>
      </w:pPr>
      <w:r w:rsidRPr="00BA0229">
        <w:rPr>
          <w:sz w:val="24"/>
          <w:szCs w:val="24"/>
        </w:rPr>
        <w:t>The value of</w:t>
      </w:r>
      <w:r w:rsidRPr="00BA0229">
        <w:rPr>
          <w:b/>
          <w:sz w:val="24"/>
          <w:szCs w:val="24"/>
        </w:rPr>
        <w:t xml:space="preserve"> </w:t>
      </w:r>
      <m:oMath>
        <m:sSub>
          <m:sSubPr>
            <m:ctrlPr>
              <w:rPr>
                <w:rFonts w:ascii="Cambria Math" w:hAnsi="Cambria Math"/>
                <w:sz w:val="24"/>
                <w:szCs w:val="24"/>
              </w:rPr>
            </m:ctrlPr>
          </m:sSubPr>
          <m:e>
            <m:r>
              <w:rPr>
                <w:rFonts w:ascii="Cambria Math" w:hAnsi="Cambria Math"/>
                <w:sz w:val="24"/>
                <w:szCs w:val="24"/>
              </w:rPr>
              <m:t>IPP</m:t>
            </m:r>
          </m:e>
          <m:sub>
            <m:r>
              <w:rPr>
                <w:rFonts w:ascii="Cambria Math" w:hAnsi="Cambria Math"/>
                <w:sz w:val="24"/>
                <w:szCs w:val="24"/>
              </w:rPr>
              <m:t>it</m:t>
            </m:r>
          </m:sub>
        </m:sSub>
      </m:oMath>
      <w:r w:rsidRPr="00BA0229">
        <w:rPr>
          <w:sz w:val="24"/>
          <w:szCs w:val="24"/>
        </w:rPr>
        <w:t xml:space="preserve"> is calculated by adding each of the 10 variables adjusted by the day of implementation of each one in relation to the reported first confirmed case. Additionally, it considers or weighs the moment when public policy j is implemented, giving more weight to the first days versus the last.</w:t>
      </w:r>
      <w:r w:rsidR="00BA0229">
        <w:rPr>
          <w:sz w:val="24"/>
          <w:szCs w:val="24"/>
        </w:rPr>
        <w:t xml:space="preserve"> </w:t>
      </w:r>
      <w:r w:rsidRPr="00BA0229">
        <w:rPr>
          <w:sz w:val="24"/>
          <w:szCs w:val="24"/>
        </w:rPr>
        <w:t>That is, the index acquires higher values the earlier a certain measure has been implemented, taking as base date the appearance of the first case.</w:t>
      </w:r>
    </w:p>
    <w:p w14:paraId="3749AB67" w14:textId="77777777" w:rsidR="000242BF" w:rsidRPr="00BA0229" w:rsidRDefault="00092FA5">
      <w:pPr>
        <w:widowControl w:val="0"/>
        <w:spacing w:before="240" w:after="240"/>
        <w:ind w:left="0"/>
        <w:rPr>
          <w:sz w:val="24"/>
          <w:szCs w:val="24"/>
        </w:rPr>
      </w:pPr>
      <w:r w:rsidRPr="00BA0229">
        <w:rPr>
          <w:sz w:val="24"/>
          <w:szCs w:val="24"/>
        </w:rPr>
        <w:t xml:space="preserve">In the aggregate, each state </w:t>
      </w:r>
      <w:proofErr w:type="spellStart"/>
      <w:r w:rsidRPr="00BA0229">
        <w:rPr>
          <w:i/>
          <w:sz w:val="24"/>
          <w:szCs w:val="24"/>
        </w:rPr>
        <w:t>i</w:t>
      </w:r>
      <w:proofErr w:type="spellEnd"/>
      <w:r w:rsidRPr="00BA0229">
        <w:rPr>
          <w:sz w:val="24"/>
          <w:szCs w:val="24"/>
        </w:rPr>
        <w:t xml:space="preserve"> receives a daily rating between 0 and 10, which is the sum of the different variables, which is then normalized to 100. Public policy measures that are only a few, are flexible and implemented later produce lower values in the index. </w:t>
      </w:r>
    </w:p>
    <w:p w14:paraId="20416975" w14:textId="77777777" w:rsidR="000242BF" w:rsidRPr="00BA0229" w:rsidRDefault="00092FA5">
      <w:pPr>
        <w:widowControl w:val="0"/>
        <w:spacing w:before="240" w:after="240"/>
        <w:ind w:left="0"/>
        <w:rPr>
          <w:b/>
          <w:sz w:val="24"/>
          <w:szCs w:val="24"/>
        </w:rPr>
      </w:pPr>
      <w:r w:rsidRPr="00BA0229">
        <w:rPr>
          <w:b/>
          <w:sz w:val="24"/>
          <w:szCs w:val="24"/>
        </w:rPr>
        <w:t>Mobility Data</w:t>
      </w:r>
    </w:p>
    <w:p w14:paraId="08777B95" w14:textId="77777777" w:rsidR="000242BF" w:rsidRPr="00BA0229" w:rsidRDefault="00092FA5">
      <w:pPr>
        <w:widowControl w:val="0"/>
        <w:spacing w:before="240" w:after="240"/>
        <w:ind w:left="0"/>
        <w:rPr>
          <w:sz w:val="24"/>
          <w:szCs w:val="24"/>
        </w:rPr>
      </w:pPr>
      <w:r w:rsidRPr="00BA0229">
        <w:rPr>
          <w:sz w:val="24"/>
          <w:szCs w:val="24"/>
        </w:rPr>
        <w:t xml:space="preserve">We collect daily mobility data from Google’s COVID-19 Community Mobility Reports. The mobility data shows the variation that is occurring in the number of visits to certain places (grocery stores, parks, workplace, retails, and transit stops) in each department. The mobility numbers show the change in population mobility during the pandemic compared to usual mobility in the same time period. </w:t>
      </w:r>
    </w:p>
    <w:p w14:paraId="6ACCC0F1" w14:textId="77777777" w:rsidR="000242BF" w:rsidRPr="00BA0229" w:rsidRDefault="00092FA5">
      <w:pPr>
        <w:widowControl w:val="0"/>
        <w:spacing w:before="240" w:after="240"/>
        <w:ind w:left="0"/>
        <w:rPr>
          <w:b/>
          <w:sz w:val="24"/>
          <w:szCs w:val="24"/>
        </w:rPr>
      </w:pPr>
      <w:r w:rsidRPr="00BA0229">
        <w:rPr>
          <w:b/>
          <w:sz w:val="24"/>
          <w:szCs w:val="24"/>
        </w:rPr>
        <w:t>Protest Data</w:t>
      </w:r>
    </w:p>
    <w:p w14:paraId="4C12D822" w14:textId="77777777" w:rsidR="000242BF" w:rsidRPr="00BA0229" w:rsidRDefault="00092FA5">
      <w:pPr>
        <w:widowControl w:val="0"/>
        <w:spacing w:before="240" w:after="240"/>
        <w:ind w:left="0"/>
        <w:rPr>
          <w:sz w:val="24"/>
          <w:szCs w:val="24"/>
        </w:rPr>
      </w:pPr>
      <w:r w:rsidRPr="00BA0229">
        <w:rPr>
          <w:sz w:val="24"/>
          <w:szCs w:val="24"/>
        </w:rPr>
        <w:t>We collected daily protest data from national and local Bolivian newspapers. We used a representative newspaper for each department, and when available, complimented this information with more local sources. The following are the newspapers consulted (by department):</w:t>
      </w:r>
    </w:p>
    <w:p w14:paraId="09FA707D" w14:textId="77777777" w:rsidR="000242BF" w:rsidRPr="00BA0229" w:rsidRDefault="00092FA5">
      <w:pPr>
        <w:widowControl w:val="0"/>
        <w:numPr>
          <w:ilvl w:val="0"/>
          <w:numId w:val="2"/>
        </w:numPr>
        <w:spacing w:before="240"/>
        <w:rPr>
          <w:sz w:val="24"/>
          <w:szCs w:val="24"/>
        </w:rPr>
      </w:pPr>
      <w:r w:rsidRPr="00BA0229">
        <w:rPr>
          <w:sz w:val="24"/>
          <w:szCs w:val="24"/>
        </w:rPr>
        <w:t xml:space="preserve">La Paz: El </w:t>
      </w:r>
      <w:proofErr w:type="spellStart"/>
      <w:r w:rsidRPr="00BA0229">
        <w:rPr>
          <w:sz w:val="24"/>
          <w:szCs w:val="24"/>
        </w:rPr>
        <w:t>Diario</w:t>
      </w:r>
      <w:proofErr w:type="spellEnd"/>
      <w:r w:rsidRPr="00BA0229">
        <w:rPr>
          <w:sz w:val="24"/>
          <w:szCs w:val="24"/>
        </w:rPr>
        <w:t xml:space="preserve">, La </w:t>
      </w:r>
      <w:proofErr w:type="spellStart"/>
      <w:r w:rsidRPr="00BA0229">
        <w:rPr>
          <w:sz w:val="24"/>
          <w:szCs w:val="24"/>
        </w:rPr>
        <w:t>Razón</w:t>
      </w:r>
      <w:proofErr w:type="spellEnd"/>
      <w:r w:rsidRPr="00BA0229">
        <w:rPr>
          <w:sz w:val="24"/>
          <w:szCs w:val="24"/>
        </w:rPr>
        <w:t xml:space="preserve">, </w:t>
      </w:r>
      <w:proofErr w:type="spellStart"/>
      <w:r w:rsidRPr="00BA0229">
        <w:rPr>
          <w:sz w:val="24"/>
          <w:szCs w:val="24"/>
        </w:rPr>
        <w:t>Página</w:t>
      </w:r>
      <w:proofErr w:type="spellEnd"/>
      <w:r w:rsidRPr="00BA0229">
        <w:rPr>
          <w:sz w:val="24"/>
          <w:szCs w:val="24"/>
        </w:rPr>
        <w:t xml:space="preserve"> </w:t>
      </w:r>
      <w:proofErr w:type="spellStart"/>
      <w:r w:rsidRPr="00BA0229">
        <w:rPr>
          <w:sz w:val="24"/>
          <w:szCs w:val="24"/>
        </w:rPr>
        <w:t>Siete</w:t>
      </w:r>
      <w:proofErr w:type="spellEnd"/>
      <w:r w:rsidRPr="00BA0229">
        <w:rPr>
          <w:sz w:val="24"/>
          <w:szCs w:val="24"/>
        </w:rPr>
        <w:t xml:space="preserve">, </w:t>
      </w:r>
      <w:proofErr w:type="spellStart"/>
      <w:r w:rsidRPr="00BA0229">
        <w:rPr>
          <w:sz w:val="24"/>
          <w:szCs w:val="24"/>
        </w:rPr>
        <w:t>Erbol</w:t>
      </w:r>
      <w:proofErr w:type="spellEnd"/>
      <w:r w:rsidRPr="00BA0229">
        <w:rPr>
          <w:sz w:val="24"/>
          <w:szCs w:val="24"/>
        </w:rPr>
        <w:t xml:space="preserve">, El </w:t>
      </w:r>
      <w:proofErr w:type="spellStart"/>
      <w:r w:rsidRPr="00BA0229">
        <w:rPr>
          <w:sz w:val="24"/>
          <w:szCs w:val="24"/>
        </w:rPr>
        <w:t>Alteno</w:t>
      </w:r>
      <w:proofErr w:type="spellEnd"/>
    </w:p>
    <w:p w14:paraId="67BA209B" w14:textId="77777777" w:rsidR="000242BF" w:rsidRPr="00BA0229" w:rsidRDefault="00092FA5">
      <w:pPr>
        <w:widowControl w:val="0"/>
        <w:numPr>
          <w:ilvl w:val="0"/>
          <w:numId w:val="2"/>
        </w:numPr>
        <w:rPr>
          <w:sz w:val="24"/>
          <w:szCs w:val="24"/>
        </w:rPr>
      </w:pPr>
      <w:r w:rsidRPr="00BA0229">
        <w:rPr>
          <w:sz w:val="24"/>
          <w:szCs w:val="24"/>
        </w:rPr>
        <w:t xml:space="preserve">Cochabamba: Los </w:t>
      </w:r>
      <w:proofErr w:type="spellStart"/>
      <w:r w:rsidRPr="00BA0229">
        <w:rPr>
          <w:sz w:val="24"/>
          <w:szCs w:val="24"/>
        </w:rPr>
        <w:t>Tiempos</w:t>
      </w:r>
      <w:proofErr w:type="spellEnd"/>
      <w:r w:rsidRPr="00BA0229">
        <w:rPr>
          <w:sz w:val="24"/>
          <w:szCs w:val="24"/>
        </w:rPr>
        <w:t xml:space="preserve">, </w:t>
      </w:r>
      <w:proofErr w:type="spellStart"/>
      <w:r w:rsidRPr="00BA0229">
        <w:rPr>
          <w:sz w:val="24"/>
          <w:szCs w:val="24"/>
        </w:rPr>
        <w:t>Opinión</w:t>
      </w:r>
      <w:proofErr w:type="spellEnd"/>
    </w:p>
    <w:p w14:paraId="6A81D929" w14:textId="77777777" w:rsidR="000242BF" w:rsidRPr="00BA0229" w:rsidRDefault="00092FA5">
      <w:pPr>
        <w:widowControl w:val="0"/>
        <w:numPr>
          <w:ilvl w:val="0"/>
          <w:numId w:val="2"/>
        </w:numPr>
        <w:rPr>
          <w:sz w:val="24"/>
          <w:szCs w:val="24"/>
        </w:rPr>
      </w:pPr>
      <w:r w:rsidRPr="00BA0229">
        <w:rPr>
          <w:sz w:val="24"/>
          <w:szCs w:val="24"/>
        </w:rPr>
        <w:t xml:space="preserve">Santa Cruz: El </w:t>
      </w:r>
      <w:proofErr w:type="spellStart"/>
      <w:r w:rsidRPr="00BA0229">
        <w:rPr>
          <w:sz w:val="24"/>
          <w:szCs w:val="24"/>
        </w:rPr>
        <w:t>Deber</w:t>
      </w:r>
      <w:proofErr w:type="spellEnd"/>
      <w:r w:rsidRPr="00BA0229">
        <w:rPr>
          <w:sz w:val="24"/>
          <w:szCs w:val="24"/>
        </w:rPr>
        <w:t xml:space="preserve">, El </w:t>
      </w:r>
      <w:proofErr w:type="spellStart"/>
      <w:r w:rsidRPr="00BA0229">
        <w:rPr>
          <w:sz w:val="24"/>
          <w:szCs w:val="24"/>
        </w:rPr>
        <w:t>Dia</w:t>
      </w:r>
      <w:proofErr w:type="spellEnd"/>
    </w:p>
    <w:p w14:paraId="1274E798" w14:textId="77777777" w:rsidR="000242BF" w:rsidRPr="00BA0229" w:rsidRDefault="00092FA5">
      <w:pPr>
        <w:widowControl w:val="0"/>
        <w:numPr>
          <w:ilvl w:val="0"/>
          <w:numId w:val="2"/>
        </w:numPr>
        <w:rPr>
          <w:sz w:val="24"/>
          <w:szCs w:val="24"/>
        </w:rPr>
      </w:pPr>
      <w:r w:rsidRPr="00BA0229">
        <w:rPr>
          <w:sz w:val="24"/>
          <w:szCs w:val="24"/>
        </w:rPr>
        <w:t xml:space="preserve">Chuquisaca: </w:t>
      </w:r>
      <w:proofErr w:type="spellStart"/>
      <w:r w:rsidRPr="00BA0229">
        <w:rPr>
          <w:sz w:val="24"/>
          <w:szCs w:val="24"/>
        </w:rPr>
        <w:t>Correo</w:t>
      </w:r>
      <w:proofErr w:type="spellEnd"/>
      <w:r w:rsidRPr="00BA0229">
        <w:rPr>
          <w:sz w:val="24"/>
          <w:szCs w:val="24"/>
        </w:rPr>
        <w:t xml:space="preserve"> del Sur</w:t>
      </w:r>
    </w:p>
    <w:p w14:paraId="29E562B3" w14:textId="77777777" w:rsidR="000242BF" w:rsidRPr="00BA0229" w:rsidRDefault="00092FA5">
      <w:pPr>
        <w:widowControl w:val="0"/>
        <w:numPr>
          <w:ilvl w:val="0"/>
          <w:numId w:val="2"/>
        </w:numPr>
        <w:rPr>
          <w:sz w:val="24"/>
          <w:szCs w:val="24"/>
        </w:rPr>
      </w:pPr>
      <w:r w:rsidRPr="00BA0229">
        <w:rPr>
          <w:sz w:val="24"/>
          <w:szCs w:val="24"/>
        </w:rPr>
        <w:t>Oruro: La Patria</w:t>
      </w:r>
    </w:p>
    <w:p w14:paraId="60083482" w14:textId="77777777" w:rsidR="000242BF" w:rsidRPr="00BA0229" w:rsidRDefault="00092FA5">
      <w:pPr>
        <w:widowControl w:val="0"/>
        <w:numPr>
          <w:ilvl w:val="0"/>
          <w:numId w:val="2"/>
        </w:numPr>
        <w:rPr>
          <w:sz w:val="24"/>
          <w:szCs w:val="24"/>
        </w:rPr>
      </w:pPr>
      <w:r w:rsidRPr="00BA0229">
        <w:rPr>
          <w:sz w:val="24"/>
          <w:szCs w:val="24"/>
        </w:rPr>
        <w:t xml:space="preserve">Potosi: El Potosí, El </w:t>
      </w:r>
      <w:proofErr w:type="spellStart"/>
      <w:r w:rsidRPr="00BA0229">
        <w:rPr>
          <w:sz w:val="24"/>
          <w:szCs w:val="24"/>
        </w:rPr>
        <w:t>Salar</w:t>
      </w:r>
      <w:proofErr w:type="spellEnd"/>
    </w:p>
    <w:p w14:paraId="35D34402" w14:textId="77777777" w:rsidR="000242BF" w:rsidRPr="00BA0229" w:rsidRDefault="00092FA5">
      <w:pPr>
        <w:widowControl w:val="0"/>
        <w:numPr>
          <w:ilvl w:val="0"/>
          <w:numId w:val="2"/>
        </w:numPr>
        <w:rPr>
          <w:sz w:val="24"/>
          <w:szCs w:val="24"/>
        </w:rPr>
      </w:pPr>
      <w:r w:rsidRPr="00BA0229">
        <w:rPr>
          <w:sz w:val="24"/>
          <w:szCs w:val="24"/>
        </w:rPr>
        <w:t xml:space="preserve">Beni: La Palabra del Beni, </w:t>
      </w:r>
      <w:proofErr w:type="spellStart"/>
      <w:r w:rsidRPr="00BA0229">
        <w:rPr>
          <w:sz w:val="24"/>
          <w:szCs w:val="24"/>
        </w:rPr>
        <w:t>Contacto</w:t>
      </w:r>
      <w:proofErr w:type="spellEnd"/>
    </w:p>
    <w:p w14:paraId="04E4BFF8" w14:textId="77777777" w:rsidR="000242BF" w:rsidRPr="00BA0229" w:rsidRDefault="00092FA5">
      <w:pPr>
        <w:widowControl w:val="0"/>
        <w:numPr>
          <w:ilvl w:val="0"/>
          <w:numId w:val="2"/>
        </w:numPr>
        <w:rPr>
          <w:sz w:val="24"/>
          <w:szCs w:val="24"/>
        </w:rPr>
      </w:pPr>
      <w:r w:rsidRPr="00BA0229">
        <w:rPr>
          <w:sz w:val="24"/>
          <w:szCs w:val="24"/>
        </w:rPr>
        <w:t>Tarija: El País, Nuevo Sur</w:t>
      </w:r>
    </w:p>
    <w:p w14:paraId="56A54C42" w14:textId="77777777" w:rsidR="000242BF" w:rsidRPr="00BA0229" w:rsidRDefault="00092FA5">
      <w:pPr>
        <w:widowControl w:val="0"/>
        <w:numPr>
          <w:ilvl w:val="0"/>
          <w:numId w:val="2"/>
        </w:numPr>
        <w:spacing w:after="240"/>
        <w:rPr>
          <w:sz w:val="24"/>
          <w:szCs w:val="24"/>
        </w:rPr>
      </w:pPr>
      <w:r w:rsidRPr="00BA0229">
        <w:rPr>
          <w:sz w:val="24"/>
          <w:szCs w:val="24"/>
        </w:rPr>
        <w:lastRenderedPageBreak/>
        <w:t xml:space="preserve">Pando: EL </w:t>
      </w:r>
      <w:proofErr w:type="spellStart"/>
      <w:r w:rsidRPr="00BA0229">
        <w:rPr>
          <w:sz w:val="24"/>
          <w:szCs w:val="24"/>
        </w:rPr>
        <w:t>Progreso</w:t>
      </w:r>
      <w:proofErr w:type="spellEnd"/>
      <w:r w:rsidRPr="00BA0229">
        <w:rPr>
          <w:sz w:val="24"/>
          <w:szCs w:val="24"/>
        </w:rPr>
        <w:t>, La Perla del Acre</w:t>
      </w:r>
    </w:p>
    <w:p w14:paraId="1E6B5E8A" w14:textId="77777777" w:rsidR="000242BF" w:rsidRPr="00BA0229" w:rsidRDefault="00092FA5">
      <w:pPr>
        <w:widowControl w:val="0"/>
        <w:spacing w:before="240" w:after="240"/>
        <w:ind w:left="0"/>
        <w:rPr>
          <w:sz w:val="24"/>
          <w:szCs w:val="24"/>
        </w:rPr>
      </w:pPr>
      <w:r w:rsidRPr="00BA0229">
        <w:rPr>
          <w:sz w:val="24"/>
          <w:szCs w:val="24"/>
        </w:rPr>
        <w:t>In addition to recording the number of daily protests in each department, we also collected the following information about each protest event:</w:t>
      </w:r>
    </w:p>
    <w:p w14:paraId="18169074" w14:textId="77777777" w:rsidR="000242BF" w:rsidRPr="00BA0229" w:rsidRDefault="00092FA5">
      <w:pPr>
        <w:widowControl w:val="0"/>
        <w:numPr>
          <w:ilvl w:val="0"/>
          <w:numId w:val="1"/>
        </w:numPr>
        <w:spacing w:before="240"/>
        <w:rPr>
          <w:sz w:val="24"/>
          <w:szCs w:val="24"/>
        </w:rPr>
      </w:pPr>
      <w:r w:rsidRPr="00BA0229">
        <w:rPr>
          <w:sz w:val="24"/>
          <w:szCs w:val="24"/>
        </w:rPr>
        <w:t>Location within the department (municipality)</w:t>
      </w:r>
    </w:p>
    <w:p w14:paraId="34B06E16" w14:textId="77777777" w:rsidR="000242BF" w:rsidRPr="00BA0229" w:rsidRDefault="00092FA5">
      <w:pPr>
        <w:widowControl w:val="0"/>
        <w:numPr>
          <w:ilvl w:val="0"/>
          <w:numId w:val="1"/>
        </w:numPr>
        <w:rPr>
          <w:sz w:val="24"/>
          <w:szCs w:val="24"/>
        </w:rPr>
      </w:pPr>
      <w:r w:rsidRPr="00BA0229">
        <w:rPr>
          <w:sz w:val="24"/>
          <w:szCs w:val="24"/>
        </w:rPr>
        <w:t>Identity of the protester</w:t>
      </w:r>
    </w:p>
    <w:p w14:paraId="6F7C0174" w14:textId="77777777" w:rsidR="000242BF" w:rsidRPr="00BA0229" w:rsidRDefault="00092FA5">
      <w:pPr>
        <w:widowControl w:val="0"/>
        <w:numPr>
          <w:ilvl w:val="0"/>
          <w:numId w:val="1"/>
        </w:numPr>
        <w:rPr>
          <w:sz w:val="24"/>
          <w:szCs w:val="24"/>
        </w:rPr>
      </w:pPr>
      <w:r w:rsidRPr="00BA0229">
        <w:rPr>
          <w:sz w:val="24"/>
          <w:szCs w:val="24"/>
        </w:rPr>
        <w:t>Identity of protester 2 (if there we more than one group)</w:t>
      </w:r>
    </w:p>
    <w:p w14:paraId="0350B994" w14:textId="77777777" w:rsidR="000242BF" w:rsidRPr="00BA0229" w:rsidRDefault="00092FA5">
      <w:pPr>
        <w:widowControl w:val="0"/>
        <w:numPr>
          <w:ilvl w:val="0"/>
          <w:numId w:val="1"/>
        </w:numPr>
        <w:rPr>
          <w:sz w:val="24"/>
          <w:szCs w:val="24"/>
        </w:rPr>
      </w:pPr>
      <w:r w:rsidRPr="00BA0229">
        <w:rPr>
          <w:sz w:val="24"/>
          <w:szCs w:val="24"/>
        </w:rPr>
        <w:t>Tactic (</w:t>
      </w:r>
      <w:proofErr w:type="gramStart"/>
      <w:r w:rsidRPr="00BA0229">
        <w:rPr>
          <w:sz w:val="24"/>
          <w:szCs w:val="24"/>
        </w:rPr>
        <w:t>e.g.</w:t>
      </w:r>
      <w:proofErr w:type="gramEnd"/>
      <w:r w:rsidRPr="00BA0229">
        <w:rPr>
          <w:sz w:val="24"/>
          <w:szCs w:val="24"/>
        </w:rPr>
        <w:t xml:space="preserve"> marc, hunger strike, riot, virtual protest)</w:t>
      </w:r>
    </w:p>
    <w:p w14:paraId="4AEC0EC0" w14:textId="77777777" w:rsidR="000242BF" w:rsidRPr="00BA0229" w:rsidRDefault="00092FA5">
      <w:pPr>
        <w:widowControl w:val="0"/>
        <w:numPr>
          <w:ilvl w:val="0"/>
          <w:numId w:val="1"/>
        </w:numPr>
        <w:rPr>
          <w:sz w:val="24"/>
          <w:szCs w:val="24"/>
        </w:rPr>
      </w:pPr>
      <w:r w:rsidRPr="00BA0229">
        <w:rPr>
          <w:sz w:val="24"/>
          <w:szCs w:val="24"/>
        </w:rPr>
        <w:t>Target</w:t>
      </w:r>
    </w:p>
    <w:p w14:paraId="5CFEA721" w14:textId="77777777" w:rsidR="000242BF" w:rsidRPr="00BA0229" w:rsidRDefault="00092FA5">
      <w:pPr>
        <w:widowControl w:val="0"/>
        <w:numPr>
          <w:ilvl w:val="0"/>
          <w:numId w:val="1"/>
        </w:numPr>
        <w:rPr>
          <w:sz w:val="24"/>
          <w:szCs w:val="24"/>
        </w:rPr>
      </w:pPr>
      <w:r w:rsidRPr="00BA0229">
        <w:rPr>
          <w:sz w:val="24"/>
          <w:szCs w:val="24"/>
        </w:rPr>
        <w:t>Violence</w:t>
      </w:r>
    </w:p>
    <w:p w14:paraId="305E837E" w14:textId="77777777" w:rsidR="000242BF" w:rsidRPr="00BA0229" w:rsidRDefault="00092FA5">
      <w:pPr>
        <w:widowControl w:val="0"/>
        <w:numPr>
          <w:ilvl w:val="0"/>
          <w:numId w:val="1"/>
        </w:numPr>
        <w:rPr>
          <w:sz w:val="24"/>
          <w:szCs w:val="24"/>
        </w:rPr>
      </w:pPr>
      <w:r w:rsidRPr="00BA0229">
        <w:rPr>
          <w:sz w:val="24"/>
          <w:szCs w:val="24"/>
        </w:rPr>
        <w:t>Demand</w:t>
      </w:r>
    </w:p>
    <w:p w14:paraId="34E73ED5" w14:textId="77777777" w:rsidR="000242BF" w:rsidRPr="00BA0229" w:rsidRDefault="00092FA5">
      <w:pPr>
        <w:widowControl w:val="0"/>
        <w:numPr>
          <w:ilvl w:val="0"/>
          <w:numId w:val="1"/>
        </w:numPr>
        <w:rPr>
          <w:sz w:val="24"/>
          <w:szCs w:val="24"/>
        </w:rPr>
      </w:pPr>
      <w:r w:rsidRPr="00BA0229">
        <w:rPr>
          <w:sz w:val="24"/>
          <w:szCs w:val="24"/>
        </w:rPr>
        <w:t>Demand 2 (if there was more than 1 demand)</w:t>
      </w:r>
    </w:p>
    <w:p w14:paraId="266244DA" w14:textId="77777777" w:rsidR="000242BF" w:rsidRPr="00BA0229" w:rsidRDefault="00092FA5">
      <w:pPr>
        <w:widowControl w:val="0"/>
        <w:numPr>
          <w:ilvl w:val="0"/>
          <w:numId w:val="1"/>
        </w:numPr>
        <w:rPr>
          <w:sz w:val="24"/>
          <w:szCs w:val="24"/>
        </w:rPr>
      </w:pPr>
      <w:r w:rsidRPr="00BA0229">
        <w:rPr>
          <w:sz w:val="24"/>
          <w:szCs w:val="24"/>
        </w:rPr>
        <w:t>Demand 3 (if there were more than 2 demands)</w:t>
      </w:r>
    </w:p>
    <w:p w14:paraId="22F82003" w14:textId="77777777" w:rsidR="000242BF" w:rsidRPr="00BA0229" w:rsidRDefault="00092FA5">
      <w:pPr>
        <w:widowControl w:val="0"/>
        <w:numPr>
          <w:ilvl w:val="0"/>
          <w:numId w:val="1"/>
        </w:numPr>
        <w:rPr>
          <w:sz w:val="24"/>
          <w:szCs w:val="24"/>
        </w:rPr>
      </w:pPr>
      <w:r w:rsidRPr="00BA0229">
        <w:rPr>
          <w:sz w:val="24"/>
          <w:szCs w:val="24"/>
        </w:rPr>
        <w:t xml:space="preserve">Government response (no response, police presence, repression, dialogue, legal actions, </w:t>
      </w:r>
      <w:proofErr w:type="spellStart"/>
      <w:r w:rsidRPr="00BA0229">
        <w:rPr>
          <w:sz w:val="24"/>
          <w:szCs w:val="24"/>
        </w:rPr>
        <w:t>etc</w:t>
      </w:r>
      <w:proofErr w:type="spellEnd"/>
      <w:r w:rsidRPr="00BA0229">
        <w:rPr>
          <w:sz w:val="24"/>
          <w:szCs w:val="24"/>
        </w:rPr>
        <w:t>)</w:t>
      </w:r>
    </w:p>
    <w:p w14:paraId="23F0CB23" w14:textId="77777777" w:rsidR="000242BF" w:rsidRPr="00BA0229" w:rsidRDefault="00092FA5">
      <w:pPr>
        <w:widowControl w:val="0"/>
        <w:numPr>
          <w:ilvl w:val="0"/>
          <w:numId w:val="1"/>
        </w:numPr>
        <w:spacing w:after="240"/>
        <w:rPr>
          <w:sz w:val="24"/>
          <w:szCs w:val="24"/>
        </w:rPr>
      </w:pPr>
      <w:r w:rsidRPr="00BA0229">
        <w:rPr>
          <w:sz w:val="24"/>
          <w:szCs w:val="24"/>
        </w:rPr>
        <w:t>Damage (coded for material damage and human injury)</w:t>
      </w:r>
    </w:p>
    <w:p w14:paraId="67ADD275" w14:textId="77777777" w:rsidR="000242BF" w:rsidRPr="00BA0229" w:rsidRDefault="000242BF">
      <w:pPr>
        <w:widowControl w:val="0"/>
        <w:spacing w:before="240" w:after="240"/>
        <w:ind w:left="0"/>
        <w:rPr>
          <w:sz w:val="24"/>
          <w:szCs w:val="24"/>
        </w:rPr>
      </w:pPr>
    </w:p>
    <w:sectPr w:rsidR="000242BF" w:rsidRPr="00BA0229">
      <w:headerReference w:type="even" r:id="rId7"/>
      <w:headerReference w:type="default" r:id="rId8"/>
      <w:footerReference w:type="even" r:id="rId9"/>
      <w:footerReference w:type="default" r:id="rId10"/>
      <w:headerReference w:type="first" r:id="rId11"/>
      <w:footerReference w:type="first" r:id="rId12"/>
      <w:pgSz w:w="12240" w:h="15840"/>
      <w:pgMar w:top="431" w:right="1440" w:bottom="431"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72FEAB" w14:textId="77777777" w:rsidR="00A111B9" w:rsidRDefault="00A111B9" w:rsidP="00BA0229">
      <w:r>
        <w:separator/>
      </w:r>
    </w:p>
  </w:endnote>
  <w:endnote w:type="continuationSeparator" w:id="0">
    <w:p w14:paraId="205ECFA8" w14:textId="77777777" w:rsidR="00A111B9" w:rsidRDefault="00A111B9" w:rsidP="00BA0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CF866A" w14:textId="77777777" w:rsidR="00BA0229" w:rsidRDefault="00BA02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0C0420" w14:textId="77777777" w:rsidR="00BA0229" w:rsidRDefault="00BA02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38FA5F" w14:textId="77777777" w:rsidR="00BA0229" w:rsidRDefault="00BA02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5EDD7E" w14:textId="77777777" w:rsidR="00A111B9" w:rsidRDefault="00A111B9" w:rsidP="00BA0229">
      <w:r>
        <w:separator/>
      </w:r>
    </w:p>
  </w:footnote>
  <w:footnote w:type="continuationSeparator" w:id="0">
    <w:p w14:paraId="47A208C5" w14:textId="77777777" w:rsidR="00A111B9" w:rsidRDefault="00A111B9" w:rsidP="00BA02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D2F4D5" w14:textId="77777777" w:rsidR="00BA0229" w:rsidRDefault="00BA02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683184" w14:textId="77777777" w:rsidR="00BA0229" w:rsidRDefault="00BA02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5C8E60" w14:textId="77777777" w:rsidR="00BA0229" w:rsidRDefault="00BA02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0697D"/>
    <w:multiLevelType w:val="multilevel"/>
    <w:tmpl w:val="7A9E66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5CB6D74"/>
    <w:multiLevelType w:val="multilevel"/>
    <w:tmpl w:val="A56CC3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2BF"/>
    <w:rsid w:val="000242BF"/>
    <w:rsid w:val="00092FA5"/>
    <w:rsid w:val="006367AB"/>
    <w:rsid w:val="00A111B9"/>
    <w:rsid w:val="00BA02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79FF1D"/>
  <w15:docId w15:val="{EC6396FD-5228-3545-9554-5BC8496B8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 w:eastAsia="en-US" w:bidi="ar-SA"/>
      </w:rPr>
    </w:rPrDefault>
    <w:pPrDefault>
      <w:pPr>
        <w:ind w:left="-1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BA0229"/>
    <w:pPr>
      <w:tabs>
        <w:tab w:val="center" w:pos="4680"/>
        <w:tab w:val="right" w:pos="9360"/>
      </w:tabs>
    </w:pPr>
  </w:style>
  <w:style w:type="character" w:customStyle="1" w:styleId="HeaderChar">
    <w:name w:val="Header Char"/>
    <w:basedOn w:val="DefaultParagraphFont"/>
    <w:link w:val="Header"/>
    <w:uiPriority w:val="99"/>
    <w:rsid w:val="00BA0229"/>
  </w:style>
  <w:style w:type="paragraph" w:styleId="Footer">
    <w:name w:val="footer"/>
    <w:basedOn w:val="Normal"/>
    <w:link w:val="FooterChar"/>
    <w:uiPriority w:val="99"/>
    <w:unhideWhenUsed/>
    <w:rsid w:val="00BA0229"/>
    <w:pPr>
      <w:tabs>
        <w:tab w:val="center" w:pos="4680"/>
        <w:tab w:val="right" w:pos="9360"/>
      </w:tabs>
    </w:pPr>
  </w:style>
  <w:style w:type="character" w:customStyle="1" w:styleId="FooterChar">
    <w:name w:val="Footer Char"/>
    <w:basedOn w:val="DefaultParagraphFont"/>
    <w:link w:val="Footer"/>
    <w:uiPriority w:val="99"/>
    <w:rsid w:val="00BA0229"/>
  </w:style>
  <w:style w:type="character" w:customStyle="1" w:styleId="TitleChar">
    <w:name w:val="Title Char"/>
    <w:basedOn w:val="DefaultParagraphFont"/>
    <w:link w:val="Title"/>
    <w:uiPriority w:val="10"/>
    <w:rsid w:val="00BA0229"/>
    <w:rPr>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956</Words>
  <Characters>5455</Characters>
  <Application>Microsoft Office Word</Application>
  <DocSecurity>0</DocSecurity>
  <Lines>45</Lines>
  <Paragraphs>12</Paragraphs>
  <ScaleCrop>false</ScaleCrop>
  <Company/>
  <LinksUpToDate>false</LinksUpToDate>
  <CharactersWithSpaces>6399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Calla Hummel</cp:lastModifiedBy>
  <cp:revision>3</cp:revision>
  <dcterms:created xsi:type="dcterms:W3CDTF">2021-02-11T19:13:00Z</dcterms:created>
  <dcterms:modified xsi:type="dcterms:W3CDTF">2021-04-15T23:23:00Z</dcterms:modified>
</cp:coreProperties>
</file>