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E0B24" w14:textId="2233AB25" w:rsidR="00FC2B1B" w:rsidRPr="00607DC4" w:rsidRDefault="00FC2B1B" w:rsidP="00FC2B1B">
      <w:pPr>
        <w:spacing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607DC4">
        <w:rPr>
          <w:rFonts w:asciiTheme="minorHAnsi" w:eastAsia="Times New Roman" w:hAnsiTheme="minorHAnsi" w:cs="Times New Roman"/>
          <w:b/>
          <w:color w:val="auto"/>
        </w:rPr>
        <w:t>Appendix 1</w:t>
      </w:r>
      <w:r w:rsidR="00E070DE">
        <w:rPr>
          <w:rFonts w:asciiTheme="minorHAnsi" w:eastAsia="Times New Roman" w:hAnsiTheme="minorHAnsi" w:cs="Times New Roman"/>
          <w:color w:val="auto"/>
        </w:rPr>
        <w:t xml:space="preserve">. Table shows Environmental Quality Incentives Program (EQIP) </w:t>
      </w:r>
      <w:r w:rsidR="00276E91" w:rsidRPr="00607DC4">
        <w:rPr>
          <w:rFonts w:asciiTheme="minorHAnsi" w:eastAsia="Times New Roman" w:hAnsiTheme="minorHAnsi" w:cs="Times New Roman"/>
          <w:color w:val="auto"/>
        </w:rPr>
        <w:t xml:space="preserve">drought-related </w:t>
      </w:r>
      <w:r w:rsidRPr="00607DC4">
        <w:rPr>
          <w:rFonts w:asciiTheme="minorHAnsi" w:eastAsia="Times New Roman" w:hAnsiTheme="minorHAnsi" w:cs="Times New Roman"/>
          <w:color w:val="auto"/>
        </w:rPr>
        <w:t xml:space="preserve">conservation practices and </w:t>
      </w:r>
      <w:r w:rsidR="00276E91" w:rsidRPr="00607DC4">
        <w:rPr>
          <w:rFonts w:asciiTheme="minorHAnsi" w:eastAsia="Times New Roman" w:hAnsiTheme="minorHAnsi" w:cs="Times New Roman"/>
          <w:color w:val="auto"/>
        </w:rPr>
        <w:t>their Conservation Practice Physical Effects (CPPE)</w:t>
      </w:r>
      <w:r w:rsidRPr="00607DC4">
        <w:rPr>
          <w:rFonts w:asciiTheme="minorHAnsi" w:eastAsia="Times New Roman" w:hAnsiTheme="minorHAnsi" w:cs="Times New Roman"/>
          <w:color w:val="auto"/>
        </w:rPr>
        <w:t xml:space="preserve"> values.</w:t>
      </w:r>
      <w:r w:rsidR="00DE2365" w:rsidRPr="00607DC4">
        <w:rPr>
          <w:rFonts w:asciiTheme="minorHAnsi" w:hAnsiTheme="minorHAnsi"/>
        </w:rPr>
        <w:t xml:space="preserve"> </w:t>
      </w:r>
      <w:bookmarkStart w:id="0" w:name="_GoBack"/>
      <w:bookmarkEnd w:id="0"/>
      <w:r w:rsidR="00607DC4" w:rsidRPr="00735CA1">
        <w:rPr>
          <w:rFonts w:asciiTheme="minorHAnsi" w:eastAsia="Times New Roman" w:hAnsiTheme="minorHAnsi" w:cs="Times New Roman"/>
          <w:color w:val="auto"/>
        </w:rPr>
        <w:t xml:space="preserve">The CPPE is a ranking system that provides a relative value, ranging from negative 5 to positive 5 (highest value), indicating the </w:t>
      </w:r>
      <w:r w:rsidR="00E070DE" w:rsidRPr="00735CA1">
        <w:rPr>
          <w:rFonts w:asciiTheme="minorHAnsi" w:eastAsia="Times New Roman" w:hAnsiTheme="minorHAnsi" w:cs="Times New Roman"/>
        </w:rPr>
        <w:t>effect of</w:t>
      </w:r>
      <w:r w:rsidR="00607DC4" w:rsidRPr="00735CA1">
        <w:rPr>
          <w:rFonts w:asciiTheme="minorHAnsi" w:eastAsia="Times New Roman" w:hAnsiTheme="minorHAnsi" w:cs="Times New Roman"/>
        </w:rPr>
        <w:t xml:space="preserve"> a particular conservation practice on</w:t>
      </w:r>
      <w:r w:rsidR="00E070DE" w:rsidRPr="00735CA1">
        <w:rPr>
          <w:rFonts w:asciiTheme="minorHAnsi" w:eastAsia="Times New Roman" w:hAnsiTheme="minorHAnsi" w:cs="Times New Roman"/>
        </w:rPr>
        <w:t xml:space="preserve"> a resource concern</w:t>
      </w:r>
      <w:r w:rsidR="00607DC4" w:rsidRPr="00735CA1">
        <w:rPr>
          <w:rFonts w:asciiTheme="minorHAnsi" w:eastAsia="Times New Roman" w:hAnsiTheme="minorHAnsi" w:cs="Times New Roman"/>
        </w:rPr>
        <w:t xml:space="preserve">. Positive values indicate positive effects or improvements on the resource concern, whereas negative values indicate adverse effects on the resource, and a value of zero indicates no effect. </w:t>
      </w:r>
      <w:r w:rsidR="00E070DE" w:rsidRPr="00735CA1">
        <w:rPr>
          <w:rFonts w:asciiTheme="minorHAnsi" w:eastAsia="Times New Roman" w:hAnsiTheme="minorHAnsi" w:cs="Times New Roman"/>
        </w:rPr>
        <w:t xml:space="preserve">A </w:t>
      </w:r>
      <w:r w:rsidR="00607DC4" w:rsidRPr="00735CA1">
        <w:rPr>
          <w:rFonts w:asciiTheme="minorHAnsi" w:eastAsia="Times New Roman" w:hAnsiTheme="minorHAnsi" w:cs="Times New Roman"/>
        </w:rPr>
        <w:t xml:space="preserve">ranking of values greater than 2 was </w:t>
      </w:r>
      <w:r w:rsidR="00E070DE" w:rsidRPr="00735CA1">
        <w:rPr>
          <w:rFonts w:asciiTheme="minorHAnsi" w:eastAsia="Times New Roman" w:hAnsiTheme="minorHAnsi" w:cs="Times New Roman"/>
        </w:rPr>
        <w:t>determined</w:t>
      </w:r>
      <w:r w:rsidR="00607DC4" w:rsidRPr="00735CA1">
        <w:rPr>
          <w:rFonts w:asciiTheme="minorHAnsi" w:eastAsia="Times New Roman" w:hAnsiTheme="minorHAnsi" w:cs="Times New Roman"/>
        </w:rPr>
        <w:t xml:space="preserve"> as an adequate ranking </w:t>
      </w:r>
      <w:r w:rsidR="00E070DE" w:rsidRPr="00735CA1">
        <w:rPr>
          <w:rFonts w:asciiTheme="minorHAnsi" w:eastAsia="Times New Roman" w:hAnsiTheme="minorHAnsi" w:cs="Times New Roman"/>
        </w:rPr>
        <w:t>for</w:t>
      </w:r>
      <w:r w:rsidR="00607DC4" w:rsidRPr="00735CA1">
        <w:rPr>
          <w:rFonts w:asciiTheme="minorHAnsi" w:eastAsia="Times New Roman" w:hAnsiTheme="minorHAnsi" w:cs="Times New Roman"/>
        </w:rPr>
        <w:t xml:space="preserve"> the Caribbean agricultural landscape. </w:t>
      </w:r>
      <w:r w:rsidR="00E070DE" w:rsidRPr="00735CA1">
        <w:rPr>
          <w:rFonts w:asciiTheme="minorHAnsi" w:eastAsia="Times New Roman" w:hAnsiTheme="minorHAnsi" w:cs="Times New Roman"/>
        </w:rPr>
        <w:t>The ‘X’ indicates the resource concern category under which the practice falls based on their CPPE valuation &gt;2.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799"/>
        <w:gridCol w:w="956"/>
        <w:gridCol w:w="756"/>
        <w:gridCol w:w="830"/>
        <w:gridCol w:w="496"/>
        <w:gridCol w:w="590"/>
        <w:gridCol w:w="713"/>
        <w:gridCol w:w="497"/>
        <w:gridCol w:w="900"/>
        <w:gridCol w:w="830"/>
      </w:tblGrid>
      <w:tr w:rsidR="00D70C48" w:rsidRPr="00F15611" w14:paraId="2F72F505" w14:textId="77777777" w:rsidTr="00FC2B1B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DE57D8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bCs/>
                <w:color w:val="auto"/>
                <w:sz w:val="14"/>
                <w:szCs w:val="16"/>
              </w:rPr>
              <w:t>Practice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DCC55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bCs/>
                <w:color w:val="auto"/>
                <w:sz w:val="14"/>
                <w:szCs w:val="16"/>
              </w:rPr>
              <w:t>Water availability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8CA76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color w:val="auto"/>
                <w:sz w:val="14"/>
                <w:szCs w:val="16"/>
              </w:rPr>
              <w:t>Inefficient moisture management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FFD93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color w:val="auto"/>
                <w:sz w:val="14"/>
                <w:szCs w:val="16"/>
              </w:rPr>
              <w:t>Inefficient use of irrigation water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3DCE8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color w:val="auto"/>
                <w:sz w:val="14"/>
                <w:szCs w:val="16"/>
              </w:rPr>
              <w:t>Inadequate livestock water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8006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bCs/>
                <w:color w:val="auto"/>
                <w:sz w:val="14"/>
                <w:szCs w:val="16"/>
              </w:rPr>
              <w:t>Soil health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A5666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color w:val="auto"/>
                <w:sz w:val="14"/>
                <w:szCs w:val="16"/>
              </w:rPr>
              <w:t>Wind erosion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578E6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color w:val="auto"/>
                <w:sz w:val="14"/>
                <w:szCs w:val="16"/>
              </w:rPr>
              <w:t>Organic matter depletion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0178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bCs/>
                <w:color w:val="auto"/>
                <w:sz w:val="14"/>
                <w:szCs w:val="16"/>
              </w:rPr>
              <w:t>Plant health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949D9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color w:val="auto"/>
                <w:sz w:val="14"/>
                <w:szCs w:val="16"/>
              </w:rPr>
              <w:t>Undesirable plant productivity and health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6F99F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/>
                <w:color w:val="auto"/>
                <w:sz w:val="14"/>
                <w:szCs w:val="16"/>
              </w:rPr>
              <w:t>Inadequate feed and forage</w:t>
            </w:r>
          </w:p>
        </w:tc>
      </w:tr>
      <w:tr w:rsidR="00D70C48" w:rsidRPr="00F15611" w14:paraId="6D39F583" w14:textId="77777777" w:rsidTr="00FC2B1B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2E9B8D" w14:textId="36DEC632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Access Control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26F26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EF97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F5435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24424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0FA56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49A48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38D04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9A8DA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392E6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B65DD2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</w:tr>
      <w:tr w:rsidR="00D70C48" w:rsidRPr="00F15611" w14:paraId="3341CB87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C9394" w14:textId="1B662F4D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Alley Cropping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0691AC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F457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E8686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FA1B8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FEB0E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D67EB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C8192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7A715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5A237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0E78EC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</w:tr>
      <w:tr w:rsidR="00D70C48" w:rsidRPr="00F15611" w14:paraId="3E7CA700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29D30E" w14:textId="1D5D742F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Brush Management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92B83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B1369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885CA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57610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328577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36EEF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7B21B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C895F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2CDDB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42CB44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</w:tr>
      <w:tr w:rsidR="00D70C48" w:rsidRPr="00F15611" w14:paraId="4A3A04EA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F86C9" w14:textId="1537EBCA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 xml:space="preserve">Conservation Crop </w:t>
            </w:r>
            <w:r w:rsidR="00D70C48" w:rsidRPr="00C40FDC">
              <w:rPr>
                <w:rFonts w:eastAsia="Times New Roman"/>
                <w:sz w:val="12"/>
                <w:szCs w:val="12"/>
              </w:rPr>
              <w:t xml:space="preserve">                           </w:t>
            </w:r>
            <w:r w:rsidR="00C40FDC" w:rsidRPr="00C40FDC">
              <w:rPr>
                <w:rFonts w:eastAsia="Times New Roman"/>
                <w:sz w:val="12"/>
                <w:szCs w:val="12"/>
              </w:rPr>
              <w:t xml:space="preserve">     </w:t>
            </w:r>
            <w:r w:rsidRPr="00C40FDC">
              <w:rPr>
                <w:rFonts w:eastAsia="Times New Roman"/>
                <w:sz w:val="12"/>
                <w:szCs w:val="12"/>
              </w:rPr>
              <w:t>Rotation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2BA6B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655D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87F11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822D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9C9F9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A4354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9BFC1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23EE4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807E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D43675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</w:tr>
      <w:tr w:rsidR="00D70C48" w:rsidRPr="00F15611" w14:paraId="506AC575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DB59C1" w14:textId="3A316D39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Cover Crop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0F054D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4B19B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25500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7CD7C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6E5A4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8990E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8A08F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85B4D5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771A7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3ED47E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</w:tr>
      <w:tr w:rsidR="00D70C48" w:rsidRPr="00F15611" w14:paraId="265AA783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25F19F" w14:textId="68961DCB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Critical Area Planting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B32B9D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9D117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B487A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C5080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D2DA9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1A084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BCC28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80292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B7DB7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6C4331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0E57474A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D9180A" w14:textId="6201E4FD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Fence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C3476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F5846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E4848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BE3D7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47C337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18BA1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A71B0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C3E6B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7766F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B5825F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</w:tr>
      <w:tr w:rsidR="00D70C48" w:rsidRPr="00F15611" w14:paraId="6BDBE2FD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68E04" w14:textId="7AEC2BF4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Field Border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9308C5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C434D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2B528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09D0A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962E6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7FAEF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68206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AF239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F56FC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CF4020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1087E29E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9FFC2B" w14:textId="515F2128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Filter Strip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99EBFE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FF382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1B0C6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8E25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D0835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4B892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D89FB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74ED1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B8D75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28DBDF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3C077060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0D75DB" w14:textId="4987DC90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Firebreak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6F1DB6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D3B01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16A46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AD61D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8FB3A5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EBBDD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DEFFC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0850B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E206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FDDCAC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3C9C2950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6EEE11" w14:textId="7C2562C4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Forage and Biomass Planting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AFB7D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2BF59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7976D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D055B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7632D0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8838D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F983C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41EDF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531A2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1F736E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</w:tr>
      <w:tr w:rsidR="00D70C48" w:rsidRPr="00F15611" w14:paraId="759EA934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E9C08C" w14:textId="414AECF8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Grassed Waterway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8C969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79457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6ACBA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14D05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881E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EB4F1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6ABC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37E8F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F26F6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A8AA6C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</w:tr>
      <w:tr w:rsidR="00D70C48" w:rsidRPr="00F15611" w14:paraId="19993CB3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CE2407" w14:textId="7271B1FE" w:rsidR="00FC2B1B" w:rsidRPr="00C40FDC" w:rsidRDefault="00D70C48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 xml:space="preserve">Grazing Land </w:t>
            </w:r>
            <w:r w:rsidR="00FC2B1B" w:rsidRPr="00C40FDC">
              <w:rPr>
                <w:rFonts w:eastAsia="Times New Roman"/>
                <w:sz w:val="12"/>
                <w:szCs w:val="12"/>
              </w:rPr>
              <w:t>Mechanical Treatment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490F5D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F2F1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1D4F3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74684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D1B607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40E78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FF471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5617E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E0437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86BB7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</w:tr>
      <w:tr w:rsidR="00D70C48" w:rsidRPr="00F15611" w14:paraId="3EB9602A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BA6430" w14:textId="0EC65D8E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Herbaceous Weed Control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A2520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312F5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F28FF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8A1C1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64C05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340B7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A7EA9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DF2BC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9F160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1C24B7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</w:tr>
      <w:tr w:rsidR="00D70C48" w:rsidRPr="00F15611" w14:paraId="4ABBCCAB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AB035F" w14:textId="6AFFC2DC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Herbaceous Wind Barriers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AD44BB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327F0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3FA86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D2D9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C064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CA942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1C63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E6BCC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BA4AF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DA1DF4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4B1F57D3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A78A59" w14:textId="5FEEAF55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Integrated Pest Management (IPM)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34F8D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BF982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3E133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753F5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0CA6C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6711E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25F30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E92AE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1FFE8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74E26E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716C017C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790688" w14:textId="69AC2A46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Irrigation Reservoir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FC50D2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B551B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0CD9F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135FC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4F31B6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32DEB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971D3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49E304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96BDE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015D7C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4D71F1E2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81EF07" w14:textId="50CF1717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 xml:space="preserve">Irrigation System, </w:t>
            </w:r>
            <w:proofErr w:type="spellStart"/>
            <w:r w:rsidRPr="00C40FDC">
              <w:rPr>
                <w:rFonts w:eastAsia="Times New Roman"/>
                <w:sz w:val="12"/>
                <w:szCs w:val="12"/>
              </w:rPr>
              <w:t>Microirrigation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BBB87C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A137D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E77E2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DEA82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E5DD27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61D3B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05112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705CB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A2886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5733FB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</w:tr>
      <w:tr w:rsidR="00D70C48" w:rsidRPr="00F15611" w14:paraId="0636B7B2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5952CE" w14:textId="54F93DCA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Irrigation Water Management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CA6B4D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8320D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90D1D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CE31C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58FDAE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8DA3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A97B2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E65FF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FC1D4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FC46D9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</w:tr>
      <w:tr w:rsidR="00D70C48" w:rsidRPr="00F15611" w14:paraId="771EB74A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31D85D" w14:textId="74DB4840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Livestock Pipeline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466A8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71E24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01EBA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BAFC5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6EEA00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13C06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C9881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777FB4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6AD49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6A612C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704B8855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6A77B5" w14:textId="0CC13EAB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Mulching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7F554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F6C49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E0486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4704D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9283E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DA104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B0315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61A881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8A24C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B267F8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1A35BC78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BA0CCF" w14:textId="2E6111A3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Multi-Story Cropping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8A1247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EC06A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C8453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3C47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65DF2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2DC82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64983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2FA50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DC03B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869602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63DD9F9C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8C1718" w14:textId="7A126C8D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Nutrient Management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5EC2D9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5AB1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625EC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DB2A6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F65BAE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27E6C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CCF51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E4932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ED564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136384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</w:tr>
      <w:tr w:rsidR="00D70C48" w:rsidRPr="00F15611" w14:paraId="4C416EAA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109A6" w14:textId="6A422BF9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Pond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1C0751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51520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C4480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0B5C6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E54E72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FF5E3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CF453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E4C62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E50E7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67B96D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04A7D7C1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3F4CAC" w14:textId="0AC60E33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Pond Sealing or Lining, Flexible Membrane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6D1EF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49408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3D0BE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FE71B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5E2AD1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9D4E8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DA1FC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02F36F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41BBB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CC60BB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68DE8FCD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0CB738" w14:textId="57BF9DBF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Prescribed Grazing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DDAA59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DCEB5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3DBF6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E5897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6B3E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BF941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A0BF3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3CBA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380A5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F10876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</w:tr>
      <w:tr w:rsidR="00D70C48" w:rsidRPr="00F15611" w14:paraId="111A9BDC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3F8BE8" w14:textId="3451F4C8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Pumping Plant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E7145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04AF1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CE80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1D5D7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981FE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0CFA8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F3A81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846A25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E90DF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C8C42B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6F4B26F4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DA1286" w14:textId="780F151C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Residue and Tillage Management, No-Till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058315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82A5C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1DB0F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1A8AA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463F3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F35E3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726A4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630645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F469E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9048F1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54CD0326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2263F0" w14:textId="43C217E7" w:rsidR="00FC2B1B" w:rsidRPr="00C40FDC" w:rsidRDefault="00D70C48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 xml:space="preserve">Residue and Tillage </w:t>
            </w:r>
            <w:r w:rsidR="00FC2B1B" w:rsidRPr="00C40FDC">
              <w:rPr>
                <w:rFonts w:eastAsia="Times New Roman"/>
                <w:sz w:val="12"/>
                <w:szCs w:val="12"/>
              </w:rPr>
              <w:t>Management, Reduced Till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60CD6D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B57CE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858D7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922A5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6EFFF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5F18C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454C0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836172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3E1A4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82AA52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5A0B4FBE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FEBE97" w14:textId="77FCE7CD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Residue Management, No-Till/Strip Till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2955F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895AA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672C7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21470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AF2FD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CBF3F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B644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2218DC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0847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85B8B2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32CD65EE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FF0602" w14:textId="76B811AC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Riparian Forest Buffer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9680B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D4242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7CA15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45B1D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C5346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78AB2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4A356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EEB80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16028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6C2B7E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7EDBD0DF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CC172F" w14:textId="175148EB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Roof Runoff Structure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A210A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64F74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6F7C9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0B9B3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4EC8F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80EE8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4C2E8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A1B75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02D3A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7F7C99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72E449AE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E8EC4D" w14:textId="2DD79F76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Row Arrangement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BE386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8615D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FFC37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FADCF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FC9C32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00EC2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71552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DCE56E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5A772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99732D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0B052D12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EB8B3A" w14:textId="4B7CABE8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C40FDC">
              <w:rPr>
                <w:rFonts w:eastAsia="Times New Roman"/>
                <w:sz w:val="12"/>
                <w:szCs w:val="12"/>
              </w:rPr>
              <w:t>Silvopasture</w:t>
            </w:r>
            <w:proofErr w:type="spellEnd"/>
            <w:r w:rsidRPr="00C40FDC">
              <w:rPr>
                <w:rFonts w:eastAsia="Times New Roman"/>
                <w:sz w:val="12"/>
                <w:szCs w:val="12"/>
              </w:rPr>
              <w:t xml:space="preserve"> Establishment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49030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058D3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074C0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FC623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519E3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2F9EF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F139C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43346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3F3A5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AD5E3C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</w:tr>
      <w:tr w:rsidR="00D70C48" w:rsidRPr="00F15611" w14:paraId="33955CDC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EB606" w14:textId="2737D040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Spring Development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B9DDA5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8D82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087E5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E3E8B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625EEF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E0DD1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8F05F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E48E34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30209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5EB6BE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</w:tr>
      <w:tr w:rsidR="00D70C48" w:rsidRPr="00F15611" w14:paraId="70DC5938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18227E" w14:textId="4EE053C2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Sprinkler System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EFE296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D471C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1DBE9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5F59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4B3497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2D481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328B6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1A711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72540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0F73DA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</w:tr>
      <w:tr w:rsidR="00D70C48" w:rsidRPr="00F15611" w14:paraId="7EC6756E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57B02E" w14:textId="0259705F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Streambank and Shoreline Protection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0EB1D9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C9A33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86E5C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29954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50A60E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FF11B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57A73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B7E8D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6C487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5A8B8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</w:tr>
      <w:tr w:rsidR="00D70C48" w:rsidRPr="00F15611" w14:paraId="4657AD04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93EDF5" w14:textId="26DF1EA9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Tree/Shrub Establishment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1C802F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6E5D0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4644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B71C1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BD1EE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5681F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5C87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A832E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B4BDA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D6AD2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414CD63E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954B2B" w14:textId="0B1BB470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Tree/Shrub Pruning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718CDB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59E6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0A9E2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62E63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26727E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0333B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E33164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EAC1B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17458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D32C06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5A1736E1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C3F04D" w14:textId="5C60DAA6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Tree/Shrub Site Preparation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E68366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4BE08F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F2952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50024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736DB4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44500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C015B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0E8F4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9CA48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601520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</w:tr>
      <w:tr w:rsidR="00D70C48" w:rsidRPr="00F15611" w14:paraId="60D623B1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A12FCD" w14:textId="54B52F90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Waste Recycling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B3B20E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C269C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5FBA1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7338A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5079BD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5B2E2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06C75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941E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01D55D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63558F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</w:tr>
      <w:tr w:rsidR="00D70C48" w:rsidRPr="00F15611" w14:paraId="5F012D4E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2427DA" w14:textId="62DBE642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Water Well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1994E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7289C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1BAC8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B64A6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501979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EDED35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B1D13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B3DEFA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7E1F4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827CF9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</w:tr>
      <w:tr w:rsidR="00D70C48" w:rsidRPr="00F15611" w14:paraId="4984CA6C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33E2CD" w14:textId="65484FB6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Watering Facility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90A7AB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D12C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454278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13AC97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D1032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206F2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81325A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759FA1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79C3C6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584612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2</w:t>
            </w:r>
          </w:p>
        </w:tc>
      </w:tr>
      <w:tr w:rsidR="00D70C48" w:rsidRPr="00F15611" w14:paraId="37BEF08D" w14:textId="77777777" w:rsidTr="00FC2B1B">
        <w:trPr>
          <w:trHeight w:val="2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567FAF" w14:textId="4FAD4CA1" w:rsidR="00FC2B1B" w:rsidRPr="00C40FDC" w:rsidRDefault="00FC2B1B" w:rsidP="00C40F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C40FDC">
              <w:rPr>
                <w:rFonts w:eastAsia="Times New Roman"/>
                <w:sz w:val="12"/>
                <w:szCs w:val="12"/>
              </w:rPr>
              <w:t>Windbreak/Shelterbelt Renovation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6D0603" w14:textId="77777777" w:rsidR="00FC2B1B" w:rsidRPr="00AD4076" w:rsidRDefault="00FC2B1B" w:rsidP="00FC2B1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8C65B9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2752BC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9DB8A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C2E8DE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6C5793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6894D1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21FDDB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bCs/>
                <w:sz w:val="14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46B90" w14:textId="77777777" w:rsidR="00FC2B1B" w:rsidRPr="00AD4076" w:rsidRDefault="00FC2B1B" w:rsidP="00FC2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6F4536" w14:textId="77777777" w:rsidR="00FC2B1B" w:rsidRPr="00AD4076" w:rsidRDefault="00FC2B1B" w:rsidP="00FC2B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</w:rPr>
            </w:pPr>
            <w:r w:rsidRPr="00AD4076">
              <w:rPr>
                <w:rFonts w:eastAsia="Times New Roman"/>
                <w:sz w:val="14"/>
                <w:szCs w:val="16"/>
              </w:rPr>
              <w:t>1</w:t>
            </w:r>
          </w:p>
        </w:tc>
      </w:tr>
    </w:tbl>
    <w:p w14:paraId="331F1316" w14:textId="77777777" w:rsidR="00FC2B1B" w:rsidRPr="00FC2B1B" w:rsidRDefault="00FC2B1B" w:rsidP="00FC2B1B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12"/>
          <w:szCs w:val="12"/>
        </w:rPr>
      </w:pPr>
    </w:p>
    <w:p w14:paraId="4A2BFFDE" w14:textId="77777777" w:rsidR="00FC2B1B" w:rsidRPr="00FC2B1B" w:rsidRDefault="00FC2B1B" w:rsidP="00FC2B1B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12"/>
          <w:szCs w:val="12"/>
        </w:rPr>
      </w:pPr>
    </w:p>
    <w:p w14:paraId="0842ED51" w14:textId="5F916044" w:rsidR="00FB6491" w:rsidRPr="00FB6491" w:rsidRDefault="00FB6491">
      <w:pPr>
        <w:rPr>
          <w:rFonts w:asciiTheme="minorHAnsi" w:eastAsiaTheme="minorHAnsi" w:hAnsiTheme="minorHAnsi" w:cstheme="minorBidi"/>
          <w:b/>
          <w:color w:val="auto"/>
        </w:rPr>
      </w:pPr>
      <w:r w:rsidRPr="00FB6491">
        <w:rPr>
          <w:rFonts w:asciiTheme="minorHAnsi" w:eastAsiaTheme="minorHAnsi" w:hAnsiTheme="minorHAnsi" w:cstheme="minorBidi"/>
          <w:b/>
          <w:color w:val="auto"/>
        </w:rPr>
        <w:lastRenderedPageBreak/>
        <w:t>Appendix 2. Number of EQIP drought-conservation practices (points) applied between 2000 and 2016, per each 5 km</w:t>
      </w:r>
      <w:r w:rsidRPr="00FB6491">
        <w:rPr>
          <w:rFonts w:asciiTheme="minorHAnsi" w:eastAsiaTheme="minorHAnsi" w:hAnsiTheme="minorHAnsi" w:cstheme="minorBidi"/>
          <w:b/>
          <w:color w:val="auto"/>
          <w:vertAlign w:val="superscript"/>
        </w:rPr>
        <w:t xml:space="preserve">2 </w:t>
      </w:r>
      <w:r w:rsidRPr="00FB6491">
        <w:rPr>
          <w:rFonts w:asciiTheme="minorHAnsi" w:eastAsiaTheme="minorHAnsi" w:hAnsiTheme="minorHAnsi" w:cstheme="minorBidi"/>
          <w:b/>
          <w:color w:val="auto"/>
        </w:rPr>
        <w:t>hexagon unit</w:t>
      </w:r>
    </w:p>
    <w:p w14:paraId="781CE9D1" w14:textId="5CB3CCAE" w:rsidR="00FB6491" w:rsidRDefault="00FB6491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noProof/>
          <w:color w:val="auto"/>
        </w:rPr>
        <w:drawing>
          <wp:inline distT="0" distB="0" distL="0" distR="0" wp14:anchorId="78C0224C" wp14:editId="49490C81">
            <wp:extent cx="6042356" cy="302117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berofpractices per hexagon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559" cy="302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auto"/>
        </w:rPr>
        <w:br w:type="page"/>
      </w:r>
    </w:p>
    <w:p w14:paraId="369D1B2E" w14:textId="552B45AD" w:rsidR="00D13186" w:rsidRPr="007F65CE" w:rsidRDefault="00FC2B1B" w:rsidP="007F65CE">
      <w:pPr>
        <w:spacing w:line="240" w:lineRule="auto"/>
        <w:rPr>
          <w:rFonts w:asciiTheme="minorHAnsi" w:eastAsiaTheme="minorHAnsi" w:hAnsiTheme="minorHAnsi" w:cstheme="minorBidi"/>
          <w:b/>
          <w:color w:val="auto"/>
        </w:rPr>
      </w:pPr>
      <w:r w:rsidRPr="007F65CE">
        <w:rPr>
          <w:rFonts w:asciiTheme="minorHAnsi" w:eastAsiaTheme="minorHAnsi" w:hAnsiTheme="minorHAnsi" w:cstheme="minorBidi"/>
          <w:b/>
          <w:color w:val="auto"/>
        </w:rPr>
        <w:lastRenderedPageBreak/>
        <w:t xml:space="preserve">Appendix </w:t>
      </w:r>
      <w:r w:rsidR="00FB6491">
        <w:rPr>
          <w:rFonts w:asciiTheme="minorHAnsi" w:eastAsiaTheme="minorHAnsi" w:hAnsiTheme="minorHAnsi" w:cstheme="minorBidi"/>
          <w:b/>
          <w:color w:val="auto"/>
        </w:rPr>
        <w:t>3</w:t>
      </w:r>
      <w:r w:rsidRPr="007F65CE">
        <w:rPr>
          <w:rFonts w:asciiTheme="minorHAnsi" w:eastAsiaTheme="minorHAnsi" w:hAnsiTheme="minorHAnsi" w:cstheme="minorBidi"/>
          <w:b/>
          <w:color w:val="auto"/>
        </w:rPr>
        <w:t xml:space="preserve">. </w:t>
      </w:r>
      <w:r w:rsidR="007F65CE" w:rsidRPr="007F65CE">
        <w:rPr>
          <w:rFonts w:asciiTheme="minorHAnsi" w:eastAsiaTheme="minorHAnsi" w:hAnsiTheme="minorHAnsi" w:cstheme="minorBidi"/>
          <w:b/>
          <w:color w:val="auto"/>
        </w:rPr>
        <w:t xml:space="preserve">Supplementary information on the Moran’s I and </w:t>
      </w:r>
      <w:proofErr w:type="spellStart"/>
      <w:r w:rsidR="007F65CE" w:rsidRPr="007F65CE">
        <w:rPr>
          <w:rFonts w:asciiTheme="minorHAnsi" w:eastAsia="Times New Roman" w:hAnsiTheme="minorHAnsi" w:cs="Times New Roman"/>
          <w:b/>
          <w:color w:val="212121"/>
        </w:rPr>
        <w:t>Getis</w:t>
      </w:r>
      <w:proofErr w:type="spellEnd"/>
      <w:r w:rsidR="007F65CE" w:rsidRPr="007F65CE">
        <w:rPr>
          <w:rFonts w:asciiTheme="minorHAnsi" w:eastAsia="Times New Roman" w:hAnsiTheme="minorHAnsi" w:cs="Times New Roman"/>
          <w:b/>
          <w:color w:val="212121"/>
        </w:rPr>
        <w:t xml:space="preserve">-Ord </w:t>
      </w:r>
      <w:proofErr w:type="spellStart"/>
      <w:r w:rsidR="007F65CE" w:rsidRPr="007F65CE">
        <w:rPr>
          <w:rFonts w:asciiTheme="minorHAnsi" w:eastAsia="Times New Roman" w:hAnsiTheme="minorHAnsi" w:cs="Times New Roman"/>
          <w:b/>
          <w:color w:val="212121"/>
        </w:rPr>
        <w:t>Gi</w:t>
      </w:r>
      <w:proofErr w:type="spellEnd"/>
      <w:r w:rsidR="007F65CE" w:rsidRPr="007F65CE">
        <w:rPr>
          <w:rFonts w:asciiTheme="minorHAnsi" w:eastAsia="Times New Roman" w:hAnsiTheme="minorHAnsi" w:cs="Times New Roman"/>
          <w:b/>
          <w:color w:val="212121"/>
        </w:rPr>
        <w:t>* analyses</w:t>
      </w:r>
    </w:p>
    <w:p w14:paraId="63016A32" w14:textId="152AB540" w:rsidR="00D13186" w:rsidRPr="007F65CE" w:rsidRDefault="00D13186" w:rsidP="007F65CE">
      <w:pPr>
        <w:spacing w:line="240" w:lineRule="auto"/>
        <w:rPr>
          <w:rFonts w:asciiTheme="minorHAnsi" w:eastAsiaTheme="minorHAnsi" w:hAnsiTheme="minorHAnsi" w:cstheme="minorBidi"/>
          <w:color w:val="auto"/>
        </w:rPr>
      </w:pPr>
      <w:r w:rsidRPr="007F65CE">
        <w:rPr>
          <w:rFonts w:asciiTheme="minorHAnsi" w:eastAsia="Times New Roman" w:hAnsiTheme="minorHAnsi" w:cs="Times New Roman"/>
          <w:color w:val="212121"/>
        </w:rPr>
        <w:t>We used Moran’s I Spatial Autocorrelation to determine the optimum distance parameter for the hotspot analysis and to measure the global spatial autocorrelation of Puerto Rico at the island scale.  Secondly</w:t>
      </w:r>
      <w:r w:rsidR="007F65CE" w:rsidRPr="007F65CE">
        <w:rPr>
          <w:rFonts w:asciiTheme="minorHAnsi" w:eastAsia="Times New Roman" w:hAnsiTheme="minorHAnsi" w:cs="Times New Roman"/>
          <w:color w:val="212121"/>
        </w:rPr>
        <w:t>, we carried out hotspot analyse</w:t>
      </w:r>
      <w:r w:rsidRPr="007F65CE">
        <w:rPr>
          <w:rFonts w:asciiTheme="minorHAnsi" w:eastAsia="Times New Roman" w:hAnsiTheme="minorHAnsi" w:cs="Times New Roman"/>
          <w:color w:val="212121"/>
        </w:rPr>
        <w:t xml:space="preserve">s using </w:t>
      </w:r>
      <w:proofErr w:type="spellStart"/>
      <w:r w:rsidRPr="007F65CE">
        <w:rPr>
          <w:rFonts w:asciiTheme="minorHAnsi" w:eastAsia="Times New Roman" w:hAnsiTheme="minorHAnsi" w:cs="Times New Roman"/>
          <w:color w:val="212121"/>
        </w:rPr>
        <w:t>Getis</w:t>
      </w:r>
      <w:proofErr w:type="spellEnd"/>
      <w:r w:rsidRPr="007F65CE">
        <w:rPr>
          <w:rFonts w:asciiTheme="minorHAnsi" w:eastAsia="Times New Roman" w:hAnsiTheme="minorHAnsi" w:cs="Times New Roman"/>
          <w:color w:val="212121"/>
        </w:rPr>
        <w:t xml:space="preserve">-Ord </w:t>
      </w:r>
      <w:proofErr w:type="spellStart"/>
      <w:r w:rsidRPr="007F65CE">
        <w:rPr>
          <w:rFonts w:asciiTheme="minorHAnsi" w:eastAsia="Times New Roman" w:hAnsiTheme="minorHAnsi" w:cs="Times New Roman"/>
          <w:color w:val="212121"/>
        </w:rPr>
        <w:t>Gi</w:t>
      </w:r>
      <w:proofErr w:type="spellEnd"/>
      <w:r w:rsidRPr="007F65CE">
        <w:rPr>
          <w:rFonts w:asciiTheme="minorHAnsi" w:eastAsia="Times New Roman" w:hAnsiTheme="minorHAnsi" w:cs="Times New Roman"/>
          <w:color w:val="212121"/>
        </w:rPr>
        <w:t xml:space="preserve">* local clustering (with the zone of indifference conceptualization model) to evaluate and map </w:t>
      </w:r>
      <w:r w:rsidR="007F65CE" w:rsidRPr="007F65CE">
        <w:rPr>
          <w:rFonts w:asciiTheme="minorHAnsi" w:eastAsia="Times New Roman" w:hAnsiTheme="minorHAnsi" w:cs="Times New Roman"/>
          <w:color w:val="212121"/>
        </w:rPr>
        <w:t>the</w:t>
      </w:r>
      <w:r w:rsidRPr="007F65CE">
        <w:rPr>
          <w:rFonts w:asciiTheme="minorHAnsi" w:eastAsia="Times New Roman" w:hAnsiTheme="minorHAnsi" w:cs="Times New Roman"/>
          <w:color w:val="212121"/>
        </w:rPr>
        <w:t xml:space="preserve"> areas with high</w:t>
      </w:r>
      <w:r w:rsidR="007F65CE" w:rsidRPr="007F65CE">
        <w:rPr>
          <w:rFonts w:asciiTheme="minorHAnsi" w:eastAsia="Times New Roman" w:hAnsiTheme="minorHAnsi" w:cs="Times New Roman"/>
          <w:color w:val="212121"/>
        </w:rPr>
        <w:t xml:space="preserve"> </w:t>
      </w:r>
      <w:r w:rsidRPr="007F65CE">
        <w:rPr>
          <w:rFonts w:asciiTheme="minorHAnsi" w:eastAsia="Times New Roman" w:hAnsiTheme="minorHAnsi" w:cs="Times New Roman"/>
          <w:color w:val="212121"/>
        </w:rPr>
        <w:t>concentrations</w:t>
      </w:r>
      <w:r w:rsidR="007F65CE" w:rsidRPr="007F65CE">
        <w:rPr>
          <w:rFonts w:asciiTheme="minorHAnsi" w:eastAsia="Times New Roman" w:hAnsiTheme="minorHAnsi" w:cs="Times New Roman"/>
          <w:color w:val="212121"/>
        </w:rPr>
        <w:t xml:space="preserve"> (hotspots) or low concentrations (</w:t>
      </w:r>
      <w:proofErr w:type="spellStart"/>
      <w:r w:rsidR="007F65CE" w:rsidRPr="007F65CE">
        <w:rPr>
          <w:rFonts w:asciiTheme="minorHAnsi" w:eastAsia="Times New Roman" w:hAnsiTheme="minorHAnsi" w:cs="Times New Roman"/>
          <w:color w:val="212121"/>
        </w:rPr>
        <w:t>coldspots</w:t>
      </w:r>
      <w:proofErr w:type="spellEnd"/>
      <w:r w:rsidR="007F65CE" w:rsidRPr="007F65CE">
        <w:rPr>
          <w:rFonts w:asciiTheme="minorHAnsi" w:eastAsia="Times New Roman" w:hAnsiTheme="minorHAnsi" w:cs="Times New Roman"/>
          <w:color w:val="212121"/>
        </w:rPr>
        <w:t>)</w:t>
      </w:r>
      <w:r w:rsidRPr="007F65CE">
        <w:rPr>
          <w:rFonts w:asciiTheme="minorHAnsi" w:eastAsia="Times New Roman" w:hAnsiTheme="minorHAnsi" w:cs="Times New Roman"/>
          <w:color w:val="212121"/>
        </w:rPr>
        <w:t xml:space="preserve"> of conservation practices. </w:t>
      </w:r>
      <w:r w:rsidR="007F65CE" w:rsidRPr="007F65CE">
        <w:rPr>
          <w:rFonts w:asciiTheme="minorHAnsi" w:eastAsia="Times New Roman" w:hAnsiTheme="minorHAnsi" w:cs="Times New Roman"/>
          <w:color w:val="212121"/>
        </w:rPr>
        <w:t>The table below</w:t>
      </w:r>
      <w:r w:rsidRPr="007F65CE">
        <w:rPr>
          <w:rFonts w:asciiTheme="minorHAnsi" w:eastAsia="Times New Roman" w:hAnsiTheme="minorHAnsi" w:cs="Times New Roman"/>
          <w:color w:val="212121"/>
        </w:rPr>
        <w:t xml:space="preserve"> presents the maximum peak distance band, Moran’s Index, z-score, and p-values for each of </w:t>
      </w:r>
      <w:r w:rsidR="007F65CE" w:rsidRPr="007F65CE">
        <w:rPr>
          <w:rFonts w:asciiTheme="minorHAnsi" w:eastAsia="Times New Roman" w:hAnsiTheme="minorHAnsi" w:cs="Times New Roman"/>
          <w:color w:val="212121"/>
        </w:rPr>
        <w:t>hotspot analyses conducted</w:t>
      </w:r>
      <w:r w:rsidRPr="007F65CE">
        <w:rPr>
          <w:rFonts w:asciiTheme="minorHAnsi" w:eastAsia="Times New Roman" w:hAnsiTheme="minorHAnsi" w:cs="Times New Roman"/>
          <w:color w:val="212121"/>
        </w:rPr>
        <w:t xml:space="preserve">. </w:t>
      </w:r>
      <w:r w:rsidRPr="007F65CE">
        <w:rPr>
          <w:rFonts w:asciiTheme="minorHAnsi" w:eastAsiaTheme="minorHAnsi" w:hAnsiTheme="minorHAnsi" w:cstheme="minorBidi"/>
          <w:color w:val="auto"/>
        </w:rPr>
        <w:t xml:space="preserve">EQIP stands for Environmental Quality Incentives Program. </w:t>
      </w:r>
    </w:p>
    <w:p w14:paraId="69E2F0C1" w14:textId="490F0146" w:rsidR="00FC2B1B" w:rsidRPr="00FC2B1B" w:rsidRDefault="00FC2B1B" w:rsidP="00FC2B1B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</w:rPr>
      </w:pPr>
    </w:p>
    <w:tbl>
      <w:tblPr>
        <w:tblW w:w="990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310"/>
        <w:gridCol w:w="1260"/>
        <w:gridCol w:w="1530"/>
        <w:gridCol w:w="900"/>
        <w:gridCol w:w="900"/>
      </w:tblGrid>
      <w:tr w:rsidR="00FC2B1B" w:rsidRPr="00FC2B1B" w14:paraId="6AEE0107" w14:textId="77777777" w:rsidTr="00FC2B1B">
        <w:trPr>
          <w:trHeight w:val="300"/>
        </w:trPr>
        <w:tc>
          <w:tcPr>
            <w:tcW w:w="5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3B0B62" w14:textId="4CFFD53E" w:rsidR="00FC2B1B" w:rsidRPr="00FC2B1B" w:rsidRDefault="007F65CE" w:rsidP="007F65CE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Hotspot Analyses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07E53" w14:textId="77777777" w:rsidR="00FC2B1B" w:rsidRPr="00FC2B1B" w:rsidRDefault="00FC2B1B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Distance band (km)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6B1A2E" w14:textId="77777777" w:rsidR="00FC2B1B" w:rsidRPr="00FC2B1B" w:rsidRDefault="00FC2B1B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Moran’s Index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D84370" w14:textId="77777777" w:rsidR="00FC2B1B" w:rsidRPr="00FC2B1B" w:rsidRDefault="00FC2B1B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z-score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9FC24D" w14:textId="77777777" w:rsidR="00FC2B1B" w:rsidRPr="00FC2B1B" w:rsidRDefault="00FC2B1B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p-value</w:t>
            </w:r>
          </w:p>
        </w:tc>
      </w:tr>
      <w:tr w:rsidR="00FC2B1B" w:rsidRPr="00FC2B1B" w14:paraId="2576946E" w14:textId="77777777" w:rsidTr="00FC2B1B">
        <w:trPr>
          <w:trHeight w:val="300"/>
        </w:trPr>
        <w:tc>
          <w:tcPr>
            <w:tcW w:w="53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AA4987" w14:textId="77777777" w:rsidR="00FC2B1B" w:rsidRPr="00FC2B1B" w:rsidRDefault="00FC2B1B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 xml:space="preserve">All EQIP related practices (2000 - 2016)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D38DBE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7.50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F199B9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0.16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A33708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28.28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830C2B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FC2B1B" w:rsidRPr="00FC2B1B" w14:paraId="26309B8A" w14:textId="77777777" w:rsidTr="00FC2B1B">
        <w:trPr>
          <w:trHeight w:val="300"/>
        </w:trPr>
        <w:tc>
          <w:tcPr>
            <w:tcW w:w="5310" w:type="dxa"/>
            <w:shd w:val="clear" w:color="auto" w:fill="auto"/>
            <w:noWrap/>
            <w:vAlign w:val="bottom"/>
            <w:hideMark/>
          </w:tcPr>
          <w:p w14:paraId="51290C63" w14:textId="77777777" w:rsidR="00FC2B1B" w:rsidRPr="00FC2B1B" w:rsidRDefault="00FC2B1B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Plant health related practices (2000 - 2016)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CD164C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5.00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CDD1D68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BDD050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21.62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1ED4303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FC2B1B" w:rsidRPr="00FC2B1B" w14:paraId="65565930" w14:textId="77777777" w:rsidTr="00FC2B1B">
        <w:trPr>
          <w:trHeight w:val="300"/>
        </w:trPr>
        <w:tc>
          <w:tcPr>
            <w:tcW w:w="5310" w:type="dxa"/>
            <w:shd w:val="clear" w:color="auto" w:fill="auto"/>
            <w:noWrap/>
            <w:vAlign w:val="bottom"/>
            <w:hideMark/>
          </w:tcPr>
          <w:p w14:paraId="31CBC19E" w14:textId="0E754321" w:rsidR="00FC2B1B" w:rsidRPr="00FC2B1B" w:rsidRDefault="00262682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Soil health </w:t>
            </w:r>
            <w:r w:rsidR="00FC2B1B" w:rsidRPr="00FC2B1B">
              <w:rPr>
                <w:rFonts w:ascii="Calibri" w:eastAsia="Times New Roman" w:hAnsi="Calibri" w:cs="Times New Roman"/>
              </w:rPr>
              <w:t>related practices (2000 - 2016)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CFA4FC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11.00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8F94889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60ACAD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34.46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CD3AD2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FC2B1B" w:rsidRPr="00FC2B1B" w14:paraId="61ED146A" w14:textId="77777777" w:rsidTr="00FC2B1B">
        <w:trPr>
          <w:trHeight w:val="300"/>
        </w:trPr>
        <w:tc>
          <w:tcPr>
            <w:tcW w:w="5310" w:type="dxa"/>
            <w:shd w:val="clear" w:color="auto" w:fill="auto"/>
            <w:noWrap/>
            <w:vAlign w:val="bottom"/>
            <w:hideMark/>
          </w:tcPr>
          <w:p w14:paraId="3CA86A8B" w14:textId="77777777" w:rsidR="00FC2B1B" w:rsidRPr="00FC2B1B" w:rsidRDefault="00FC2B1B" w:rsidP="00FC2B1B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Water availability related practices (2000 - 2016)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0C23C0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5.00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0C43AA5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0A80C5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19.00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FABB37" w14:textId="77777777" w:rsidR="00FC2B1B" w:rsidRPr="00FC2B1B" w:rsidRDefault="00FC2B1B" w:rsidP="00FC2B1B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C2B1B">
              <w:rPr>
                <w:rFonts w:ascii="Calibri" w:eastAsia="Times New Roman" w:hAnsi="Calibri" w:cs="Times New Roman"/>
              </w:rPr>
              <w:t>0.00</w:t>
            </w:r>
          </w:p>
        </w:tc>
      </w:tr>
    </w:tbl>
    <w:p w14:paraId="53BCEA94" w14:textId="77777777" w:rsidR="00752731" w:rsidRDefault="00752731" w:rsidP="00FC2B1B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4"/>
          <w:szCs w:val="12"/>
        </w:rPr>
      </w:pPr>
    </w:p>
    <w:p w14:paraId="0F360AA9" w14:textId="77777777" w:rsidR="007F65CE" w:rsidRDefault="007F65CE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br w:type="page"/>
      </w:r>
    </w:p>
    <w:p w14:paraId="2954D6CF" w14:textId="56A1322F" w:rsidR="007F65CE" w:rsidRPr="009D1AB9" w:rsidRDefault="00FC2B1B" w:rsidP="007F65CE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szCs w:val="12"/>
        </w:rPr>
      </w:pPr>
      <w:r w:rsidRPr="00FC2B1B">
        <w:rPr>
          <w:rFonts w:asciiTheme="minorHAnsi" w:eastAsiaTheme="minorHAnsi" w:hAnsiTheme="minorHAnsi" w:cstheme="minorBidi"/>
          <w:b/>
          <w:color w:val="auto"/>
        </w:rPr>
        <w:lastRenderedPageBreak/>
        <w:t xml:space="preserve">Appendix </w:t>
      </w:r>
      <w:r w:rsidR="00FB6491">
        <w:rPr>
          <w:rFonts w:asciiTheme="minorHAnsi" w:eastAsiaTheme="minorHAnsi" w:hAnsiTheme="minorHAnsi" w:cstheme="minorBidi"/>
          <w:b/>
          <w:color w:val="auto"/>
        </w:rPr>
        <w:t>4</w:t>
      </w:r>
      <w:r w:rsidRPr="00FC2B1B">
        <w:rPr>
          <w:rFonts w:asciiTheme="minorHAnsi" w:eastAsiaTheme="minorHAnsi" w:hAnsiTheme="minorHAnsi" w:cstheme="minorBidi"/>
          <w:color w:val="auto"/>
        </w:rPr>
        <w:t xml:space="preserve">.  </w:t>
      </w:r>
      <w:r w:rsidR="007F65CE" w:rsidRPr="007F65CE">
        <w:rPr>
          <w:rFonts w:asciiTheme="minorHAnsi" w:eastAsiaTheme="minorHAnsi" w:hAnsiTheme="minorHAnsi" w:cstheme="minorBidi"/>
          <w:color w:val="auto"/>
        </w:rPr>
        <w:t>Agricultural</w:t>
      </w:r>
      <w:r w:rsidRPr="007F65CE">
        <w:rPr>
          <w:rFonts w:asciiTheme="minorHAnsi" w:eastAsiaTheme="minorHAnsi" w:hAnsiTheme="minorHAnsi" w:cstheme="minorBidi"/>
          <w:color w:val="auto"/>
        </w:rPr>
        <w:t xml:space="preserve"> losses</w:t>
      </w:r>
      <w:r w:rsidR="007F65CE" w:rsidRPr="007F65CE">
        <w:rPr>
          <w:rFonts w:asciiTheme="minorHAnsi" w:eastAsiaTheme="minorHAnsi" w:hAnsiTheme="minorHAnsi" w:cstheme="minorBidi"/>
          <w:color w:val="auto"/>
        </w:rPr>
        <w:t xml:space="preserve"> (in US dollars)</w:t>
      </w:r>
      <w:r w:rsidRPr="007F65CE">
        <w:rPr>
          <w:rFonts w:asciiTheme="minorHAnsi" w:eastAsiaTheme="minorHAnsi" w:hAnsiTheme="minorHAnsi" w:cstheme="minorBidi"/>
          <w:color w:val="auto"/>
        </w:rPr>
        <w:t xml:space="preserve"> </w:t>
      </w:r>
      <w:r w:rsidR="007F65CE" w:rsidRPr="007F65CE">
        <w:rPr>
          <w:rFonts w:asciiTheme="minorHAnsi" w:eastAsiaTheme="minorHAnsi" w:hAnsiTheme="minorHAnsi" w:cstheme="minorBidi"/>
          <w:color w:val="auto"/>
        </w:rPr>
        <w:t xml:space="preserve">in 2015 </w:t>
      </w:r>
      <w:r w:rsidRPr="007F65CE">
        <w:rPr>
          <w:rFonts w:asciiTheme="minorHAnsi" w:eastAsiaTheme="minorHAnsi" w:hAnsiTheme="minorHAnsi" w:cstheme="minorBidi"/>
          <w:color w:val="auto"/>
        </w:rPr>
        <w:t xml:space="preserve">due to </w:t>
      </w:r>
      <w:r w:rsidR="007F65CE" w:rsidRPr="007F65CE">
        <w:rPr>
          <w:rFonts w:asciiTheme="minorHAnsi" w:eastAsiaTheme="minorHAnsi" w:hAnsiTheme="minorHAnsi" w:cstheme="minorBidi"/>
          <w:color w:val="auto"/>
        </w:rPr>
        <w:t>drought conditions across Puerto Rico</w:t>
      </w:r>
      <w:r w:rsidRPr="007F65CE">
        <w:rPr>
          <w:rFonts w:asciiTheme="minorHAnsi" w:eastAsiaTheme="minorHAnsi" w:hAnsiTheme="minorHAnsi" w:cstheme="minorBidi"/>
          <w:color w:val="auto"/>
        </w:rPr>
        <w:t>.</w:t>
      </w:r>
      <w:r w:rsidR="007F65CE" w:rsidRPr="007F65CE">
        <w:rPr>
          <w:rFonts w:asciiTheme="minorHAnsi" w:eastAsiaTheme="minorHAnsi" w:hAnsiTheme="minorHAnsi" w:cstheme="minorBidi"/>
          <w:color w:val="auto"/>
        </w:rPr>
        <w:t xml:space="preserve"> Data derived from the Puerto Rico Department of Agriculture preliminary reports of crop loss</w:t>
      </w:r>
      <w:r w:rsidR="00B70654">
        <w:rPr>
          <w:rFonts w:asciiTheme="minorHAnsi" w:eastAsiaTheme="minorHAnsi" w:hAnsiTheme="minorHAnsi" w:cstheme="minorBidi"/>
          <w:color w:val="auto"/>
        </w:rPr>
        <w:t>es;</w:t>
      </w:r>
      <w:r w:rsidR="007F65CE" w:rsidRPr="007F65CE">
        <w:rPr>
          <w:rFonts w:asciiTheme="minorHAnsi" w:eastAsiaTheme="minorHAnsi" w:hAnsiTheme="minorHAnsi" w:cstheme="minorBidi"/>
          <w:color w:val="auto"/>
        </w:rPr>
        <w:t xml:space="preserve"> 2017.</w:t>
      </w:r>
    </w:p>
    <w:tbl>
      <w:tblPr>
        <w:tblW w:w="1045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998"/>
        <w:gridCol w:w="2682"/>
        <w:gridCol w:w="1848"/>
        <w:gridCol w:w="1860"/>
      </w:tblGrid>
      <w:tr w:rsidR="009D1AB9" w:rsidRPr="009D1AB9" w14:paraId="37BC1D3F" w14:textId="77777777" w:rsidTr="00D70C48">
        <w:trPr>
          <w:trHeight w:val="20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FC7135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D1AB9">
              <w:rPr>
                <w:rFonts w:ascii="Calibri" w:eastAsia="Times New Roman" w:hAnsi="Calibri" w:cs="Times New Roman"/>
                <w:b/>
                <w:bCs/>
              </w:rPr>
              <w:t>Affected products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8FD8B1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D1AB9">
              <w:rPr>
                <w:rFonts w:ascii="Calibri" w:eastAsia="Times New Roman" w:hAnsi="Calibri" w:cs="Times New Roman"/>
                <w:b/>
                <w:bCs/>
              </w:rPr>
              <w:t>Spanish name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78E15B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D1AB9">
              <w:rPr>
                <w:rFonts w:ascii="Calibri" w:eastAsia="Times New Roman" w:hAnsi="Calibri" w:cs="Times New Roman"/>
                <w:b/>
                <w:bCs/>
              </w:rPr>
              <w:t>Scientific name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6A3ED7" w14:textId="6E55EC2F" w:rsidR="009D1AB9" w:rsidRPr="009D1AB9" w:rsidRDefault="007F65CE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Value of l</w:t>
            </w:r>
            <w:r w:rsidR="009D1AB9" w:rsidRPr="009D1AB9">
              <w:rPr>
                <w:rFonts w:ascii="Calibri" w:eastAsia="Times New Roman" w:hAnsi="Calibri" w:cs="Times New Roman"/>
                <w:b/>
                <w:bCs/>
              </w:rPr>
              <w:t>oss ($)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F9B5B0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9D1AB9">
              <w:rPr>
                <w:rFonts w:ascii="Calibri" w:eastAsia="Times New Roman" w:hAnsi="Calibri" w:cs="Times New Roman"/>
                <w:b/>
                <w:bCs/>
              </w:rPr>
              <w:t>Percent of total losses (%)</w:t>
            </w:r>
          </w:p>
        </w:tc>
      </w:tr>
      <w:tr w:rsidR="009D1AB9" w:rsidRPr="009D1AB9" w14:paraId="5F9C7CBA" w14:textId="77777777" w:rsidTr="00D70C48">
        <w:trPr>
          <w:trHeight w:val="303"/>
        </w:trPr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ABA7A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Grass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90A3D4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Grama</w:t>
            </w:r>
            <w:proofErr w:type="spellEnd"/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9B6C3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</w:rPr>
            </w:pPr>
            <w:r w:rsidRPr="009D1AB9">
              <w:rPr>
                <w:rFonts w:ascii="Calibri" w:eastAsia="Times New Roman" w:hAnsi="Calibri" w:cs="Times New Roman"/>
                <w:i/>
              </w:rPr>
              <w:t>Various species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1519E7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4,621,373.00 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8F7C33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33.418</w:t>
            </w:r>
          </w:p>
        </w:tc>
      </w:tr>
      <w:tr w:rsidR="009D1AB9" w:rsidRPr="009D1AB9" w14:paraId="7C9E4F50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169E15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Fodder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25F74E94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Pasto/</w:t>
            </w:r>
            <w:proofErr w:type="spellStart"/>
            <w:r w:rsidRPr="009D1AB9">
              <w:rPr>
                <w:rFonts w:ascii="Calibri" w:eastAsia="Times New Roman" w:hAnsi="Calibri" w:cs="Times New Roman"/>
              </w:rPr>
              <w:t>Forraje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1B8E5A89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</w:rPr>
            </w:pPr>
            <w:r w:rsidRPr="009D1AB9">
              <w:rPr>
                <w:rFonts w:ascii="Calibri" w:eastAsia="Times New Roman" w:hAnsi="Calibri" w:cs="Times New Roman"/>
                <w:i/>
              </w:rPr>
              <w:t>Various species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F33FA48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3,980,516.40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815850E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28.784</w:t>
            </w:r>
          </w:p>
        </w:tc>
      </w:tr>
      <w:tr w:rsidR="009D1AB9" w:rsidRPr="009D1AB9" w14:paraId="362FE07B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055991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Plantain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4EDFBA7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Plátano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780215CA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Musa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acuminata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30AD20F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3,109,425.24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1293DAC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22.485</w:t>
            </w:r>
          </w:p>
        </w:tc>
      </w:tr>
      <w:tr w:rsidR="009D1AB9" w:rsidRPr="009D1AB9" w14:paraId="68DE4D5A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5C395DD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Cattle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1B592E8E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</w:rPr>
            </w:pPr>
            <w:r w:rsidRPr="009D1AB9">
              <w:rPr>
                <w:rFonts w:ascii="Calibri" w:eastAsia="Times New Roman" w:hAnsi="Calibri" w:cs="Times New Roman"/>
                <w:i/>
              </w:rPr>
              <w:t>Ganado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475BCD4F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</w:rPr>
            </w:pPr>
            <w:r w:rsidRPr="009D1AB9">
              <w:rPr>
                <w:rFonts w:ascii="Calibri" w:eastAsia="Times New Roman" w:hAnsi="Calibri" w:cs="Times New Roman"/>
                <w:i/>
              </w:rPr>
              <w:t>Various species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7E033BB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750,680.00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F2D5337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5.428</w:t>
            </w:r>
          </w:p>
        </w:tc>
      </w:tr>
      <w:tr w:rsidR="009D1AB9" w:rsidRPr="009D1AB9" w14:paraId="3D6568B8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34A76DF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Culantro</w:t>
            </w:r>
            <w:proofErr w:type="spellEnd"/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4ABF288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Recao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22834D0A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Eryngium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foetidum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22F4BBB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441,300.00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B790946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3.191</w:t>
            </w:r>
          </w:p>
        </w:tc>
      </w:tr>
      <w:tr w:rsidR="009D1AB9" w:rsidRPr="009D1AB9" w14:paraId="211840FF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66F2DB6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Yam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22399B47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Ñame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1706A586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bCs/>
                <w:i/>
                <w:iCs/>
              </w:rPr>
              <w:t>Dioscorea</w:t>
            </w:r>
            <w:proofErr w:type="spellEnd"/>
            <w:r w:rsidRPr="009D1AB9">
              <w:rPr>
                <w:rFonts w:ascii="Calibri" w:eastAsia="Times New Roman" w:hAnsi="Calibri" w:cs="Times New Roman"/>
                <w:bCs/>
                <w:i/>
                <w:iCs/>
              </w:rPr>
              <w:t xml:space="preserve"> L.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508B807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330,880.00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A88E724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2.393</w:t>
            </w:r>
          </w:p>
        </w:tc>
      </w:tr>
      <w:tr w:rsidR="009D1AB9" w:rsidRPr="009D1AB9" w14:paraId="294C3FC5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A824636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Cilantro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32CC5BB6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Cilantrillo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64E723A4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Coriandrum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sativum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24F3235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120,015.00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345D6C0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0.868</w:t>
            </w:r>
          </w:p>
        </w:tc>
      </w:tr>
      <w:tr w:rsidR="009D1AB9" w:rsidRPr="009D1AB9" w14:paraId="41446F19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D372F00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Avocado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7912F9F3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Aguacate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680BCF4B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Persea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americana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81C5F5E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65,920.50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3835AEF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0.477</w:t>
            </w:r>
          </w:p>
        </w:tc>
      </w:tr>
      <w:tr w:rsidR="009D1AB9" w:rsidRPr="009D1AB9" w14:paraId="6A9F94EF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966D79D" w14:textId="5A33E17B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Yautia</w:t>
            </w:r>
            <w:proofErr w:type="spellEnd"/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796A9173" w14:textId="359040B4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Yautía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085AECE1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Xanthosoma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spp.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33E3035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63,611.62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3CC2B23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0.460</w:t>
            </w:r>
          </w:p>
        </w:tc>
      </w:tr>
      <w:tr w:rsidR="009D1AB9" w:rsidRPr="009D1AB9" w14:paraId="3FE28DC2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7219003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Pumpkin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2D9E67E2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Calabaza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310403B2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9D1AB9">
              <w:rPr>
                <w:rFonts w:ascii="Calibri" w:eastAsia="Times New Roman" w:hAnsi="Calibri" w:cs="Times New Roman"/>
                <w:i/>
                <w:iCs/>
              </w:rPr>
              <w:t>Cucurbita spp.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20E9F28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56,669.75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5FC6CB2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0.410</w:t>
            </w:r>
          </w:p>
        </w:tc>
      </w:tr>
      <w:tr w:rsidR="009D1AB9" w:rsidRPr="009D1AB9" w14:paraId="0E0E8D56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1651292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Arracacha</w:t>
            </w:r>
            <w:proofErr w:type="spellEnd"/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4D866A6B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Apio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38AD5C9E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Arracacia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xanthorrhiza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C6F9C1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55,524.72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5685196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0.402</w:t>
            </w:r>
          </w:p>
        </w:tc>
      </w:tr>
      <w:tr w:rsidR="009D1AB9" w:rsidRPr="009D1AB9" w14:paraId="0B410E5B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F50C54D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Sweet chili pepper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38AE097E" w14:textId="0587AC65" w:rsidR="009D1AB9" w:rsidRPr="009D1AB9" w:rsidRDefault="007F65CE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Ají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07AEFD8B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</w:rPr>
            </w:pPr>
            <w:r w:rsidRPr="009D1AB9">
              <w:rPr>
                <w:rFonts w:ascii="Calibri" w:eastAsia="Times New Roman" w:hAnsi="Calibri" w:cs="Times New Roman"/>
                <w:bCs/>
                <w:i/>
              </w:rPr>
              <w:t xml:space="preserve">Capsicum </w:t>
            </w:r>
            <w:proofErr w:type="spellStart"/>
            <w:r w:rsidRPr="009D1AB9">
              <w:rPr>
                <w:rFonts w:ascii="Calibri" w:eastAsia="Times New Roman" w:hAnsi="Calibri" w:cs="Times New Roman"/>
                <w:bCs/>
                <w:i/>
              </w:rPr>
              <w:t>chinense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F417E02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54,942.30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E8BFBA0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0.397</w:t>
            </w:r>
          </w:p>
        </w:tc>
      </w:tr>
      <w:tr w:rsidR="009D1AB9" w:rsidRPr="009D1AB9" w14:paraId="52A05CD3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9D07BD2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Banana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2E2AFB0F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Guineo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41EE4B23" w14:textId="2AD5DB4E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Musa spp. 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C54BA3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52,291.66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4F3A8D2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0.378</w:t>
            </w:r>
          </w:p>
        </w:tc>
      </w:tr>
      <w:tr w:rsidR="009D1AB9" w:rsidRPr="009D1AB9" w14:paraId="6659651F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D15F101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Ginger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7DCB91D8" w14:textId="0CC2A26D" w:rsidR="009D1AB9" w:rsidRPr="009D1AB9" w:rsidRDefault="007F65CE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Jeng</w:t>
            </w:r>
            <w:r w:rsidR="009D1AB9" w:rsidRPr="009D1AB9">
              <w:rPr>
                <w:rFonts w:ascii="Calibri" w:eastAsia="Times New Roman" w:hAnsi="Calibri" w:cs="Times New Roman"/>
              </w:rPr>
              <w:t>ibre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05A70DA0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Zingiber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officinale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C253DE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36,920.40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E1853F2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0.267</w:t>
            </w:r>
          </w:p>
        </w:tc>
      </w:tr>
      <w:tr w:rsidR="009D1AB9" w:rsidRPr="009D1AB9" w14:paraId="69B0D1D1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E8939EB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Papaya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417FB62D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Papaya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5B7CB2F7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Carica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papaya L.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9EA86AB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15,156.36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53D3F44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0.110</w:t>
            </w:r>
          </w:p>
        </w:tc>
      </w:tr>
      <w:tr w:rsidR="009D1AB9" w:rsidRPr="009D1AB9" w14:paraId="0A0DADD3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F6E2F05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Watermelon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010EA278" w14:textId="506CE014" w:rsidR="009D1AB9" w:rsidRPr="009D1AB9" w:rsidRDefault="007F65CE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Melon </w:t>
            </w:r>
            <w:proofErr w:type="spellStart"/>
            <w:r>
              <w:rPr>
                <w:rFonts w:ascii="Calibri" w:eastAsia="Times New Roman" w:hAnsi="Calibri" w:cs="Times New Roman"/>
              </w:rPr>
              <w:t>sandí</w:t>
            </w:r>
            <w:r w:rsidR="009D1AB9" w:rsidRPr="009D1AB9">
              <w:rPr>
                <w:rFonts w:ascii="Calibri" w:eastAsia="Times New Roman" w:hAnsi="Calibri" w:cs="Times New Roman"/>
              </w:rPr>
              <w:t>a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297B8C4B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Citrullus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lanatus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3C1E3A8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14,839.20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0474ACF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0.107</w:t>
            </w:r>
          </w:p>
        </w:tc>
      </w:tr>
      <w:tr w:rsidR="009D1AB9" w:rsidRPr="009D1AB9" w14:paraId="681D9C0E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9D21F84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Chayote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1D0FD6B5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Chayote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03ACA9B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bCs/>
                <w:i/>
                <w:iCs/>
              </w:rPr>
              <w:t>Sechium</w:t>
            </w:r>
            <w:proofErr w:type="spellEnd"/>
            <w:r w:rsidRPr="009D1AB9">
              <w:rPr>
                <w:rFonts w:ascii="Calibri" w:eastAsia="Times New Roman" w:hAnsi="Calibri" w:cs="Times New Roman"/>
                <w:bCs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bCs/>
                <w:i/>
                <w:iCs/>
              </w:rPr>
              <w:t>edule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11F84BD2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14,771.25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D816571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0.107</w:t>
            </w:r>
          </w:p>
        </w:tc>
      </w:tr>
      <w:tr w:rsidR="009D1AB9" w:rsidRPr="009D1AB9" w14:paraId="528DB8D9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2F8B69A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Cassava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2A8212E7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Yuca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5B1C0367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Manihot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esculenta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Crantz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CBB7E4D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13,767.60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FE941CA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0.100</w:t>
            </w:r>
          </w:p>
        </w:tc>
      </w:tr>
      <w:tr w:rsidR="009D1AB9" w:rsidRPr="009D1AB9" w14:paraId="65D65CC0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1F94E33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Sweet potato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7439CD8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Batata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688F5796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Ipomoea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batatas</w:t>
            </w:r>
            <w:proofErr w:type="spellEnd"/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E200CB4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11,048.28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E942EDC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0.080</w:t>
            </w:r>
          </w:p>
        </w:tc>
      </w:tr>
      <w:tr w:rsidR="009D1AB9" w:rsidRPr="009D1AB9" w14:paraId="632931D5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BB11FBE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Eggplant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051BAEBE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Berenja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120B6619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Solanum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melongena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L.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A5893F7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8,887.68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3313E21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0.064</w:t>
            </w:r>
          </w:p>
        </w:tc>
      </w:tr>
      <w:tr w:rsidR="009D1AB9" w:rsidRPr="009D1AB9" w14:paraId="03290DC3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E699AE9" w14:textId="6CF396EC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443EC7">
              <w:rPr>
                <w:rFonts w:ascii="Calibri" w:eastAsia="Times New Roman" w:hAnsi="Calibri" w:cs="Times New Roman"/>
              </w:rPr>
              <w:t>Dasheen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7468B103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Malanga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6F5BAE28" w14:textId="139211D3" w:rsidR="009D1AB9" w:rsidRPr="009D1AB9" w:rsidRDefault="009D1AB9" w:rsidP="00443EC7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Colocasia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esculenta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B352E4B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3,660.80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23DAD2B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0.026</w:t>
            </w:r>
          </w:p>
        </w:tc>
      </w:tr>
      <w:tr w:rsidR="009D1AB9" w:rsidRPr="009D1AB9" w14:paraId="28BA3738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9019BB9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Beans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2DBFF6A8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Habichuelas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38664B78" w14:textId="6C17F52B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</w:rPr>
              <w:t>Phaseoulus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</w:rPr>
              <w:t xml:space="preserve"> spp.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76A1C86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3,163.44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CD52A07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0.023</w:t>
            </w:r>
          </w:p>
        </w:tc>
      </w:tr>
      <w:tr w:rsidR="009D1AB9" w:rsidRPr="009D1AB9" w14:paraId="2BCA1845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AE52FA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Cucumber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1562822C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Pepinillo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7F289DA9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Cucumis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sativus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L.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43547C4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1,562.85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B0F0F49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0.011</w:t>
            </w:r>
          </w:p>
        </w:tc>
      </w:tr>
      <w:tr w:rsidR="009D1AB9" w:rsidRPr="009D1AB9" w14:paraId="368B3635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311E41D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Coffee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6068E63A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Café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33553A08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  <w:i/>
                <w:iCs/>
              </w:rPr>
              <w:t>Coffea</w:t>
            </w:r>
            <w:proofErr w:type="spellEnd"/>
            <w:r w:rsidRPr="009D1AB9">
              <w:rPr>
                <w:rFonts w:ascii="Calibri" w:eastAsia="Times New Roman" w:hAnsi="Calibri" w:cs="Times New Roman"/>
                <w:i/>
                <w:iCs/>
              </w:rPr>
              <w:t xml:space="preserve"> spp.</w:t>
            </w:r>
            <w:r w:rsidRPr="009D1AB9">
              <w:rPr>
                <w:rFonts w:ascii="Calibri" w:eastAsia="Times New Roman" w:hAnsi="Calibri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A01228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 1,534.08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2E56CCA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0.011</w:t>
            </w:r>
          </w:p>
        </w:tc>
      </w:tr>
      <w:tr w:rsidR="009D1AB9" w:rsidRPr="009D1AB9" w14:paraId="694824AE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5AB6B45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Green bean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6C3F02A4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D1AB9">
              <w:rPr>
                <w:rFonts w:ascii="Calibri" w:eastAsia="Times New Roman" w:hAnsi="Calibri" w:cs="Times New Roman"/>
              </w:rPr>
              <w:t>Habichuelas</w:t>
            </w:r>
            <w:proofErr w:type="spellEnd"/>
            <w:r w:rsidRPr="009D1AB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D1AB9">
              <w:rPr>
                <w:rFonts w:ascii="Calibri" w:eastAsia="Times New Roman" w:hAnsi="Calibri" w:cs="Times New Roman"/>
              </w:rPr>
              <w:t>verdes</w:t>
            </w:r>
            <w:proofErr w:type="spellEnd"/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48553FD8" w14:textId="2966B210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i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</w:rPr>
              <w:t>Phaseoulus</w:t>
            </w:r>
            <w:proofErr w:type="spellEnd"/>
            <w:r>
              <w:rPr>
                <w:rFonts w:ascii="Calibri" w:eastAsia="Times New Roman" w:hAnsi="Calibri" w:cs="Times New Roman"/>
                <w:i/>
              </w:rPr>
              <w:t xml:space="preserve"> spp.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97F1B76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 xml:space="preserve">391.68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C4D371C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9D1AB9">
              <w:rPr>
                <w:rFonts w:ascii="Calibri" w:eastAsia="Times New Roman" w:hAnsi="Calibri" w:cs="Times New Roman"/>
              </w:rPr>
              <w:t>0.003</w:t>
            </w:r>
          </w:p>
        </w:tc>
      </w:tr>
      <w:tr w:rsidR="009D1AB9" w:rsidRPr="009D1AB9" w14:paraId="2E9CA7B0" w14:textId="77777777" w:rsidTr="00D70C48">
        <w:trPr>
          <w:trHeight w:val="2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FB41CA0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b/>
              </w:rPr>
            </w:pPr>
            <w:r w:rsidRPr="009D1AB9">
              <w:rPr>
                <w:rFonts w:ascii="Calibri" w:eastAsia="Times New Roman" w:hAnsi="Calibri" w:cs="Times New Roman"/>
                <w:b/>
              </w:rPr>
              <w:t>TOTAL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0BBAF1CE" w14:textId="77777777" w:rsidR="009D1AB9" w:rsidRPr="009D1AB9" w:rsidRDefault="009D1AB9" w:rsidP="009D1AB9">
            <w:pPr>
              <w:spacing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1DDB30D9" w14:textId="77777777" w:rsidR="009D1AB9" w:rsidRPr="009D1AB9" w:rsidRDefault="009D1AB9" w:rsidP="009D1AB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CEDB378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9D1AB9">
              <w:rPr>
                <w:rFonts w:ascii="Calibri" w:eastAsia="Times New Roman" w:hAnsi="Calibri" w:cs="Times New Roman"/>
                <w:b/>
              </w:rPr>
              <w:t xml:space="preserve"> 13,828,853.81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60AFD1A" w14:textId="77777777" w:rsidR="009D1AB9" w:rsidRPr="009D1AB9" w:rsidRDefault="009D1AB9" w:rsidP="009D1AB9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 w:rsidRPr="009D1AB9">
              <w:rPr>
                <w:rFonts w:ascii="Calibri" w:eastAsia="Times New Roman" w:hAnsi="Calibri" w:cs="Times New Roman"/>
                <w:b/>
              </w:rPr>
              <w:t>100.000</w:t>
            </w:r>
          </w:p>
        </w:tc>
      </w:tr>
    </w:tbl>
    <w:p w14:paraId="5EEDE04C" w14:textId="77777777" w:rsidR="00D37583" w:rsidRDefault="00D37583" w:rsidP="00820531">
      <w:pPr>
        <w:tabs>
          <w:tab w:val="left" w:pos="7200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color w:val="auto"/>
          <w:szCs w:val="12"/>
        </w:rPr>
      </w:pPr>
    </w:p>
    <w:p w14:paraId="6A533D70" w14:textId="77777777" w:rsidR="007F65CE" w:rsidRDefault="007F65CE">
      <w:pPr>
        <w:rPr>
          <w:rFonts w:asciiTheme="minorHAnsi" w:eastAsiaTheme="minorHAnsi" w:hAnsiTheme="minorHAnsi" w:cstheme="minorBidi"/>
          <w:b/>
          <w:color w:val="auto"/>
          <w:szCs w:val="12"/>
        </w:rPr>
      </w:pPr>
      <w:r>
        <w:rPr>
          <w:rFonts w:asciiTheme="minorHAnsi" w:eastAsiaTheme="minorHAnsi" w:hAnsiTheme="minorHAnsi" w:cstheme="minorBidi"/>
          <w:b/>
          <w:color w:val="auto"/>
          <w:szCs w:val="12"/>
        </w:rPr>
        <w:br w:type="page"/>
      </w:r>
    </w:p>
    <w:p w14:paraId="470A672E" w14:textId="3DBB4AA4" w:rsidR="00FC2B1B" w:rsidRPr="00D37583" w:rsidRDefault="00FC2B1B" w:rsidP="00820531">
      <w:pPr>
        <w:tabs>
          <w:tab w:val="left" w:pos="7200"/>
        </w:tabs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szCs w:val="12"/>
        </w:rPr>
      </w:pPr>
      <w:r w:rsidRPr="00D37583">
        <w:rPr>
          <w:rFonts w:asciiTheme="minorHAnsi" w:eastAsiaTheme="minorHAnsi" w:hAnsiTheme="minorHAnsi" w:cstheme="minorBidi"/>
          <w:b/>
          <w:color w:val="auto"/>
          <w:szCs w:val="12"/>
        </w:rPr>
        <w:lastRenderedPageBreak/>
        <w:t xml:space="preserve">Appendix </w:t>
      </w:r>
      <w:r w:rsidR="00FB6491">
        <w:rPr>
          <w:rFonts w:asciiTheme="minorHAnsi" w:eastAsiaTheme="minorHAnsi" w:hAnsiTheme="minorHAnsi" w:cstheme="minorBidi"/>
          <w:b/>
          <w:color w:val="auto"/>
          <w:szCs w:val="12"/>
        </w:rPr>
        <w:t>5</w:t>
      </w:r>
      <w:r w:rsidRPr="00D37583">
        <w:rPr>
          <w:rFonts w:asciiTheme="minorHAnsi" w:eastAsiaTheme="minorHAnsi" w:hAnsiTheme="minorHAnsi" w:cstheme="minorBidi"/>
          <w:b/>
          <w:color w:val="auto"/>
          <w:szCs w:val="12"/>
        </w:rPr>
        <w:t>.</w:t>
      </w:r>
      <w:r w:rsidRPr="00D37583">
        <w:rPr>
          <w:rFonts w:asciiTheme="minorHAnsi" w:eastAsiaTheme="minorHAnsi" w:hAnsiTheme="minorHAnsi" w:cstheme="minorBidi"/>
          <w:color w:val="auto"/>
          <w:szCs w:val="12"/>
        </w:rPr>
        <w:t xml:space="preserve"> Drought losses by municipality in 2015.</w:t>
      </w:r>
      <w:r w:rsidR="00B70654">
        <w:rPr>
          <w:rFonts w:asciiTheme="minorHAnsi" w:eastAsiaTheme="minorHAnsi" w:hAnsiTheme="minorHAnsi" w:cstheme="minorBidi"/>
          <w:color w:val="auto"/>
          <w:szCs w:val="12"/>
        </w:rPr>
        <w:t xml:space="preserve"> </w:t>
      </w:r>
      <w:r w:rsidR="00B70654" w:rsidRPr="007F65CE">
        <w:rPr>
          <w:rFonts w:asciiTheme="minorHAnsi" w:eastAsiaTheme="minorHAnsi" w:hAnsiTheme="minorHAnsi" w:cstheme="minorBidi"/>
          <w:color w:val="auto"/>
        </w:rPr>
        <w:t>Data derived from the Puerto Rico Department of Agriculture preliminary reports of crop loss</w:t>
      </w:r>
      <w:r w:rsidR="00B70654">
        <w:rPr>
          <w:rFonts w:asciiTheme="minorHAnsi" w:eastAsiaTheme="minorHAnsi" w:hAnsiTheme="minorHAnsi" w:cstheme="minorBidi"/>
          <w:color w:val="auto"/>
        </w:rPr>
        <w:t>es;</w:t>
      </w:r>
      <w:r w:rsidR="00B70654" w:rsidRPr="007F65CE">
        <w:rPr>
          <w:rFonts w:asciiTheme="minorHAnsi" w:eastAsiaTheme="minorHAnsi" w:hAnsiTheme="minorHAnsi" w:cstheme="minorBidi"/>
          <w:color w:val="auto"/>
        </w:rPr>
        <w:t xml:space="preserve"> 2017.</w:t>
      </w:r>
    </w:p>
    <w:p w14:paraId="752519BD" w14:textId="77777777" w:rsidR="00FC2B1B" w:rsidRPr="00FC2B1B" w:rsidRDefault="00FC2B1B" w:rsidP="00FC2B1B">
      <w:pPr>
        <w:tabs>
          <w:tab w:val="left" w:pos="7200"/>
        </w:tabs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sz w:val="24"/>
          <w:szCs w:val="12"/>
        </w:rPr>
      </w:pPr>
      <w:r w:rsidRPr="00FC2B1B">
        <w:rPr>
          <w:rFonts w:asciiTheme="minorHAnsi" w:eastAsiaTheme="minorHAnsi" w:hAnsiTheme="minorHAnsi" w:cstheme="minorBidi"/>
          <w:noProof/>
          <w:color w:val="auto"/>
          <w:sz w:val="24"/>
          <w:szCs w:val="12"/>
        </w:rPr>
        <w:drawing>
          <wp:inline distT="0" distB="0" distL="0" distR="0" wp14:anchorId="7261065F" wp14:editId="0F3E59A2">
            <wp:extent cx="6381750" cy="3046925"/>
            <wp:effectExtent l="0" t="0" r="0" b="1270"/>
            <wp:docPr id="841" name="Picture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LossesbyMunicipality20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28" cy="305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w16se="http://schemas.microsoft.com/office/word/2015/wordml/symex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B59532F" w14:textId="77777777" w:rsidR="0003174F" w:rsidRDefault="0003174F" w:rsidP="00767859">
      <w:pPr>
        <w:spacing w:after="160" w:line="259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sectPr w:rsidR="0003174F" w:rsidSect="00793AA3">
      <w:footerReference w:type="default" r:id="rId10"/>
      <w:type w:val="continuous"/>
      <w:pgSz w:w="12240" w:h="15840"/>
      <w:pgMar w:top="1440" w:right="1440" w:bottom="1440" w:left="1440" w:header="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EF585" w14:textId="77777777" w:rsidR="00F07853" w:rsidRDefault="00F07853">
      <w:pPr>
        <w:spacing w:line="240" w:lineRule="auto"/>
      </w:pPr>
      <w:r>
        <w:separator/>
      </w:r>
    </w:p>
  </w:endnote>
  <w:endnote w:type="continuationSeparator" w:id="0">
    <w:p w14:paraId="29A7F73C" w14:textId="77777777" w:rsidR="00F07853" w:rsidRDefault="00F07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8A32" w14:textId="74B62F08" w:rsidR="00D70C48" w:rsidRDefault="00D70C48">
    <w:pPr>
      <w:pStyle w:val="Footer"/>
      <w:jc w:val="right"/>
    </w:pPr>
  </w:p>
  <w:p w14:paraId="174859D6" w14:textId="767D45B8" w:rsidR="00D70C48" w:rsidRDefault="00D70C4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629D4" w14:textId="77777777" w:rsidR="00F07853" w:rsidRDefault="00F07853">
      <w:pPr>
        <w:spacing w:line="240" w:lineRule="auto"/>
      </w:pPr>
      <w:r>
        <w:separator/>
      </w:r>
    </w:p>
  </w:footnote>
  <w:footnote w:type="continuationSeparator" w:id="0">
    <w:p w14:paraId="06375C7D" w14:textId="77777777" w:rsidR="00F07853" w:rsidRDefault="00F078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0330"/>
    <w:multiLevelType w:val="hybridMultilevel"/>
    <w:tmpl w:val="978ED042"/>
    <w:lvl w:ilvl="0" w:tplc="0E2C1440">
      <w:start w:val="1"/>
      <w:numFmt w:val="decimal"/>
      <w:lvlText w:val="%1"/>
      <w:lvlJc w:val="left"/>
      <w:pPr>
        <w:ind w:left="473" w:hanging="360"/>
      </w:pPr>
      <w:rPr>
        <w:rFonts w:eastAsia="Times New Roman" w:hint="default"/>
        <w:color w:val="00000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B856F58"/>
    <w:multiLevelType w:val="hybridMultilevel"/>
    <w:tmpl w:val="89B2120E"/>
    <w:lvl w:ilvl="0" w:tplc="D7F2F3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7183"/>
    <w:multiLevelType w:val="hybridMultilevel"/>
    <w:tmpl w:val="D794C48E"/>
    <w:lvl w:ilvl="0" w:tplc="D7F2F3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C6F"/>
    <w:multiLevelType w:val="hybridMultilevel"/>
    <w:tmpl w:val="22766CC2"/>
    <w:lvl w:ilvl="0" w:tplc="D7F2F3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3BF7"/>
    <w:multiLevelType w:val="hybridMultilevel"/>
    <w:tmpl w:val="479A4176"/>
    <w:lvl w:ilvl="0" w:tplc="EA46050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4F"/>
    <w:rsid w:val="00001FFB"/>
    <w:rsid w:val="00006A83"/>
    <w:rsid w:val="00025846"/>
    <w:rsid w:val="00026266"/>
    <w:rsid w:val="000272D1"/>
    <w:rsid w:val="0003174F"/>
    <w:rsid w:val="00037A3A"/>
    <w:rsid w:val="000406F2"/>
    <w:rsid w:val="00040EE0"/>
    <w:rsid w:val="00047D72"/>
    <w:rsid w:val="00050528"/>
    <w:rsid w:val="00056DCE"/>
    <w:rsid w:val="00063E09"/>
    <w:rsid w:val="00065E1C"/>
    <w:rsid w:val="00076E48"/>
    <w:rsid w:val="000868BE"/>
    <w:rsid w:val="00086C81"/>
    <w:rsid w:val="00097EEF"/>
    <w:rsid w:val="000A0668"/>
    <w:rsid w:val="000B5670"/>
    <w:rsid w:val="000C7A0C"/>
    <w:rsid w:val="000D0803"/>
    <w:rsid w:val="000D4066"/>
    <w:rsid w:val="000F2CDD"/>
    <w:rsid w:val="000F5922"/>
    <w:rsid w:val="00120072"/>
    <w:rsid w:val="00120F28"/>
    <w:rsid w:val="00156BA0"/>
    <w:rsid w:val="00160AFC"/>
    <w:rsid w:val="00162FF7"/>
    <w:rsid w:val="00165E7A"/>
    <w:rsid w:val="00181DE4"/>
    <w:rsid w:val="00185C97"/>
    <w:rsid w:val="0018734A"/>
    <w:rsid w:val="00190747"/>
    <w:rsid w:val="00193FB0"/>
    <w:rsid w:val="001A4BC9"/>
    <w:rsid w:val="001B5460"/>
    <w:rsid w:val="001B6D0A"/>
    <w:rsid w:val="001C3487"/>
    <w:rsid w:val="001C3AB5"/>
    <w:rsid w:val="001C5516"/>
    <w:rsid w:val="001D63D2"/>
    <w:rsid w:val="001E12B0"/>
    <w:rsid w:val="001E28C9"/>
    <w:rsid w:val="001E42DA"/>
    <w:rsid w:val="001F2DFD"/>
    <w:rsid w:val="0022393B"/>
    <w:rsid w:val="0024700F"/>
    <w:rsid w:val="00262682"/>
    <w:rsid w:val="00271C6C"/>
    <w:rsid w:val="0027518E"/>
    <w:rsid w:val="00276E91"/>
    <w:rsid w:val="00286A5F"/>
    <w:rsid w:val="002A2191"/>
    <w:rsid w:val="002A36CF"/>
    <w:rsid w:val="002A5974"/>
    <w:rsid w:val="002A6EF4"/>
    <w:rsid w:val="002B5667"/>
    <w:rsid w:val="002C1092"/>
    <w:rsid w:val="002D53B4"/>
    <w:rsid w:val="002E18D1"/>
    <w:rsid w:val="002E6717"/>
    <w:rsid w:val="002F207D"/>
    <w:rsid w:val="00304544"/>
    <w:rsid w:val="0031056D"/>
    <w:rsid w:val="00330A49"/>
    <w:rsid w:val="003316DA"/>
    <w:rsid w:val="003428CB"/>
    <w:rsid w:val="00350989"/>
    <w:rsid w:val="00353DA6"/>
    <w:rsid w:val="00356A03"/>
    <w:rsid w:val="00366AB4"/>
    <w:rsid w:val="003709F8"/>
    <w:rsid w:val="00376467"/>
    <w:rsid w:val="00380DF0"/>
    <w:rsid w:val="00382621"/>
    <w:rsid w:val="0038266C"/>
    <w:rsid w:val="00384303"/>
    <w:rsid w:val="00392BDF"/>
    <w:rsid w:val="00396A78"/>
    <w:rsid w:val="003A2B08"/>
    <w:rsid w:val="003B582B"/>
    <w:rsid w:val="003C0BB5"/>
    <w:rsid w:val="003C20B6"/>
    <w:rsid w:val="003C594D"/>
    <w:rsid w:val="003C72B7"/>
    <w:rsid w:val="003D0A30"/>
    <w:rsid w:val="003D6CFC"/>
    <w:rsid w:val="003E15C1"/>
    <w:rsid w:val="003F0884"/>
    <w:rsid w:val="00401D39"/>
    <w:rsid w:val="004119B4"/>
    <w:rsid w:val="00422C1C"/>
    <w:rsid w:val="00442165"/>
    <w:rsid w:val="00442BD7"/>
    <w:rsid w:val="00443EC7"/>
    <w:rsid w:val="00454710"/>
    <w:rsid w:val="00455BA8"/>
    <w:rsid w:val="004564C4"/>
    <w:rsid w:val="0046332C"/>
    <w:rsid w:val="004730E4"/>
    <w:rsid w:val="004779D7"/>
    <w:rsid w:val="00486C3C"/>
    <w:rsid w:val="004947AF"/>
    <w:rsid w:val="004A7C2A"/>
    <w:rsid w:val="004F2614"/>
    <w:rsid w:val="0051613C"/>
    <w:rsid w:val="00527802"/>
    <w:rsid w:val="00530BD9"/>
    <w:rsid w:val="00531814"/>
    <w:rsid w:val="005326F7"/>
    <w:rsid w:val="005415DF"/>
    <w:rsid w:val="005468F8"/>
    <w:rsid w:val="00551B1F"/>
    <w:rsid w:val="00562AD9"/>
    <w:rsid w:val="00567AE9"/>
    <w:rsid w:val="005934A2"/>
    <w:rsid w:val="00593933"/>
    <w:rsid w:val="005A44A6"/>
    <w:rsid w:val="005B0815"/>
    <w:rsid w:val="005F54E9"/>
    <w:rsid w:val="0060275B"/>
    <w:rsid w:val="00604B9B"/>
    <w:rsid w:val="0060654A"/>
    <w:rsid w:val="00606FB5"/>
    <w:rsid w:val="00607DC4"/>
    <w:rsid w:val="00610E02"/>
    <w:rsid w:val="00614369"/>
    <w:rsid w:val="00633073"/>
    <w:rsid w:val="00633E17"/>
    <w:rsid w:val="0064205C"/>
    <w:rsid w:val="00654865"/>
    <w:rsid w:val="006620AD"/>
    <w:rsid w:val="00665992"/>
    <w:rsid w:val="006659F6"/>
    <w:rsid w:val="00672E65"/>
    <w:rsid w:val="006844EA"/>
    <w:rsid w:val="00691E23"/>
    <w:rsid w:val="00697E4D"/>
    <w:rsid w:val="006A2D78"/>
    <w:rsid w:val="006A41B7"/>
    <w:rsid w:val="006A49DD"/>
    <w:rsid w:val="006B51AD"/>
    <w:rsid w:val="006C55E4"/>
    <w:rsid w:val="006C69CD"/>
    <w:rsid w:val="006D06C2"/>
    <w:rsid w:val="006D11D8"/>
    <w:rsid w:val="006D29AF"/>
    <w:rsid w:val="006E797F"/>
    <w:rsid w:val="00704D48"/>
    <w:rsid w:val="00716E28"/>
    <w:rsid w:val="00724586"/>
    <w:rsid w:val="007334E5"/>
    <w:rsid w:val="00735CA1"/>
    <w:rsid w:val="0074108E"/>
    <w:rsid w:val="007510D7"/>
    <w:rsid w:val="00752731"/>
    <w:rsid w:val="00753451"/>
    <w:rsid w:val="007619E0"/>
    <w:rsid w:val="00762757"/>
    <w:rsid w:val="007659D3"/>
    <w:rsid w:val="00767859"/>
    <w:rsid w:val="00775CB9"/>
    <w:rsid w:val="00793AA3"/>
    <w:rsid w:val="007A5879"/>
    <w:rsid w:val="007A7D5A"/>
    <w:rsid w:val="007B25BC"/>
    <w:rsid w:val="007B4AE0"/>
    <w:rsid w:val="007C5D0E"/>
    <w:rsid w:val="007F65CE"/>
    <w:rsid w:val="00802F78"/>
    <w:rsid w:val="00812854"/>
    <w:rsid w:val="00820531"/>
    <w:rsid w:val="008212C7"/>
    <w:rsid w:val="00830D1B"/>
    <w:rsid w:val="00834A3B"/>
    <w:rsid w:val="00855B0B"/>
    <w:rsid w:val="008664FA"/>
    <w:rsid w:val="008A1B8D"/>
    <w:rsid w:val="008A2618"/>
    <w:rsid w:val="008B190C"/>
    <w:rsid w:val="008C33E8"/>
    <w:rsid w:val="008D3A9F"/>
    <w:rsid w:val="008D584F"/>
    <w:rsid w:val="008F01D5"/>
    <w:rsid w:val="008F3534"/>
    <w:rsid w:val="0090725E"/>
    <w:rsid w:val="00907E89"/>
    <w:rsid w:val="009144A9"/>
    <w:rsid w:val="0095635A"/>
    <w:rsid w:val="009712F4"/>
    <w:rsid w:val="0098505C"/>
    <w:rsid w:val="009876F5"/>
    <w:rsid w:val="00994857"/>
    <w:rsid w:val="009A51F0"/>
    <w:rsid w:val="009C67BB"/>
    <w:rsid w:val="009D1AB9"/>
    <w:rsid w:val="009D5D38"/>
    <w:rsid w:val="009E086C"/>
    <w:rsid w:val="009E47CB"/>
    <w:rsid w:val="009F0BD6"/>
    <w:rsid w:val="009F17E8"/>
    <w:rsid w:val="00A01C82"/>
    <w:rsid w:val="00A1046D"/>
    <w:rsid w:val="00A13274"/>
    <w:rsid w:val="00A13AAD"/>
    <w:rsid w:val="00A24FF5"/>
    <w:rsid w:val="00A3024D"/>
    <w:rsid w:val="00A3179B"/>
    <w:rsid w:val="00A32D44"/>
    <w:rsid w:val="00A53F26"/>
    <w:rsid w:val="00A753FA"/>
    <w:rsid w:val="00A77B2C"/>
    <w:rsid w:val="00A82317"/>
    <w:rsid w:val="00A82CDE"/>
    <w:rsid w:val="00A9132D"/>
    <w:rsid w:val="00A91673"/>
    <w:rsid w:val="00A936F8"/>
    <w:rsid w:val="00A9502A"/>
    <w:rsid w:val="00A95DAA"/>
    <w:rsid w:val="00AB20B0"/>
    <w:rsid w:val="00AB5B35"/>
    <w:rsid w:val="00AC3FF8"/>
    <w:rsid w:val="00AD4076"/>
    <w:rsid w:val="00AE3A83"/>
    <w:rsid w:val="00AE6D57"/>
    <w:rsid w:val="00AF0D40"/>
    <w:rsid w:val="00B069CC"/>
    <w:rsid w:val="00B1386C"/>
    <w:rsid w:val="00B201AC"/>
    <w:rsid w:val="00B20F5B"/>
    <w:rsid w:val="00B264B3"/>
    <w:rsid w:val="00B26F51"/>
    <w:rsid w:val="00B27440"/>
    <w:rsid w:val="00B6143C"/>
    <w:rsid w:val="00B70654"/>
    <w:rsid w:val="00B8533A"/>
    <w:rsid w:val="00B8759E"/>
    <w:rsid w:val="00B90BDE"/>
    <w:rsid w:val="00BB1B81"/>
    <w:rsid w:val="00BD218D"/>
    <w:rsid w:val="00BE6602"/>
    <w:rsid w:val="00C0066F"/>
    <w:rsid w:val="00C1745C"/>
    <w:rsid w:val="00C2331C"/>
    <w:rsid w:val="00C40FDC"/>
    <w:rsid w:val="00C44BDC"/>
    <w:rsid w:val="00C71F53"/>
    <w:rsid w:val="00C734C4"/>
    <w:rsid w:val="00C833B3"/>
    <w:rsid w:val="00C836F7"/>
    <w:rsid w:val="00C9696A"/>
    <w:rsid w:val="00CB272E"/>
    <w:rsid w:val="00CB5CDC"/>
    <w:rsid w:val="00CC1878"/>
    <w:rsid w:val="00CC25A4"/>
    <w:rsid w:val="00CC6902"/>
    <w:rsid w:val="00CD4EA0"/>
    <w:rsid w:val="00CE5251"/>
    <w:rsid w:val="00D01BA5"/>
    <w:rsid w:val="00D13186"/>
    <w:rsid w:val="00D37583"/>
    <w:rsid w:val="00D41196"/>
    <w:rsid w:val="00D70C48"/>
    <w:rsid w:val="00D70F2F"/>
    <w:rsid w:val="00D87331"/>
    <w:rsid w:val="00D94E53"/>
    <w:rsid w:val="00D97B21"/>
    <w:rsid w:val="00DA4635"/>
    <w:rsid w:val="00DD15B7"/>
    <w:rsid w:val="00DD7767"/>
    <w:rsid w:val="00DD7B73"/>
    <w:rsid w:val="00DE1139"/>
    <w:rsid w:val="00DE21BB"/>
    <w:rsid w:val="00DE2365"/>
    <w:rsid w:val="00DF531F"/>
    <w:rsid w:val="00E01263"/>
    <w:rsid w:val="00E070DE"/>
    <w:rsid w:val="00E21383"/>
    <w:rsid w:val="00E340F7"/>
    <w:rsid w:val="00E3442D"/>
    <w:rsid w:val="00E4094C"/>
    <w:rsid w:val="00E41F79"/>
    <w:rsid w:val="00E42C36"/>
    <w:rsid w:val="00E46F24"/>
    <w:rsid w:val="00E566B0"/>
    <w:rsid w:val="00E614DE"/>
    <w:rsid w:val="00E6186E"/>
    <w:rsid w:val="00E6711D"/>
    <w:rsid w:val="00E719B9"/>
    <w:rsid w:val="00E7306D"/>
    <w:rsid w:val="00E77986"/>
    <w:rsid w:val="00E83D66"/>
    <w:rsid w:val="00E84269"/>
    <w:rsid w:val="00EB5DE0"/>
    <w:rsid w:val="00ED08ED"/>
    <w:rsid w:val="00ED15AA"/>
    <w:rsid w:val="00ED6D03"/>
    <w:rsid w:val="00EF5A90"/>
    <w:rsid w:val="00F015B3"/>
    <w:rsid w:val="00F07853"/>
    <w:rsid w:val="00F07AEC"/>
    <w:rsid w:val="00F15611"/>
    <w:rsid w:val="00F263FD"/>
    <w:rsid w:val="00F27A79"/>
    <w:rsid w:val="00F30018"/>
    <w:rsid w:val="00F33D92"/>
    <w:rsid w:val="00F408D7"/>
    <w:rsid w:val="00F47247"/>
    <w:rsid w:val="00F51F5D"/>
    <w:rsid w:val="00F528B3"/>
    <w:rsid w:val="00F55B82"/>
    <w:rsid w:val="00F77245"/>
    <w:rsid w:val="00F77291"/>
    <w:rsid w:val="00F77859"/>
    <w:rsid w:val="00F870F5"/>
    <w:rsid w:val="00F876CA"/>
    <w:rsid w:val="00F9672E"/>
    <w:rsid w:val="00FA090B"/>
    <w:rsid w:val="00FA1FC4"/>
    <w:rsid w:val="00FA29DA"/>
    <w:rsid w:val="00FA4341"/>
    <w:rsid w:val="00FA4B4B"/>
    <w:rsid w:val="00FB6491"/>
    <w:rsid w:val="00FC2B1B"/>
    <w:rsid w:val="00FD6002"/>
    <w:rsid w:val="00FE05E8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6BA80A"/>
  <w15:docId w15:val="{CA73EF69-3341-4EA9-A54D-AEF4EE2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4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68B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51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F0"/>
  </w:style>
  <w:style w:type="paragraph" w:styleId="Footer">
    <w:name w:val="footer"/>
    <w:basedOn w:val="Normal"/>
    <w:link w:val="FooterChar"/>
    <w:uiPriority w:val="99"/>
    <w:unhideWhenUsed/>
    <w:rsid w:val="009A51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F0"/>
  </w:style>
  <w:style w:type="table" w:styleId="TableGrid">
    <w:name w:val="Table Grid"/>
    <w:basedOn w:val="TableNormal"/>
    <w:uiPriority w:val="39"/>
    <w:rsid w:val="00F30018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01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C2B1B"/>
  </w:style>
  <w:style w:type="character" w:styleId="FollowedHyperlink">
    <w:name w:val="FollowedHyperlink"/>
    <w:basedOn w:val="DefaultParagraphFont"/>
    <w:uiPriority w:val="99"/>
    <w:semiHidden/>
    <w:unhideWhenUsed/>
    <w:rsid w:val="00181DE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989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7659D3"/>
  </w:style>
  <w:style w:type="paragraph" w:customStyle="1" w:styleId="MDPI16affiliation">
    <w:name w:val="MDPI_1.6_affiliation"/>
    <w:basedOn w:val="Normal"/>
    <w:qFormat/>
    <w:rsid w:val="006620AD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sz w:val="18"/>
      <w:szCs w:val="18"/>
      <w:lang w:eastAsia="de-DE" w:bidi="en-US"/>
    </w:rPr>
  </w:style>
  <w:style w:type="paragraph" w:customStyle="1" w:styleId="Mdeck2authorcorrespondence">
    <w:name w:val="M_deck_2_author_correspondence"/>
    <w:qFormat/>
    <w:rsid w:val="006620AD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theme="minorBidi"/>
      <w:snapToGrid w:val="0"/>
      <w:sz w:val="18"/>
      <w:szCs w:val="20"/>
      <w:lang w:eastAsia="de-DE" w:bidi="en-US"/>
    </w:rPr>
  </w:style>
  <w:style w:type="paragraph" w:styleId="ListParagraph">
    <w:name w:val="List Paragraph"/>
    <w:basedOn w:val="Normal"/>
    <w:uiPriority w:val="34"/>
    <w:qFormat/>
    <w:rsid w:val="00D7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D411-237A-4421-B4DC-C0E9926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Alvarez-Berrios, Nora - FS</cp:lastModifiedBy>
  <cp:revision>2</cp:revision>
  <cp:lastPrinted>2017-07-09T14:18:00Z</cp:lastPrinted>
  <dcterms:created xsi:type="dcterms:W3CDTF">2018-02-27T17:52:00Z</dcterms:created>
  <dcterms:modified xsi:type="dcterms:W3CDTF">2018-02-27T17:52:00Z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http://www.zotero.org/styles/ecology</vt:lpwstr>
  </property>
  <property fmtid="{D5CDD505-2E9C-101B-9397-08002B2CF9AE}" pid="13" name="Mendeley Recent Style Name 5_1">
    <vt:lpwstr>Ecology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http://www.zotero.org/styles/renewable-agriculture-and-food-systems</vt:lpwstr>
  </property>
  <property fmtid="{D5CDD505-2E9C-101B-9397-08002B2CF9AE}" pid="21" name="Mendeley Recent Style Name 9_1">
    <vt:lpwstr>Renewable Agriculture and Food Systems</vt:lpwstr>
  </property>
  <property fmtid="{D5CDD505-2E9C-101B-9397-08002B2CF9AE}" pid="22" name="Mendeley Citation Style_1">
    <vt:lpwstr>http://www.zotero.org/styles/renewable-agriculture-and-food-systems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6701180b-546e-3f3f-9f3e-0a01727d0a02</vt:lpwstr>
  </property>
</Properties>
</file>