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69" w:rsidRPr="00685C66" w:rsidRDefault="00184A69" w:rsidP="00184A69">
      <w:pPr>
        <w:spacing w:after="0" w:line="480" w:lineRule="auto"/>
        <w:contextualSpacing/>
        <w:rPr>
          <w:b/>
          <w:bCs/>
        </w:rPr>
      </w:pPr>
      <w:r w:rsidRPr="00685C66">
        <w:rPr>
          <w:b/>
          <w:bCs/>
        </w:rPr>
        <w:t>Supplemental Material</w:t>
      </w:r>
    </w:p>
    <w:p w:rsidR="00184A69" w:rsidRDefault="00184A69" w:rsidP="00184A69">
      <w:pPr>
        <w:spacing w:after="0" w:line="480" w:lineRule="auto"/>
        <w:contextualSpacing/>
        <w:rPr>
          <w:b/>
        </w:rPr>
      </w:pPr>
      <w:r>
        <w:rPr>
          <w:b/>
        </w:rPr>
        <w:t xml:space="preserve">Supplemental Table 1. </w:t>
      </w:r>
      <w:r w:rsidRPr="005E5B52">
        <w:t>Crops and ranges for supplementary nitrogen application</w:t>
      </w:r>
      <w:r>
        <w:t>, including references,</w:t>
      </w:r>
      <w:r w:rsidRPr="005E5B52">
        <w:t xml:space="preserve"> along with the median N values for that range and the assumptions used to estimate the N value</w:t>
      </w:r>
      <w:r>
        <w:t>.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1170"/>
        <w:gridCol w:w="3150"/>
        <w:gridCol w:w="2430"/>
      </w:tblGrid>
      <w:tr w:rsidR="00184A69" w:rsidTr="00B626EE">
        <w:tc>
          <w:tcPr>
            <w:tcW w:w="14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4A69" w:rsidRPr="00D17AE2" w:rsidRDefault="00184A69" w:rsidP="00B626EE">
            <w:pPr>
              <w:contextualSpacing/>
              <w:rPr>
                <w:b/>
              </w:rPr>
            </w:pPr>
            <w:r w:rsidRPr="00D17AE2">
              <w:rPr>
                <w:b/>
              </w:rPr>
              <w:t>Crop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4A69" w:rsidRPr="00D17AE2" w:rsidRDefault="00184A69" w:rsidP="00B626EE">
            <w:pPr>
              <w:contextualSpacing/>
              <w:rPr>
                <w:b/>
              </w:rPr>
            </w:pPr>
            <w:r w:rsidRPr="00D17AE2">
              <w:rPr>
                <w:b/>
              </w:rPr>
              <w:t>Range Nitrogen</w:t>
            </w:r>
          </w:p>
          <w:p w:rsidR="00184A69" w:rsidRDefault="00184A69" w:rsidP="00B626EE">
            <w:pPr>
              <w:contextualSpacing/>
              <w:rPr>
                <w:b/>
              </w:rPr>
            </w:pPr>
            <w:r w:rsidRPr="00D17AE2">
              <w:rPr>
                <w:b/>
              </w:rPr>
              <w:t>(</w:t>
            </w:r>
            <w:proofErr w:type="spellStart"/>
            <w:r w:rsidRPr="00D17AE2">
              <w:rPr>
                <w:b/>
              </w:rPr>
              <w:t>lbs</w:t>
            </w:r>
            <w:proofErr w:type="spellEnd"/>
            <w:r w:rsidRPr="00D17AE2">
              <w:rPr>
                <w:b/>
              </w:rPr>
              <w:t xml:space="preserve"> N</w:t>
            </w:r>
            <w:r>
              <w:rPr>
                <w:b/>
              </w:rPr>
              <w:t xml:space="preserve"> </w:t>
            </w:r>
          </w:p>
          <w:p w:rsidR="00184A69" w:rsidRPr="00D17AE2" w:rsidRDefault="00184A69" w:rsidP="00B626EE">
            <w:pPr>
              <w:contextualSpacing/>
              <w:rPr>
                <w:b/>
              </w:rPr>
            </w:pPr>
            <w:r>
              <w:rPr>
                <w:b/>
              </w:rPr>
              <w:t>acre</w:t>
            </w:r>
            <w:r>
              <w:rPr>
                <w:b/>
                <w:vertAlign w:val="superscript"/>
              </w:rPr>
              <w:t>-1</w:t>
            </w:r>
            <w:r w:rsidRPr="00D17AE2">
              <w:rPr>
                <w:b/>
              </w:rPr>
              <w:t xml:space="preserve"> yr</w:t>
            </w:r>
            <w:r w:rsidRPr="00D17AE2">
              <w:rPr>
                <w:b/>
                <w:vertAlign w:val="superscript"/>
              </w:rPr>
              <w:t>-1</w:t>
            </w:r>
            <w:r w:rsidRPr="00D17AE2">
              <w:rPr>
                <w:b/>
              </w:rPr>
              <w:t>)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4A69" w:rsidRPr="00D17AE2" w:rsidRDefault="00184A69" w:rsidP="00B626EE">
            <w:pPr>
              <w:contextualSpacing/>
              <w:rPr>
                <w:b/>
              </w:rPr>
            </w:pPr>
            <w:r w:rsidRPr="00D17AE2">
              <w:rPr>
                <w:b/>
              </w:rPr>
              <w:t>Median value</w:t>
            </w:r>
          </w:p>
          <w:p w:rsidR="00184A69" w:rsidRPr="00D17AE2" w:rsidRDefault="00184A69" w:rsidP="00B626EE">
            <w:pPr>
              <w:contextualSpacing/>
              <w:rPr>
                <w:b/>
              </w:rPr>
            </w:pPr>
            <w:r w:rsidRPr="00D17AE2">
              <w:rPr>
                <w:b/>
              </w:rPr>
              <w:t>(</w:t>
            </w:r>
            <w:proofErr w:type="spellStart"/>
            <w:r w:rsidRPr="00D17AE2">
              <w:rPr>
                <w:b/>
              </w:rPr>
              <w:t>lbs</w:t>
            </w:r>
            <w:proofErr w:type="spellEnd"/>
            <w:r w:rsidRPr="00D17AE2">
              <w:rPr>
                <w:b/>
              </w:rPr>
              <w:t xml:space="preserve"> N</w:t>
            </w:r>
            <w:r>
              <w:rPr>
                <w:b/>
              </w:rPr>
              <w:t xml:space="preserve"> acre</w:t>
            </w:r>
            <w:r>
              <w:rPr>
                <w:b/>
                <w:vertAlign w:val="superscript"/>
              </w:rPr>
              <w:t>-1</w:t>
            </w:r>
            <w:r w:rsidRPr="00D17AE2">
              <w:rPr>
                <w:b/>
              </w:rPr>
              <w:t xml:space="preserve"> yr</w:t>
            </w:r>
            <w:r w:rsidRPr="00D17AE2">
              <w:rPr>
                <w:b/>
                <w:vertAlign w:val="superscript"/>
              </w:rPr>
              <w:t>-1</w:t>
            </w:r>
            <w:r w:rsidRPr="00D17AE2">
              <w:rPr>
                <w:b/>
              </w:rPr>
              <w:t>)</w:t>
            </w:r>
          </w:p>
        </w:tc>
        <w:tc>
          <w:tcPr>
            <w:tcW w:w="31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4A69" w:rsidRPr="00D17AE2" w:rsidRDefault="00184A69" w:rsidP="00184A6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 and crop assumptions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4A69" w:rsidRPr="00D17AE2" w:rsidRDefault="00184A69" w:rsidP="00184A69">
            <w:pPr>
              <w:contextualSpacing/>
              <w:jc w:val="right"/>
              <w:rPr>
                <w:b/>
              </w:rPr>
            </w:pPr>
            <w:r w:rsidRPr="00D17AE2">
              <w:rPr>
                <w:b/>
              </w:rPr>
              <w:t>Reference</w:t>
            </w:r>
          </w:p>
        </w:tc>
      </w:tr>
      <w:tr w:rsidR="00184A69" w:rsidTr="00B626EE">
        <w:trPr>
          <w:trHeight w:val="288"/>
        </w:trPr>
        <w:tc>
          <w:tcPr>
            <w:tcW w:w="1435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184A69" w:rsidDel="003A429D" w:rsidRDefault="00184A69" w:rsidP="00B626EE">
            <w:pPr>
              <w:contextualSpacing/>
            </w:pPr>
            <w:r>
              <w:t>Barley (</w:t>
            </w:r>
            <w:proofErr w:type="spellStart"/>
            <w:r w:rsidRPr="007D4EA6">
              <w:rPr>
                <w:i/>
                <w:iCs/>
              </w:rPr>
              <w:t>Hordeum</w:t>
            </w:r>
            <w:proofErr w:type="spellEnd"/>
            <w:r w:rsidRPr="007D4EA6">
              <w:rPr>
                <w:i/>
                <w:iCs/>
              </w:rPr>
              <w:t xml:space="preserve"> </w:t>
            </w:r>
            <w:proofErr w:type="spellStart"/>
            <w:r w:rsidRPr="007D4EA6">
              <w:rPr>
                <w:i/>
                <w:iCs/>
              </w:rPr>
              <w:t>vulgare</w:t>
            </w:r>
            <w:proofErr w:type="spellEnd"/>
            <w:r>
              <w:t>)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0-240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120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184A69" w:rsidRDefault="00184A69" w:rsidP="00184A69">
            <w:pPr>
              <w:contextualSpacing/>
              <w:jc w:val="center"/>
            </w:pPr>
            <w:r>
              <w:t>Dependent upon soil N test values.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184A69" w:rsidRDefault="00184A69" w:rsidP="00184A69">
            <w:pPr>
              <w:contextualSpacing/>
              <w:jc w:val="right"/>
            </w:pPr>
            <w:r>
              <w:t>Stark and Brown (2003)</w:t>
            </w:r>
          </w:p>
        </w:tc>
      </w:tr>
      <w:tr w:rsidR="00184A69" w:rsidTr="00B626EE">
        <w:trPr>
          <w:trHeight w:val="288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Blueberry</w:t>
            </w:r>
          </w:p>
          <w:p w:rsidR="00184A69" w:rsidRDefault="00184A69" w:rsidP="00B626EE">
            <w:pPr>
              <w:contextualSpacing/>
            </w:pPr>
            <w:r>
              <w:t>(</w:t>
            </w:r>
            <w:r w:rsidRPr="00E73B2A">
              <w:rPr>
                <w:i/>
              </w:rPr>
              <w:t>Vaccinium spp</w:t>
            </w:r>
            <w:r>
              <w:t>.)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100-165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132.5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4A69" w:rsidRDefault="00184A69" w:rsidP="00184A69">
            <w:pPr>
              <w:contextualSpacing/>
              <w:jc w:val="center"/>
            </w:pPr>
            <w:r>
              <w:t>Assuming maturity after 5 years of establishment.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4A69" w:rsidRDefault="00184A69" w:rsidP="00184A69">
            <w:pPr>
              <w:contextualSpacing/>
              <w:jc w:val="right"/>
            </w:pPr>
            <w:r>
              <w:t>Hart et al. (2006)</w:t>
            </w:r>
          </w:p>
        </w:tc>
      </w:tr>
      <w:tr w:rsidR="00184A69" w:rsidTr="00B626EE">
        <w:trPr>
          <w:trHeight w:val="288"/>
        </w:trPr>
        <w:tc>
          <w:tcPr>
            <w:tcW w:w="1435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proofErr w:type="spellStart"/>
            <w:r>
              <w:t>Caneberry</w:t>
            </w:r>
            <w:proofErr w:type="spellEnd"/>
            <w:r>
              <w:t>/red raspberry (</w:t>
            </w:r>
            <w:proofErr w:type="spellStart"/>
            <w:r w:rsidRPr="007D4EA6">
              <w:rPr>
                <w:i/>
                <w:iCs/>
              </w:rPr>
              <w:t>Rubus</w:t>
            </w:r>
            <w:proofErr w:type="spellEnd"/>
            <w:r w:rsidRPr="007D4EA6">
              <w:rPr>
                <w:i/>
                <w:iCs/>
              </w:rPr>
              <w:t xml:space="preserve"> </w:t>
            </w:r>
            <w:proofErr w:type="spellStart"/>
            <w:r w:rsidRPr="007D4EA6">
              <w:rPr>
                <w:i/>
                <w:iCs/>
              </w:rPr>
              <w:t>idaeus</w:t>
            </w:r>
            <w:proofErr w:type="spellEnd"/>
            <w:r>
              <w:t>)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50-100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75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:rsidR="00184A69" w:rsidRDefault="00184A69" w:rsidP="00184A69">
            <w:pPr>
              <w:contextualSpacing/>
              <w:jc w:val="center"/>
            </w:pPr>
            <w:r>
              <w:t>Assuming maturity, range includes summer-bearing and primocane-fruiting values.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:rsidR="00184A69" w:rsidRDefault="00184A69" w:rsidP="00184A69">
            <w:pPr>
              <w:contextualSpacing/>
              <w:jc w:val="right"/>
            </w:pPr>
            <w:r>
              <w:t>Barney et al. (2007)</w:t>
            </w:r>
          </w:p>
        </w:tc>
      </w:tr>
      <w:tr w:rsidR="00184A69" w:rsidTr="00B626EE">
        <w:tc>
          <w:tcPr>
            <w:tcW w:w="1435" w:type="dxa"/>
            <w:vAlign w:val="center"/>
          </w:tcPr>
          <w:p w:rsidR="00184A69" w:rsidRPr="007D4EA6" w:rsidRDefault="00184A69" w:rsidP="00B626EE">
            <w:pPr>
              <w:contextualSpacing/>
              <w:rPr>
                <w:i/>
              </w:rPr>
            </w:pPr>
            <w:r>
              <w:t>Commercial tree: (</w:t>
            </w:r>
            <w:proofErr w:type="spellStart"/>
            <w:r w:rsidRPr="007B7BA2">
              <w:rPr>
                <w:i/>
              </w:rPr>
              <w:t>Pseudotsuga</w:t>
            </w:r>
            <w:proofErr w:type="spellEnd"/>
            <w:r w:rsidRPr="007B7BA2">
              <w:rPr>
                <w:i/>
              </w:rPr>
              <w:t xml:space="preserve"> </w:t>
            </w:r>
            <w:proofErr w:type="spellStart"/>
            <w:r w:rsidRPr="007B7BA2">
              <w:rPr>
                <w:i/>
              </w:rPr>
              <w:t>menziesii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Pr="007B7BA2">
              <w:rPr>
                <w:i/>
              </w:rPr>
              <w:t>Abies</w:t>
            </w:r>
            <w:proofErr w:type="spellEnd"/>
            <w:r w:rsidRPr="007B7BA2">
              <w:rPr>
                <w:i/>
              </w:rPr>
              <w:t xml:space="preserve"> </w:t>
            </w:r>
            <w:proofErr w:type="spellStart"/>
            <w:r w:rsidRPr="007B7BA2">
              <w:rPr>
                <w:i/>
              </w:rPr>
              <w:t>procera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Pr="00B066D5">
              <w:rPr>
                <w:i/>
              </w:rPr>
              <w:t>Populus</w:t>
            </w:r>
            <w:proofErr w:type="spellEnd"/>
            <w:r w:rsidRPr="00B066D5">
              <w:rPr>
                <w:i/>
              </w:rPr>
              <w:t xml:space="preserve"> spp</w:t>
            </w:r>
            <w:r>
              <w:t>.)</w:t>
            </w:r>
          </w:p>
        </w:tc>
        <w:tc>
          <w:tcPr>
            <w:tcW w:w="1350" w:type="dxa"/>
            <w:vAlign w:val="center"/>
          </w:tcPr>
          <w:p w:rsidR="00184A69" w:rsidRDefault="00184A69" w:rsidP="00B626EE">
            <w:pPr>
              <w:contextualSpacing/>
            </w:pPr>
            <w:r>
              <w:t>0-150</w:t>
            </w:r>
          </w:p>
        </w:tc>
        <w:tc>
          <w:tcPr>
            <w:tcW w:w="1170" w:type="dxa"/>
            <w:vAlign w:val="center"/>
          </w:tcPr>
          <w:p w:rsidR="00184A69" w:rsidRDefault="00184A69" w:rsidP="00B626EE">
            <w:pPr>
              <w:contextualSpacing/>
            </w:pPr>
            <w:r>
              <w:t>75</w:t>
            </w:r>
          </w:p>
        </w:tc>
        <w:tc>
          <w:tcPr>
            <w:tcW w:w="3150" w:type="dxa"/>
            <w:vAlign w:val="center"/>
          </w:tcPr>
          <w:p w:rsidR="00184A69" w:rsidRDefault="00184A69" w:rsidP="00184A69">
            <w:pPr>
              <w:contextualSpacing/>
              <w:jc w:val="center"/>
            </w:pPr>
            <w:r>
              <w:t>Dependent upon maturity and size.</w:t>
            </w:r>
          </w:p>
        </w:tc>
        <w:tc>
          <w:tcPr>
            <w:tcW w:w="2430" w:type="dxa"/>
            <w:vAlign w:val="center"/>
          </w:tcPr>
          <w:p w:rsidR="00184A69" w:rsidRDefault="00184A69" w:rsidP="00184A69">
            <w:pPr>
              <w:contextualSpacing/>
              <w:jc w:val="right"/>
            </w:pPr>
            <w:r>
              <w:t>Hart et al. (2009a)</w:t>
            </w:r>
          </w:p>
        </w:tc>
      </w:tr>
      <w:tr w:rsidR="00184A69" w:rsidTr="00B626EE">
        <w:trPr>
          <w:trHeight w:val="288"/>
        </w:trPr>
        <w:tc>
          <w:tcPr>
            <w:tcW w:w="1435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Corn</w:t>
            </w:r>
          </w:p>
          <w:p w:rsidR="00184A69" w:rsidRDefault="00184A69" w:rsidP="00B626EE">
            <w:pPr>
              <w:contextualSpacing/>
            </w:pPr>
            <w:r>
              <w:t>(</w:t>
            </w:r>
            <w:proofErr w:type="spellStart"/>
            <w:r w:rsidRPr="003B6BBB">
              <w:rPr>
                <w:i/>
              </w:rPr>
              <w:t>Zea</w:t>
            </w:r>
            <w:proofErr w:type="spellEnd"/>
            <w:r w:rsidRPr="003B6BBB">
              <w:rPr>
                <w:i/>
              </w:rPr>
              <w:t xml:space="preserve"> mays L</w:t>
            </w:r>
            <w:r>
              <w:t>.)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150-180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165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:rsidR="00184A69" w:rsidRDefault="00184A69" w:rsidP="00184A69">
            <w:pPr>
              <w:contextualSpacing/>
              <w:jc w:val="center"/>
            </w:pPr>
            <w:r>
              <w:t>Combined field, silage, and sweet corn into one average range.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:rsidR="00184A69" w:rsidRDefault="00184A69" w:rsidP="00184A69">
            <w:pPr>
              <w:contextualSpacing/>
              <w:jc w:val="right"/>
            </w:pPr>
            <w:r>
              <w:t>Hart et al. (2009b);</w:t>
            </w:r>
          </w:p>
          <w:p w:rsidR="00184A69" w:rsidRDefault="00184A69" w:rsidP="00184A69">
            <w:pPr>
              <w:contextualSpacing/>
              <w:jc w:val="right"/>
            </w:pPr>
            <w:r>
              <w:t>Hart et al. (2010);</w:t>
            </w:r>
          </w:p>
          <w:p w:rsidR="00184A69" w:rsidRDefault="00184A69" w:rsidP="00184A69">
            <w:pPr>
              <w:contextualSpacing/>
              <w:jc w:val="right"/>
            </w:pPr>
            <w:r>
              <w:t>Hermanson et al. (2000)</w:t>
            </w:r>
          </w:p>
        </w:tc>
      </w:tr>
      <w:tr w:rsidR="00184A69" w:rsidTr="00B626EE">
        <w:trPr>
          <w:trHeight w:val="288"/>
        </w:trPr>
        <w:tc>
          <w:tcPr>
            <w:tcW w:w="1435" w:type="dxa"/>
            <w:vAlign w:val="center"/>
          </w:tcPr>
          <w:p w:rsidR="00184A69" w:rsidRDefault="00184A69" w:rsidP="00B626EE">
            <w:pPr>
              <w:contextualSpacing/>
            </w:pPr>
            <w:r>
              <w:t>Cranberry (</w:t>
            </w:r>
            <w:proofErr w:type="spellStart"/>
            <w:r w:rsidRPr="00AA34D9">
              <w:rPr>
                <w:i/>
              </w:rPr>
              <w:t>Vaccinium</w:t>
            </w:r>
            <w:proofErr w:type="spellEnd"/>
            <w:r w:rsidRPr="00AA34D9">
              <w:rPr>
                <w:i/>
              </w:rPr>
              <w:t xml:space="preserve"> </w:t>
            </w:r>
            <w:proofErr w:type="spellStart"/>
            <w:r w:rsidRPr="00AA34D9">
              <w:rPr>
                <w:i/>
              </w:rPr>
              <w:t>macrocarpon</w:t>
            </w:r>
            <w:proofErr w:type="spellEnd"/>
            <w:r>
              <w:t xml:space="preserve"> </w:t>
            </w:r>
            <w:proofErr w:type="spellStart"/>
            <w:r>
              <w:t>Ait</w:t>
            </w:r>
            <w:proofErr w:type="spellEnd"/>
            <w:r>
              <w:t>.)</w:t>
            </w:r>
          </w:p>
        </w:tc>
        <w:tc>
          <w:tcPr>
            <w:tcW w:w="1350" w:type="dxa"/>
            <w:vAlign w:val="center"/>
          </w:tcPr>
          <w:p w:rsidR="00184A69" w:rsidRDefault="00184A69" w:rsidP="00B626EE">
            <w:pPr>
              <w:contextualSpacing/>
            </w:pPr>
            <w:r>
              <w:t>10-60</w:t>
            </w:r>
          </w:p>
        </w:tc>
        <w:tc>
          <w:tcPr>
            <w:tcW w:w="1170" w:type="dxa"/>
            <w:vAlign w:val="center"/>
          </w:tcPr>
          <w:p w:rsidR="00184A69" w:rsidRDefault="00184A69" w:rsidP="00B626EE">
            <w:pPr>
              <w:contextualSpacing/>
            </w:pPr>
            <w:r>
              <w:t>35</w:t>
            </w:r>
          </w:p>
        </w:tc>
        <w:tc>
          <w:tcPr>
            <w:tcW w:w="3150" w:type="dxa"/>
            <w:vAlign w:val="center"/>
          </w:tcPr>
          <w:p w:rsidR="00184A69" w:rsidRDefault="00184A69" w:rsidP="00184A69">
            <w:pPr>
              <w:contextualSpacing/>
              <w:jc w:val="center"/>
            </w:pPr>
            <w:r>
              <w:t>Dependent upon cultivar and maturity.</w:t>
            </w:r>
          </w:p>
        </w:tc>
        <w:tc>
          <w:tcPr>
            <w:tcW w:w="2430" w:type="dxa"/>
            <w:vAlign w:val="center"/>
          </w:tcPr>
          <w:p w:rsidR="00184A69" w:rsidRDefault="00184A69" w:rsidP="00184A69">
            <w:pPr>
              <w:contextualSpacing/>
              <w:jc w:val="right"/>
            </w:pPr>
            <w:proofErr w:type="spellStart"/>
            <w:r>
              <w:t>Strik</w:t>
            </w:r>
            <w:proofErr w:type="spellEnd"/>
            <w:r>
              <w:t xml:space="preserve"> et al. (2002)</w:t>
            </w:r>
          </w:p>
        </w:tc>
      </w:tr>
      <w:tr w:rsidR="00184A69" w:rsidTr="00184A69">
        <w:tc>
          <w:tcPr>
            <w:tcW w:w="1435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Flower bulb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0-109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55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:rsidR="00184A69" w:rsidRDefault="00184A69" w:rsidP="00184A69">
            <w:pPr>
              <w:contextualSpacing/>
              <w:jc w:val="center"/>
            </w:pPr>
            <w:r>
              <w:t>Dependent upon species and variety.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:rsidR="00184A69" w:rsidRDefault="00184A69" w:rsidP="00184A69">
            <w:pPr>
              <w:contextualSpacing/>
              <w:jc w:val="right"/>
            </w:pPr>
            <w:r>
              <w:t>Newman (2009)</w:t>
            </w:r>
          </w:p>
        </w:tc>
      </w:tr>
      <w:tr w:rsidR="00184A69" w:rsidTr="00184A69">
        <w:trPr>
          <w:trHeight w:val="305"/>
        </w:trPr>
        <w:tc>
          <w:tcPr>
            <w:tcW w:w="1435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Hay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30-50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40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84A69" w:rsidRDefault="00184A69" w:rsidP="00184A69">
            <w:pPr>
              <w:contextualSpacing/>
              <w:jc w:val="center"/>
            </w:pPr>
            <w:r>
              <w:t>Application per cutting.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84A69" w:rsidRDefault="00184A69" w:rsidP="00184A69">
            <w:pPr>
              <w:contextualSpacing/>
              <w:jc w:val="right"/>
            </w:pPr>
            <w:proofErr w:type="spellStart"/>
            <w:r>
              <w:t>Shewmaker</w:t>
            </w:r>
            <w:proofErr w:type="spellEnd"/>
            <w:r>
              <w:t xml:space="preserve"> and </w:t>
            </w:r>
            <w:proofErr w:type="spellStart"/>
            <w:r>
              <w:t>Bohle</w:t>
            </w:r>
            <w:proofErr w:type="spellEnd"/>
            <w:r>
              <w:t xml:space="preserve"> (2010)</w:t>
            </w:r>
          </w:p>
        </w:tc>
      </w:tr>
      <w:tr w:rsidR="00184A69" w:rsidTr="00184A69">
        <w:tc>
          <w:tcPr>
            <w:tcW w:w="1435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Herb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50-350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200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:rsidR="00184A69" w:rsidRDefault="00184A69" w:rsidP="00184A69">
            <w:pPr>
              <w:contextualSpacing/>
              <w:jc w:val="center"/>
            </w:pPr>
            <w:r>
              <w:t>Dependent upon species and variety.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:rsidR="00184A69" w:rsidRDefault="00184A69" w:rsidP="00184A69">
            <w:pPr>
              <w:contextualSpacing/>
              <w:jc w:val="right"/>
            </w:pPr>
            <w:r>
              <w:t>Mitchell (1998)</w:t>
            </w:r>
          </w:p>
        </w:tc>
      </w:tr>
      <w:tr w:rsidR="00184A69" w:rsidTr="00184A69">
        <w:trPr>
          <w:trHeight w:val="656"/>
        </w:trPr>
        <w:tc>
          <w:tcPr>
            <w:tcW w:w="1435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Nursery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60-176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118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84A69" w:rsidRDefault="00184A69" w:rsidP="00184A69">
            <w:pPr>
              <w:contextualSpacing/>
              <w:jc w:val="center"/>
            </w:pPr>
            <w:r>
              <w:t>Dependent upon plant material.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84A69" w:rsidRPr="00F1624D" w:rsidRDefault="00184A69" w:rsidP="00184A69">
            <w:pPr>
              <w:contextualSpacing/>
              <w:jc w:val="right"/>
            </w:pPr>
            <w:proofErr w:type="spellStart"/>
            <w:r w:rsidRPr="00F1624D">
              <w:t>Majsztrik</w:t>
            </w:r>
            <w:proofErr w:type="spellEnd"/>
            <w:r>
              <w:t xml:space="preserve"> (2018)</w:t>
            </w:r>
          </w:p>
        </w:tc>
      </w:tr>
      <w:tr w:rsidR="00184A69" w:rsidTr="00184A69">
        <w:tc>
          <w:tcPr>
            <w:tcW w:w="1435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Orchard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 xml:space="preserve">0-109 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54.5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:rsidR="00184A69" w:rsidRPr="008A5BD6" w:rsidRDefault="00184A69" w:rsidP="00184A69">
            <w:pPr>
              <w:contextualSpacing/>
              <w:jc w:val="center"/>
            </w:pPr>
            <w:r>
              <w:t>Dependent upon maturity and trees acre</w:t>
            </w:r>
            <w:r>
              <w:rPr>
                <w:vertAlign w:val="superscript"/>
              </w:rPr>
              <w:t>-1</w:t>
            </w:r>
            <w:r>
              <w:t>.  Includes apple and filbert.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:rsidR="00184A69" w:rsidRPr="00F1624D" w:rsidRDefault="00184A69" w:rsidP="00184A69">
            <w:pPr>
              <w:contextualSpacing/>
              <w:jc w:val="right"/>
            </w:pPr>
            <w:r>
              <w:t>Righetti (1998)</w:t>
            </w:r>
          </w:p>
        </w:tc>
      </w:tr>
      <w:tr w:rsidR="00184A69" w:rsidTr="00184A69">
        <w:tc>
          <w:tcPr>
            <w:tcW w:w="1435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Other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N/A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107†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84A69" w:rsidRDefault="00184A69" w:rsidP="00184A69">
            <w:pPr>
              <w:contextualSpacing/>
              <w:jc w:val="center"/>
            </w:pPr>
            <w:r>
              <w:t>Average value of all median values.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84A69" w:rsidRDefault="00184A69" w:rsidP="00184A69">
            <w:pPr>
              <w:contextualSpacing/>
              <w:jc w:val="right"/>
            </w:pPr>
            <w:r>
              <w:t>N/A</w:t>
            </w:r>
          </w:p>
        </w:tc>
      </w:tr>
      <w:tr w:rsidR="00184A69" w:rsidTr="00184A69">
        <w:tc>
          <w:tcPr>
            <w:tcW w:w="1435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lastRenderedPageBreak/>
              <w:t>Pasture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0-200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100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:rsidR="00184A69" w:rsidRDefault="00184A69" w:rsidP="00184A69">
            <w:pPr>
              <w:contextualSpacing/>
              <w:jc w:val="center"/>
            </w:pPr>
            <w:r>
              <w:t>Dependent upon species and variety.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:rsidR="00184A69" w:rsidRDefault="00184A69" w:rsidP="00184A69">
            <w:pPr>
              <w:contextualSpacing/>
              <w:jc w:val="right"/>
            </w:pPr>
            <w:proofErr w:type="spellStart"/>
            <w:r>
              <w:t>Shewmaker</w:t>
            </w:r>
            <w:proofErr w:type="spellEnd"/>
            <w:r>
              <w:t xml:space="preserve"> et al. (2010)</w:t>
            </w:r>
          </w:p>
        </w:tc>
      </w:tr>
      <w:tr w:rsidR="00184A69" w:rsidTr="00184A69">
        <w:tc>
          <w:tcPr>
            <w:tcW w:w="1435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Potato (</w:t>
            </w:r>
            <w:r w:rsidRPr="007D4EA6">
              <w:rPr>
                <w:i/>
                <w:iCs/>
              </w:rPr>
              <w:t>Solanum tuberosum spp.)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80-350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215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84A69" w:rsidRDefault="00184A69" w:rsidP="00184A69">
            <w:pPr>
              <w:contextualSpacing/>
              <w:jc w:val="center"/>
            </w:pPr>
            <w:r>
              <w:t>Dependent upon variety and soil test N values.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84A69" w:rsidRDefault="00184A69" w:rsidP="00184A69">
            <w:pPr>
              <w:contextualSpacing/>
              <w:jc w:val="right"/>
            </w:pPr>
            <w:r>
              <w:t>Lang et al. (199)</w:t>
            </w:r>
          </w:p>
        </w:tc>
      </w:tr>
      <w:tr w:rsidR="00184A69" w:rsidTr="00184A69">
        <w:tc>
          <w:tcPr>
            <w:tcW w:w="1435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Rye (</w:t>
            </w:r>
            <w:proofErr w:type="spellStart"/>
            <w:r w:rsidRPr="007D4EA6">
              <w:rPr>
                <w:i/>
                <w:iCs/>
              </w:rPr>
              <w:t>Secale</w:t>
            </w:r>
            <w:proofErr w:type="spellEnd"/>
            <w:r w:rsidRPr="007D4EA6">
              <w:rPr>
                <w:i/>
                <w:iCs/>
              </w:rPr>
              <w:t xml:space="preserve"> </w:t>
            </w:r>
            <w:proofErr w:type="spellStart"/>
            <w:r w:rsidRPr="007D4EA6">
              <w:rPr>
                <w:i/>
                <w:iCs/>
              </w:rPr>
              <w:t>cereale</w:t>
            </w:r>
            <w:proofErr w:type="spellEnd"/>
            <w:r>
              <w:t>)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20-60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40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:rsidR="00184A69" w:rsidRDefault="00184A69" w:rsidP="00184A69">
            <w:pPr>
              <w:contextualSpacing/>
              <w:jc w:val="center"/>
            </w:pPr>
            <w:r>
              <w:t>Dependent upon soil test N values.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:rsidR="00184A69" w:rsidRDefault="00184A69" w:rsidP="00184A69">
            <w:pPr>
              <w:contextualSpacing/>
              <w:jc w:val="right"/>
            </w:pPr>
            <w:proofErr w:type="spellStart"/>
            <w:r>
              <w:t>Oelke</w:t>
            </w:r>
            <w:proofErr w:type="spellEnd"/>
            <w:r>
              <w:t xml:space="preserve"> et al. (1990)</w:t>
            </w:r>
          </w:p>
        </w:tc>
      </w:tr>
      <w:tr w:rsidR="00184A69" w:rsidTr="00184A69">
        <w:tc>
          <w:tcPr>
            <w:tcW w:w="1435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Seed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 xml:space="preserve">120-180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150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84A69" w:rsidRDefault="00184A69" w:rsidP="00184A69">
            <w:pPr>
              <w:contextualSpacing/>
              <w:jc w:val="center"/>
            </w:pPr>
            <w:r>
              <w:t>Dependent upon species and variety.  Includes turfgrass and broccoli seed.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84A69" w:rsidRPr="00F1624D" w:rsidRDefault="00184A69" w:rsidP="00184A69">
            <w:pPr>
              <w:contextualSpacing/>
              <w:jc w:val="right"/>
            </w:pPr>
            <w:r>
              <w:t>Hart et al. (2013); Anderson et al. (2014)</w:t>
            </w:r>
          </w:p>
        </w:tc>
      </w:tr>
      <w:tr w:rsidR="00184A69" w:rsidTr="00184A69">
        <w:tc>
          <w:tcPr>
            <w:tcW w:w="1435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Strawberry (</w:t>
            </w:r>
            <w:proofErr w:type="spellStart"/>
            <w:r w:rsidRPr="000F2F86">
              <w:rPr>
                <w:i/>
                <w:iCs/>
              </w:rPr>
              <w:t>Fragaria</w:t>
            </w:r>
            <w:proofErr w:type="spellEnd"/>
            <w:r w:rsidRPr="000F2F86">
              <w:rPr>
                <w:i/>
                <w:iCs/>
              </w:rPr>
              <w:t xml:space="preserve"> x </w:t>
            </w:r>
            <w:proofErr w:type="spellStart"/>
            <w:r w:rsidRPr="000F2F86">
              <w:rPr>
                <w:i/>
                <w:iCs/>
              </w:rPr>
              <w:t>ananassa</w:t>
            </w:r>
            <w:proofErr w:type="spellEnd"/>
            <w:r>
              <w:t>)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50-100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75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:rsidR="00184A69" w:rsidRDefault="00184A69" w:rsidP="00184A69">
            <w:pPr>
              <w:contextualSpacing/>
              <w:jc w:val="center"/>
            </w:pPr>
            <w:r>
              <w:t>Assuming maturity. Includes June-bearing and Day-neutral cultivars.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:rsidR="00184A69" w:rsidRDefault="00184A69" w:rsidP="00184A69">
            <w:pPr>
              <w:contextualSpacing/>
              <w:jc w:val="right"/>
            </w:pPr>
            <w:r>
              <w:t>Dixon et al. (2019)</w:t>
            </w:r>
          </w:p>
        </w:tc>
      </w:tr>
      <w:tr w:rsidR="00184A69" w:rsidTr="00B626EE">
        <w:tc>
          <w:tcPr>
            <w:tcW w:w="1435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Turfgrass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43.5-175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109.25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84A69" w:rsidRDefault="00184A69" w:rsidP="00184A69">
            <w:pPr>
              <w:contextualSpacing/>
              <w:jc w:val="center"/>
            </w:pPr>
            <w:r>
              <w:t>Dependent upon species and variety. Includes driving ranges, golf courses, and sod farms.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84A69" w:rsidRDefault="00184A69" w:rsidP="00184A69">
            <w:pPr>
              <w:contextualSpacing/>
              <w:jc w:val="right"/>
            </w:pPr>
            <w:proofErr w:type="spellStart"/>
            <w:r>
              <w:t>Landschoot</w:t>
            </w:r>
            <w:proofErr w:type="spellEnd"/>
            <w:r>
              <w:t xml:space="preserve"> (2017)</w:t>
            </w:r>
          </w:p>
        </w:tc>
      </w:tr>
      <w:tr w:rsidR="00184A69" w:rsidTr="00B626EE">
        <w:tc>
          <w:tcPr>
            <w:tcW w:w="1435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Vegetable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131-218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175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:rsidR="00184A69" w:rsidRDefault="00184A69" w:rsidP="00184A69">
            <w:pPr>
              <w:contextualSpacing/>
              <w:jc w:val="center"/>
            </w:pPr>
            <w:r>
              <w:t>Dependent upon species and variety. Includes pumpkin, market crops, rhubarb, and hops.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:rsidR="00184A69" w:rsidRDefault="00184A69" w:rsidP="00184A69">
            <w:pPr>
              <w:contextualSpacing/>
              <w:jc w:val="right"/>
            </w:pPr>
            <w:r>
              <w:t>Collins et al. (2013)</w:t>
            </w:r>
          </w:p>
        </w:tc>
      </w:tr>
      <w:tr w:rsidR="00184A69" w:rsidTr="00B626EE">
        <w:tc>
          <w:tcPr>
            <w:tcW w:w="1435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Vineyard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30-140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84A69" w:rsidRDefault="00184A69" w:rsidP="00B626EE">
            <w:pPr>
              <w:contextualSpacing/>
            </w:pPr>
            <w:r>
              <w:t>85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84A69" w:rsidRDefault="00184A69" w:rsidP="00184A69">
            <w:pPr>
              <w:contextualSpacing/>
              <w:jc w:val="center"/>
            </w:pPr>
            <w:r>
              <w:t>Dependent upon variety.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84A69" w:rsidRDefault="00184A69" w:rsidP="00184A69">
            <w:pPr>
              <w:contextualSpacing/>
              <w:jc w:val="right"/>
            </w:pPr>
            <w:r>
              <w:t>Moyer et al. (2018)</w:t>
            </w:r>
          </w:p>
        </w:tc>
      </w:tr>
      <w:tr w:rsidR="00184A69" w:rsidTr="00B626EE">
        <w:tc>
          <w:tcPr>
            <w:tcW w:w="1435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Wheat (</w:t>
            </w:r>
            <w:r w:rsidRPr="007D4EA6">
              <w:rPr>
                <w:i/>
                <w:iCs/>
              </w:rPr>
              <w:t>Triticum spp.</w:t>
            </w:r>
            <w:r w:rsidRPr="00095476">
              <w:t>)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60-180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84A69" w:rsidRDefault="00184A69" w:rsidP="00B626EE">
            <w:pPr>
              <w:contextualSpacing/>
            </w:pPr>
            <w:r>
              <w:t>120</w:t>
            </w:r>
          </w:p>
        </w:tc>
        <w:tc>
          <w:tcPr>
            <w:tcW w:w="3150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84A69" w:rsidRDefault="00184A69" w:rsidP="00184A69">
            <w:pPr>
              <w:contextualSpacing/>
              <w:jc w:val="center"/>
            </w:pPr>
            <w:r>
              <w:t>Dependent upon variety and soil test N values.</w:t>
            </w:r>
          </w:p>
        </w:tc>
        <w:tc>
          <w:tcPr>
            <w:tcW w:w="2430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84A69" w:rsidRDefault="00184A69" w:rsidP="00184A69">
            <w:pPr>
              <w:contextualSpacing/>
              <w:jc w:val="right"/>
            </w:pPr>
            <w:r>
              <w:t>Hart et al. (2000)</w:t>
            </w:r>
          </w:p>
        </w:tc>
      </w:tr>
    </w:tbl>
    <w:p w:rsidR="00184A69" w:rsidRDefault="00184A69" w:rsidP="00184A69">
      <w:pPr>
        <w:spacing w:line="240" w:lineRule="auto"/>
        <w:contextualSpacing/>
      </w:pPr>
      <w:proofErr w:type="gramStart"/>
      <w:r w:rsidRPr="007D4EA6">
        <w:rPr>
          <w:bCs/>
        </w:rPr>
        <w:t>†</w:t>
      </w:r>
      <w:r>
        <w:rPr>
          <w:bCs/>
        </w:rPr>
        <w:t xml:space="preserve"> </w:t>
      </w:r>
      <w:r>
        <w:t xml:space="preserve"> Due</w:t>
      </w:r>
      <w:proofErr w:type="gramEnd"/>
      <w:r>
        <w:t xml:space="preserve"> to variation in crop type, the value estimated here is the mean of the crop median values listed in the table.</w:t>
      </w:r>
    </w:p>
    <w:p w:rsidR="009632A9" w:rsidRDefault="009632A9" w:rsidP="00184A69">
      <w:pPr>
        <w:spacing w:line="240" w:lineRule="auto"/>
        <w:contextualSpacing/>
      </w:pPr>
    </w:p>
    <w:p w:rsidR="009632A9" w:rsidRPr="009632A9" w:rsidRDefault="009632A9" w:rsidP="00184A69">
      <w:pPr>
        <w:spacing w:line="240" w:lineRule="auto"/>
        <w:contextualSpacing/>
        <w:rPr>
          <w:b/>
          <w:sz w:val="32"/>
          <w:szCs w:val="32"/>
        </w:rPr>
      </w:pPr>
      <w:r w:rsidRPr="009632A9">
        <w:rPr>
          <w:b/>
          <w:sz w:val="32"/>
          <w:szCs w:val="32"/>
        </w:rPr>
        <w:t>References</w:t>
      </w:r>
    </w:p>
    <w:p w:rsidR="005A4B35" w:rsidRDefault="005A4B35" w:rsidP="00184A69">
      <w:pPr>
        <w:spacing w:line="240" w:lineRule="auto"/>
        <w:contextualSpacing/>
      </w:pPr>
    </w:p>
    <w:p w:rsidR="005A4B35" w:rsidRPr="009632A9" w:rsidRDefault="005A4B35" w:rsidP="005A4B35">
      <w:pPr>
        <w:autoSpaceDE w:val="0"/>
        <w:autoSpaceDN w:val="0"/>
        <w:adjustRightInd w:val="0"/>
        <w:spacing w:after="0" w:line="240" w:lineRule="auto"/>
        <w:rPr>
          <w:rFonts w:ascii="SegoeUIBold" w:hAnsi="SegoeUIBold" w:cs="SegoeUIBold"/>
          <w:b/>
          <w:bCs/>
          <w:color w:val="444444"/>
          <w:sz w:val="23"/>
          <w:szCs w:val="23"/>
        </w:rPr>
      </w:pPr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1. </w:t>
      </w:r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Barney DL, Bristow P,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Cogger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C, Fitzpatrick SM, Hart J, Kaufman D, Miles C, Miller T, Moore </w:t>
      </w:r>
      <w:r w:rsidR="009632A9"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PP, Murray T, </w:t>
      </w:r>
      <w:proofErr w:type="spellStart"/>
      <w:r w:rsidR="009632A9">
        <w:rPr>
          <w:rFonts w:ascii="SegoeUIBold" w:hAnsi="SegoeUIBold" w:cs="SegoeUIBold"/>
          <w:b/>
          <w:bCs/>
          <w:color w:val="444444"/>
          <w:sz w:val="23"/>
          <w:szCs w:val="23"/>
        </w:rPr>
        <w:t>Rempel</w:t>
      </w:r>
      <w:proofErr w:type="spellEnd"/>
      <w:r w:rsidR="009632A9"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H, </w:t>
      </w:r>
      <w:proofErr w:type="spellStart"/>
      <w:r w:rsidR="009632A9">
        <w:rPr>
          <w:rFonts w:ascii="SegoeUIBold" w:hAnsi="SegoeUIBold" w:cs="SegoeUIBold"/>
          <w:b/>
          <w:bCs/>
          <w:color w:val="444444"/>
          <w:sz w:val="23"/>
          <w:szCs w:val="23"/>
        </w:rPr>
        <w:t>Strik</w:t>
      </w:r>
      <w:proofErr w:type="spellEnd"/>
      <w:r w:rsidR="009632A9"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B </w:t>
      </w:r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and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Tanigoshi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L 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(2007) Commercial red raspberry production in the Pacific Northwest.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PN</w:t>
      </w:r>
      <w:r>
        <w:rPr>
          <w:rFonts w:ascii="SegoeUIRegular" w:hAnsi="SegoeUIRegular" w:cs="SegoeUIRegular"/>
          <w:color w:val="444444"/>
          <w:sz w:val="23"/>
          <w:szCs w:val="23"/>
        </w:rPr>
        <w:t>W 598.</w:t>
      </w:r>
      <w:proofErr w:type="gramEnd"/>
      <w:r>
        <w:rPr>
          <w:rFonts w:ascii="SegoeUIRegular" w:hAnsi="SegoeUIRegular" w:cs="SegoeUIRegular"/>
          <w:color w:val="444444"/>
          <w:sz w:val="23"/>
          <w:szCs w:val="23"/>
        </w:rPr>
        <w:t xml:space="preserve">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 xml:space="preserve">Oregon State University, </w:t>
      </w:r>
      <w:r>
        <w:rPr>
          <w:rFonts w:ascii="SegoeUIRegular" w:hAnsi="SegoeUIRegular" w:cs="SegoeUIRegular"/>
          <w:color w:val="444444"/>
          <w:sz w:val="23"/>
          <w:szCs w:val="23"/>
        </w:rPr>
        <w:t>University of Idaho, Washington State University, Corvallis</w:t>
      </w:r>
      <w:r w:rsidR="009632A9">
        <w:rPr>
          <w:rFonts w:ascii="SegoeUIRegular" w:hAnsi="SegoeUIRegular" w:cs="SegoeUIRegular"/>
          <w:color w:val="444444"/>
          <w:sz w:val="23"/>
          <w:szCs w:val="23"/>
        </w:rPr>
        <w:t>.</w:t>
      </w:r>
      <w:proofErr w:type="gramEnd"/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</w:p>
    <w:p w:rsidR="005A4B35" w:rsidRDefault="005A4B35" w:rsidP="005A4B35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444444"/>
          <w:sz w:val="23"/>
          <w:szCs w:val="23"/>
        </w:rPr>
      </w:pPr>
      <w:r>
        <w:rPr>
          <w:rFonts w:ascii="SegoeUIRegular" w:hAnsi="SegoeUIRegular" w:cs="SegoeUIRegular"/>
          <w:color w:val="444444"/>
          <w:sz w:val="23"/>
          <w:szCs w:val="23"/>
        </w:rPr>
        <w:t>2.</w:t>
      </w:r>
      <w:r w:rsidRPr="005A4B35"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</w:t>
      </w:r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Collins D, Miles C,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Cogger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C and Koenig R 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(2013) Soil fertility in organic systems: a guide 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for gardeners and small acreage 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farmers.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PNW 646.</w:t>
      </w:r>
      <w:proofErr w:type="gramEnd"/>
      <w:r>
        <w:rPr>
          <w:rFonts w:ascii="SegoeUIRegular" w:hAnsi="SegoeUIRegular" w:cs="SegoeUIRegular"/>
          <w:color w:val="444444"/>
          <w:sz w:val="23"/>
          <w:szCs w:val="23"/>
        </w:rPr>
        <w:t xml:space="preserve">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Oregon State University, University of Idaho, Washing</w:t>
      </w:r>
      <w:r>
        <w:rPr>
          <w:rFonts w:ascii="SegoeUIRegular" w:hAnsi="SegoeUIRegular" w:cs="SegoeUIRegular"/>
          <w:color w:val="444444"/>
          <w:sz w:val="23"/>
          <w:szCs w:val="23"/>
        </w:rPr>
        <w:t>ton State University, Corvallis</w:t>
      </w:r>
      <w:r w:rsidR="009632A9">
        <w:rPr>
          <w:rFonts w:ascii="SegoeUIRegular" w:hAnsi="SegoeUIRegular" w:cs="SegoeUIRegular"/>
          <w:color w:val="444444"/>
          <w:sz w:val="23"/>
          <w:szCs w:val="23"/>
        </w:rPr>
        <w:t>.</w:t>
      </w:r>
      <w:proofErr w:type="gramEnd"/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</w:p>
    <w:p w:rsidR="005A4B35" w:rsidRDefault="005A4B35" w:rsidP="005A4B35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444444"/>
          <w:sz w:val="23"/>
          <w:szCs w:val="23"/>
        </w:rPr>
      </w:pPr>
      <w:r>
        <w:rPr>
          <w:rFonts w:ascii="SegoeUIRegular" w:hAnsi="SegoeUIRegular" w:cs="SegoeUIRegular"/>
          <w:color w:val="444444"/>
          <w:sz w:val="23"/>
          <w:szCs w:val="23"/>
        </w:rPr>
        <w:t xml:space="preserve">3. </w:t>
      </w:r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Dixon E,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Strik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B, Fernandez-Salvador J and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Devetter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L 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(2019) Strawberry nutrient 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management guide for Oregon and 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Washington. NM 9234.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Oregon State University, Corvallis.</w:t>
      </w:r>
      <w:proofErr w:type="gramEnd"/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</w:p>
    <w:p w:rsidR="005A4B35" w:rsidRDefault="005A4B35" w:rsidP="005A4B35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444444"/>
          <w:sz w:val="23"/>
          <w:szCs w:val="23"/>
        </w:rPr>
      </w:pPr>
      <w:r>
        <w:rPr>
          <w:rFonts w:ascii="SegoeUIRegular" w:hAnsi="SegoeUIRegular" w:cs="SegoeUIRegular"/>
          <w:color w:val="444444"/>
          <w:sz w:val="23"/>
          <w:szCs w:val="23"/>
        </w:rPr>
        <w:t>4.</w:t>
      </w:r>
      <w:r w:rsidRPr="005A4B35"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</w:t>
      </w:r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Hart J,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Strik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B, White L and Yang W 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(2006) Nutrient management for blueberries in Oregon.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E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M 8918 Oregon State University, </w:t>
      </w:r>
      <w:r>
        <w:rPr>
          <w:rFonts w:ascii="SegoeUIRegular" w:hAnsi="SegoeUIRegular" w:cs="SegoeUIRegular"/>
          <w:color w:val="444444"/>
          <w:sz w:val="23"/>
          <w:szCs w:val="23"/>
        </w:rPr>
        <w:t>Corvallis.</w:t>
      </w:r>
      <w:proofErr w:type="gramEnd"/>
    </w:p>
    <w:p w:rsidR="009632A9" w:rsidRDefault="009632A9" w:rsidP="005A4B35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444444"/>
          <w:sz w:val="23"/>
          <w:szCs w:val="23"/>
        </w:rPr>
      </w:pPr>
    </w:p>
    <w:p w:rsidR="005A4B35" w:rsidRDefault="005A4B35" w:rsidP="005A4B35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444444"/>
          <w:sz w:val="23"/>
          <w:szCs w:val="23"/>
        </w:rPr>
      </w:pPr>
      <w:r>
        <w:rPr>
          <w:rFonts w:ascii="SegoeUIRegular" w:hAnsi="SegoeUIRegular" w:cs="SegoeUIRegular"/>
          <w:color w:val="444444"/>
          <w:sz w:val="23"/>
          <w:szCs w:val="23"/>
        </w:rPr>
        <w:lastRenderedPageBreak/>
        <w:t>5.</w:t>
      </w:r>
      <w:r w:rsidRPr="005A4B35"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</w:t>
      </w:r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Hart J,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Landgren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C, Fletcher R,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Bondi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M,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Withrow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-Robinson B and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Chastagner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G </w:t>
      </w:r>
      <w:r>
        <w:rPr>
          <w:rFonts w:ascii="SegoeUIRegular" w:hAnsi="SegoeUIRegular" w:cs="SegoeUIRegular"/>
          <w:color w:val="444444"/>
          <w:sz w:val="23"/>
          <w:szCs w:val="23"/>
        </w:rPr>
        <w:t>(2009a) Chr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istmas tree nutrient management </w:t>
      </w:r>
      <w:r>
        <w:rPr>
          <w:rFonts w:ascii="SegoeUIRegular" w:hAnsi="SegoeUIRegular" w:cs="SegoeUIRegular"/>
          <w:color w:val="444444"/>
          <w:sz w:val="23"/>
          <w:szCs w:val="23"/>
        </w:rPr>
        <w:t>guide. EM 8856–E. Oregon State University, Corvallis.</w:t>
      </w:r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  <w:r>
        <w:rPr>
          <w:rFonts w:ascii="SegoeUIRegular" w:hAnsi="SegoeUIRegular" w:cs="SegoeUIRegular"/>
          <w:color w:val="444444"/>
          <w:sz w:val="23"/>
          <w:szCs w:val="23"/>
        </w:rPr>
        <w:t xml:space="preserve">6. </w:t>
      </w:r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Hart J, Sullivan D,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Gamroth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M, Downing T and Peters A </w:t>
      </w:r>
      <w:r>
        <w:rPr>
          <w:rFonts w:ascii="SegoeUIRegular" w:hAnsi="SegoeUIRegular" w:cs="SegoeUIRegular"/>
          <w:color w:val="444444"/>
          <w:sz w:val="23"/>
          <w:szCs w:val="23"/>
        </w:rPr>
        <w:t>(2009b) Silage corn. EM 8978–E. Oregon State University, Corvallis.</w:t>
      </w:r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  <w:r>
        <w:rPr>
          <w:rFonts w:ascii="SegoeUIRegular" w:hAnsi="SegoeUIRegular" w:cs="SegoeUIRegular"/>
          <w:color w:val="444444"/>
          <w:sz w:val="23"/>
          <w:szCs w:val="23"/>
        </w:rPr>
        <w:t>7.</w:t>
      </w:r>
      <w:r w:rsidRPr="005A4B35"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</w:t>
      </w:r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Hart J, Sullivan DM, Myers JR and Peachey RE </w:t>
      </w:r>
      <w:r>
        <w:rPr>
          <w:rFonts w:ascii="SegoeUIRegular" w:hAnsi="SegoeUIRegular" w:cs="SegoeUIRegular"/>
          <w:color w:val="444444"/>
          <w:sz w:val="23"/>
          <w:szCs w:val="23"/>
        </w:rPr>
        <w:t>(2010) Sweet corn. EM 9010–E. Oregon State University, Corvallis</w:t>
      </w:r>
      <w:r w:rsidR="009632A9">
        <w:rPr>
          <w:rFonts w:ascii="SegoeUIRegular" w:hAnsi="SegoeUIRegular" w:cs="SegoeUIRegular"/>
          <w:color w:val="444444"/>
          <w:sz w:val="23"/>
          <w:szCs w:val="23"/>
        </w:rPr>
        <w:t>.</w:t>
      </w:r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</w:p>
    <w:p w:rsidR="005A4B35" w:rsidRDefault="005A4B35" w:rsidP="005A4B35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444444"/>
          <w:sz w:val="23"/>
          <w:szCs w:val="23"/>
        </w:rPr>
      </w:pPr>
      <w:r>
        <w:rPr>
          <w:rFonts w:ascii="SegoeUIRegular" w:hAnsi="SegoeUIRegular" w:cs="SegoeUIRegular"/>
          <w:color w:val="444444"/>
          <w:sz w:val="23"/>
          <w:szCs w:val="23"/>
        </w:rPr>
        <w:t>8.</w:t>
      </w:r>
      <w:r w:rsidRPr="005A4B35"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</w:t>
      </w:r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Hart JM, Anderson NP, Chastain TG, Flowers MD,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Ocamb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CM,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Mellbye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ME and Young WC </w:t>
      </w:r>
      <w:r>
        <w:rPr>
          <w:rFonts w:ascii="SegoeUIRegular" w:hAnsi="SegoeUIRegular" w:cs="SegoeUIRegular"/>
          <w:color w:val="444444"/>
          <w:sz w:val="23"/>
          <w:szCs w:val="23"/>
        </w:rPr>
        <w:t>(201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3) Perennial ryegrass grown for 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seed.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EM 9086.</w:t>
      </w:r>
      <w:proofErr w:type="gramEnd"/>
      <w:r>
        <w:rPr>
          <w:rFonts w:ascii="SegoeUIRegular" w:hAnsi="SegoeUIRegular" w:cs="SegoeUIRegular"/>
          <w:color w:val="444444"/>
          <w:sz w:val="23"/>
          <w:szCs w:val="23"/>
        </w:rPr>
        <w:t xml:space="preserve">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Oregon State University, Corvallis</w:t>
      </w:r>
      <w:r w:rsidR="009632A9">
        <w:rPr>
          <w:rFonts w:ascii="SegoeUIRegular" w:hAnsi="SegoeUIRegular" w:cs="SegoeUIRegular"/>
          <w:color w:val="444444"/>
          <w:sz w:val="23"/>
          <w:szCs w:val="23"/>
        </w:rPr>
        <w:t>.</w:t>
      </w:r>
      <w:proofErr w:type="gramEnd"/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</w:p>
    <w:p w:rsidR="005A4B35" w:rsidRDefault="005A4B35" w:rsidP="005A4B35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444444"/>
          <w:sz w:val="23"/>
          <w:szCs w:val="23"/>
        </w:rPr>
      </w:pPr>
      <w:r>
        <w:rPr>
          <w:rFonts w:ascii="SegoeUIRegular" w:hAnsi="SegoeUIRegular" w:cs="SegoeUIRegular"/>
          <w:color w:val="444444"/>
          <w:sz w:val="23"/>
          <w:szCs w:val="23"/>
        </w:rPr>
        <w:t xml:space="preserve">9.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Hermanson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R, Pan W,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Perillo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C, Stevens R and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Stockle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C </w:t>
      </w:r>
      <w:r>
        <w:rPr>
          <w:rFonts w:ascii="SegoeUIRegular" w:hAnsi="SegoeUIRegular" w:cs="SegoeUIRegular"/>
          <w:color w:val="444444"/>
          <w:sz w:val="23"/>
          <w:szCs w:val="23"/>
        </w:rPr>
        <w:t>(2000) Nitrogen use by crops and the f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ate of nitrogen in the soil and </w:t>
      </w:r>
      <w:proofErr w:type="spellStart"/>
      <w:r>
        <w:rPr>
          <w:rFonts w:ascii="SegoeUIRegular" w:hAnsi="SegoeUIRegular" w:cs="SegoeUIRegular"/>
          <w:color w:val="444444"/>
          <w:sz w:val="23"/>
          <w:szCs w:val="23"/>
        </w:rPr>
        <w:t>vadose</w:t>
      </w:r>
      <w:proofErr w:type="spellEnd"/>
      <w:r>
        <w:rPr>
          <w:rFonts w:ascii="SegoeUIRegular" w:hAnsi="SegoeUIRegular" w:cs="SegoeUIRegular"/>
          <w:color w:val="444444"/>
          <w:sz w:val="23"/>
          <w:szCs w:val="23"/>
        </w:rPr>
        <w:t xml:space="preserve"> zone. PN 00–10-015.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Washington State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 Department of Ecology, Olympia.</w:t>
      </w:r>
      <w:proofErr w:type="gramEnd"/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</w:p>
    <w:p w:rsidR="005A4B35" w:rsidRDefault="005A4B35" w:rsidP="005A4B35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444444"/>
          <w:sz w:val="23"/>
          <w:szCs w:val="23"/>
        </w:rPr>
      </w:pPr>
      <w:r>
        <w:rPr>
          <w:rFonts w:ascii="SegoeUIRegular" w:hAnsi="SegoeUIRegular" w:cs="SegoeUIRegular"/>
          <w:color w:val="444444"/>
          <w:sz w:val="23"/>
          <w:szCs w:val="23"/>
        </w:rPr>
        <w:t>10.</w:t>
      </w:r>
      <w:r w:rsidRPr="005A4B35"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Landschoot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P 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(2017) </w:t>
      </w:r>
      <w:proofErr w:type="spellStart"/>
      <w:r>
        <w:rPr>
          <w:rFonts w:ascii="SegoeUIRegular" w:hAnsi="SegoeUIRegular" w:cs="SegoeUIRegular"/>
          <w:color w:val="444444"/>
          <w:sz w:val="23"/>
          <w:szCs w:val="23"/>
        </w:rPr>
        <w:t>Turfgrass</w:t>
      </w:r>
      <w:proofErr w:type="spellEnd"/>
      <w:r>
        <w:rPr>
          <w:rFonts w:ascii="SegoeUIRegular" w:hAnsi="SegoeUIRegular" w:cs="SegoeUIRegular"/>
          <w:color w:val="444444"/>
          <w:sz w:val="23"/>
          <w:szCs w:val="23"/>
        </w:rPr>
        <w:t xml:space="preserve"> fertilization: a basic guide for professional </w:t>
      </w:r>
      <w:proofErr w:type="spellStart"/>
      <w:r>
        <w:rPr>
          <w:rFonts w:ascii="SegoeUIRegular" w:hAnsi="SegoeUIRegular" w:cs="SegoeUIRegular"/>
          <w:color w:val="444444"/>
          <w:sz w:val="23"/>
          <w:szCs w:val="23"/>
        </w:rPr>
        <w:t>turfgrass</w:t>
      </w:r>
      <w:proofErr w:type="spellEnd"/>
      <w:r>
        <w:rPr>
          <w:rFonts w:ascii="SegoeUIRegular" w:hAnsi="SegoeUIRegular" w:cs="SegoeUIRegular"/>
          <w:color w:val="444444"/>
          <w:sz w:val="23"/>
          <w:szCs w:val="23"/>
        </w:rPr>
        <w:t xml:space="preserve"> manag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ers.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UC 184.</w:t>
      </w:r>
      <w:proofErr w:type="gramEnd"/>
      <w:r>
        <w:rPr>
          <w:rFonts w:ascii="SegoeUIRegular" w:hAnsi="SegoeUIRegular" w:cs="SegoeUIRegular"/>
          <w:color w:val="444444"/>
          <w:sz w:val="23"/>
          <w:szCs w:val="23"/>
        </w:rPr>
        <w:t xml:space="preserve">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 xml:space="preserve">Pennsylvania State </w:t>
      </w:r>
      <w:r>
        <w:rPr>
          <w:rFonts w:ascii="SegoeUIRegular" w:hAnsi="SegoeUIRegular" w:cs="SegoeUIRegular"/>
          <w:color w:val="444444"/>
          <w:sz w:val="23"/>
          <w:szCs w:val="23"/>
        </w:rPr>
        <w:t>University, State College</w:t>
      </w:r>
      <w:r w:rsidR="009632A9">
        <w:rPr>
          <w:rFonts w:ascii="SegoeUIRegular" w:hAnsi="SegoeUIRegular" w:cs="SegoeUIRegular"/>
          <w:color w:val="444444"/>
          <w:sz w:val="23"/>
          <w:szCs w:val="23"/>
        </w:rPr>
        <w:t>.</w:t>
      </w:r>
      <w:proofErr w:type="gramEnd"/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</w:p>
    <w:p w:rsidR="005A4B35" w:rsidRDefault="005A4B35" w:rsidP="005A4B35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444444"/>
          <w:sz w:val="23"/>
          <w:szCs w:val="23"/>
        </w:rPr>
      </w:pPr>
      <w:r>
        <w:rPr>
          <w:rFonts w:ascii="SegoeUIRegular" w:hAnsi="SegoeUIRegular" w:cs="SegoeUIRegular"/>
          <w:color w:val="444444"/>
          <w:sz w:val="23"/>
          <w:szCs w:val="23"/>
        </w:rPr>
        <w:t xml:space="preserve">11.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Majsztrik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JC,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Ristvey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AG, Ross DS and Lea-Cox JD </w:t>
      </w:r>
      <w:r>
        <w:rPr>
          <w:rFonts w:ascii="SegoeUIRegular" w:hAnsi="SegoeUIRegular" w:cs="SegoeUIRegular"/>
          <w:color w:val="444444"/>
          <w:sz w:val="23"/>
          <w:szCs w:val="23"/>
        </w:rPr>
        <w:t>(2018) Comparative water and nutrient app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lication rates among ornamental 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operations in Maryland. </w:t>
      </w:r>
      <w:proofErr w:type="spellStart"/>
      <w:r>
        <w:rPr>
          <w:rFonts w:ascii="SegoeUIItalic" w:hAnsi="SegoeUIItalic" w:cs="SegoeUIItalic"/>
          <w:i/>
          <w:iCs/>
          <w:color w:val="444444"/>
          <w:sz w:val="23"/>
          <w:szCs w:val="23"/>
        </w:rPr>
        <w:t>HortScience</w:t>
      </w:r>
      <w:proofErr w:type="spellEnd"/>
      <w:r>
        <w:rPr>
          <w:rFonts w:ascii="SegoeUIItalic" w:hAnsi="SegoeUIItalic" w:cs="SegoeUIItalic"/>
          <w:i/>
          <w:iCs/>
          <w:color w:val="444444"/>
          <w:sz w:val="23"/>
          <w:szCs w:val="23"/>
        </w:rPr>
        <w:t xml:space="preserve"> </w:t>
      </w:r>
      <w:r>
        <w:rPr>
          <w:rFonts w:ascii="SegoeUIBold" w:hAnsi="SegoeUIBold" w:cs="SegoeUIBold"/>
          <w:b/>
          <w:bCs/>
          <w:color w:val="444444"/>
          <w:sz w:val="23"/>
          <w:szCs w:val="23"/>
        </w:rPr>
        <w:t>53</w:t>
      </w:r>
      <w:r>
        <w:rPr>
          <w:rFonts w:ascii="SegoeUIRegular" w:hAnsi="SegoeUIRegular" w:cs="SegoeUIRegular"/>
          <w:color w:val="444444"/>
          <w:sz w:val="23"/>
          <w:szCs w:val="23"/>
        </w:rPr>
        <w:t>, 1364–1371</w:t>
      </w:r>
      <w:r>
        <w:rPr>
          <w:rFonts w:ascii="SegoeUIRegular" w:hAnsi="SegoeUIRegular" w:cs="SegoeUIRegular"/>
          <w:color w:val="444444"/>
          <w:sz w:val="23"/>
          <w:szCs w:val="23"/>
        </w:rPr>
        <w:t>.</w:t>
      </w:r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  <w:r>
        <w:rPr>
          <w:rFonts w:ascii="SegoeUIRegular" w:hAnsi="SegoeUIRegular" w:cs="SegoeUIRegular"/>
          <w:color w:val="444444"/>
          <w:sz w:val="23"/>
          <w:szCs w:val="23"/>
        </w:rPr>
        <w:t xml:space="preserve">12. </w:t>
      </w:r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Mitchell A 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(1998) Peppermint and spearmint.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FG 69.</w:t>
      </w:r>
      <w:proofErr w:type="gramEnd"/>
      <w:r>
        <w:rPr>
          <w:rFonts w:ascii="SegoeUIRegular" w:hAnsi="SegoeUIRegular" w:cs="SegoeUIRegular"/>
          <w:color w:val="444444"/>
          <w:sz w:val="23"/>
          <w:szCs w:val="23"/>
        </w:rPr>
        <w:t xml:space="preserve">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Oregon State University, Corvallis</w:t>
      </w:r>
      <w:r>
        <w:rPr>
          <w:rFonts w:ascii="SegoeUIRegular" w:hAnsi="SegoeUIRegular" w:cs="SegoeUIRegular"/>
          <w:color w:val="444444"/>
          <w:sz w:val="23"/>
          <w:szCs w:val="23"/>
        </w:rPr>
        <w:t>.</w:t>
      </w:r>
      <w:proofErr w:type="gramEnd"/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</w:p>
    <w:p w:rsidR="005A4B35" w:rsidRDefault="005A4B35" w:rsidP="005A4B35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444444"/>
          <w:sz w:val="23"/>
          <w:szCs w:val="23"/>
        </w:rPr>
      </w:pPr>
      <w:r>
        <w:rPr>
          <w:rFonts w:ascii="SegoeUIRegular" w:hAnsi="SegoeUIRegular" w:cs="SegoeUIRegular"/>
          <w:color w:val="444444"/>
          <w:sz w:val="23"/>
          <w:szCs w:val="23"/>
        </w:rPr>
        <w:t>13.</w:t>
      </w:r>
      <w:r w:rsidRPr="005A4B35"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</w:t>
      </w:r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Moyer MM, Singer SD, Davenport JR and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Hoheisel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G-A </w:t>
      </w:r>
      <w:r>
        <w:rPr>
          <w:rFonts w:ascii="SegoeUIRegular" w:hAnsi="SegoeUIRegular" w:cs="SegoeUIRegular"/>
          <w:color w:val="444444"/>
          <w:sz w:val="23"/>
          <w:szCs w:val="23"/>
        </w:rPr>
        <w:t>(2018) Vineyard nutrient managemen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t in Washington State.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EM 111E.</w:t>
      </w:r>
      <w:proofErr w:type="gramEnd"/>
      <w:r>
        <w:rPr>
          <w:rFonts w:ascii="SegoeUIRegular" w:hAnsi="SegoeUIRegular" w:cs="SegoeUIRegular"/>
          <w:color w:val="444444"/>
          <w:sz w:val="23"/>
          <w:szCs w:val="23"/>
        </w:rPr>
        <w:t xml:space="preserve">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Washington State University, Pullman</w:t>
      </w:r>
      <w:r>
        <w:rPr>
          <w:rFonts w:ascii="SegoeUIRegular" w:hAnsi="SegoeUIRegular" w:cs="SegoeUIRegular"/>
          <w:color w:val="444444"/>
          <w:sz w:val="23"/>
          <w:szCs w:val="23"/>
        </w:rPr>
        <w:t>.</w:t>
      </w:r>
      <w:proofErr w:type="gramEnd"/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  <w:r>
        <w:rPr>
          <w:rFonts w:ascii="SegoeUIRegular" w:hAnsi="SegoeUIRegular" w:cs="SegoeUIRegular"/>
          <w:color w:val="444444"/>
          <w:sz w:val="23"/>
          <w:szCs w:val="23"/>
        </w:rPr>
        <w:t xml:space="preserve">14. </w:t>
      </w:r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Newman S 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(2009)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Fall</w:t>
      </w:r>
      <w:proofErr w:type="gramEnd"/>
      <w:r>
        <w:rPr>
          <w:rFonts w:ascii="SegoeUIRegular" w:hAnsi="SegoeUIRegular" w:cs="SegoeUIRegular"/>
          <w:color w:val="444444"/>
          <w:sz w:val="23"/>
          <w:szCs w:val="23"/>
        </w:rPr>
        <w:t xml:space="preserve"> planted bulbs and corms.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No. 7.410.</w:t>
      </w:r>
      <w:proofErr w:type="gramEnd"/>
      <w:r>
        <w:rPr>
          <w:rFonts w:ascii="SegoeUIRegular" w:hAnsi="SegoeUIRegular" w:cs="SegoeUIRegular"/>
          <w:color w:val="444444"/>
          <w:sz w:val="23"/>
          <w:szCs w:val="23"/>
        </w:rPr>
        <w:t xml:space="preserve">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Colorado State University, Fort Collins</w:t>
      </w:r>
      <w:r>
        <w:rPr>
          <w:rFonts w:ascii="SegoeUIRegular" w:hAnsi="SegoeUIRegular" w:cs="SegoeUIRegular"/>
          <w:color w:val="444444"/>
          <w:sz w:val="23"/>
          <w:szCs w:val="23"/>
        </w:rPr>
        <w:t>.</w:t>
      </w:r>
      <w:proofErr w:type="gramEnd"/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  <w:r>
        <w:rPr>
          <w:rFonts w:ascii="SegoeUIRegular" w:hAnsi="SegoeUIRegular" w:cs="SegoeUIRegular"/>
          <w:color w:val="444444"/>
          <w:sz w:val="23"/>
          <w:szCs w:val="23"/>
        </w:rPr>
        <w:t xml:space="preserve">15.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Righetti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T, Wilder K, Stebbins R, Burkhart D and Hart J 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(1998) Apples.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EM 8712.</w:t>
      </w:r>
      <w:proofErr w:type="gramEnd"/>
      <w:r>
        <w:rPr>
          <w:rFonts w:ascii="SegoeUIRegular" w:hAnsi="SegoeUIRegular" w:cs="SegoeUIRegular"/>
          <w:color w:val="444444"/>
          <w:sz w:val="23"/>
          <w:szCs w:val="23"/>
        </w:rPr>
        <w:t xml:space="preserve">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Oregon State University, Corvallis</w:t>
      </w:r>
      <w:r w:rsidR="009632A9">
        <w:rPr>
          <w:rFonts w:ascii="SegoeUIRegular" w:hAnsi="SegoeUIRegular" w:cs="SegoeUIRegular"/>
          <w:color w:val="444444"/>
          <w:sz w:val="23"/>
          <w:szCs w:val="23"/>
        </w:rPr>
        <w:t>.</w:t>
      </w:r>
      <w:proofErr w:type="gramEnd"/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</w:p>
    <w:p w:rsidR="005A4B35" w:rsidRDefault="005A4B35" w:rsidP="005A4B35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444444"/>
          <w:sz w:val="23"/>
          <w:szCs w:val="23"/>
        </w:rPr>
      </w:pPr>
      <w:r>
        <w:rPr>
          <w:rFonts w:ascii="SegoeUIRegular" w:hAnsi="SegoeUIRegular" w:cs="SegoeUIRegular"/>
          <w:color w:val="444444"/>
          <w:sz w:val="23"/>
          <w:szCs w:val="23"/>
        </w:rPr>
        <w:t xml:space="preserve">16.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Shewmaker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GE and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Bohle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MG 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(2010) Pasture and grazing management in the northwest.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PN</w:t>
      </w:r>
      <w:r>
        <w:rPr>
          <w:rFonts w:ascii="SegoeUIRegular" w:hAnsi="SegoeUIRegular" w:cs="SegoeUIRegular"/>
          <w:color w:val="444444"/>
          <w:sz w:val="23"/>
          <w:szCs w:val="23"/>
        </w:rPr>
        <w:t>W 614.</w:t>
      </w:r>
      <w:proofErr w:type="gramEnd"/>
      <w:r>
        <w:rPr>
          <w:rFonts w:ascii="SegoeUIRegular" w:hAnsi="SegoeUIRegular" w:cs="SegoeUIRegular"/>
          <w:color w:val="444444"/>
          <w:sz w:val="23"/>
          <w:szCs w:val="23"/>
        </w:rPr>
        <w:t xml:space="preserve">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 xml:space="preserve">Oregon State University, </w:t>
      </w:r>
      <w:r>
        <w:rPr>
          <w:rFonts w:ascii="SegoeUIRegular" w:hAnsi="SegoeUIRegular" w:cs="SegoeUIRegular"/>
          <w:color w:val="444444"/>
          <w:sz w:val="23"/>
          <w:szCs w:val="23"/>
        </w:rPr>
        <w:t>University of Idaho, Washington State University, Corvallis</w:t>
      </w:r>
      <w:r w:rsidR="009632A9">
        <w:rPr>
          <w:rFonts w:ascii="SegoeUIRegular" w:hAnsi="SegoeUIRegular" w:cs="SegoeUIRegular"/>
          <w:color w:val="444444"/>
          <w:sz w:val="23"/>
          <w:szCs w:val="23"/>
        </w:rPr>
        <w:t>.</w:t>
      </w:r>
      <w:proofErr w:type="gramEnd"/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</w:p>
    <w:p w:rsidR="005A4B35" w:rsidRPr="005A4B35" w:rsidRDefault="005A4B35" w:rsidP="005A4B35">
      <w:pPr>
        <w:autoSpaceDE w:val="0"/>
        <w:autoSpaceDN w:val="0"/>
        <w:adjustRightInd w:val="0"/>
        <w:spacing w:after="0" w:line="240" w:lineRule="auto"/>
        <w:rPr>
          <w:rFonts w:ascii="SegoeUIBold" w:hAnsi="SegoeUIBold" w:cs="SegoeUIBold"/>
          <w:b/>
          <w:bCs/>
          <w:color w:val="444444"/>
          <w:sz w:val="23"/>
          <w:szCs w:val="23"/>
        </w:rPr>
      </w:pPr>
      <w:r>
        <w:rPr>
          <w:rFonts w:ascii="SegoeUIRegular" w:hAnsi="SegoeUIRegular" w:cs="SegoeUIRegular"/>
          <w:color w:val="444444"/>
          <w:sz w:val="23"/>
          <w:szCs w:val="23"/>
        </w:rPr>
        <w:t xml:space="preserve">17.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Strik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B, Bristow P, Broaddus A, Davenport J,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DeFrancesco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JT, English M, Fisher G, Fitzpatrick</w:t>
      </w:r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S, Hart J, Henderson D, Larson </w:t>
      </w:r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B, Patten K, Pinkerton J, Poole A,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Pscheidt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J and </w:t>
      </w:r>
      <w:proofErr w:type="spellStart"/>
      <w:r>
        <w:rPr>
          <w:rFonts w:ascii="SegoeUIBold" w:hAnsi="SegoeUIBold" w:cs="SegoeUIBold"/>
          <w:b/>
          <w:bCs/>
          <w:color w:val="444444"/>
          <w:sz w:val="23"/>
          <w:szCs w:val="23"/>
        </w:rPr>
        <w:t>Vorsa</w:t>
      </w:r>
      <w:proofErr w:type="spellEnd"/>
      <w:r>
        <w:rPr>
          <w:rFonts w:ascii="SegoeUIBold" w:hAnsi="SegoeUIBold" w:cs="SegoeUIBold"/>
          <w:b/>
          <w:bCs/>
          <w:color w:val="444444"/>
          <w:sz w:val="23"/>
          <w:szCs w:val="23"/>
        </w:rPr>
        <w:t xml:space="preserve"> N </w:t>
      </w:r>
      <w:r>
        <w:rPr>
          <w:rFonts w:ascii="SegoeUIRegular" w:hAnsi="SegoeUIRegular" w:cs="SegoeUIRegular"/>
          <w:color w:val="444444"/>
          <w:sz w:val="23"/>
          <w:szCs w:val="23"/>
        </w:rPr>
        <w:t xml:space="preserve">(2002) Cranberry production in the pacific northwest. </w:t>
      </w: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PNW 247.</w:t>
      </w:r>
      <w:proofErr w:type="gramEnd"/>
    </w:p>
    <w:p w:rsidR="005A4B35" w:rsidRDefault="005A4B35" w:rsidP="005A4B35">
      <w:pPr>
        <w:spacing w:line="240" w:lineRule="auto"/>
        <w:contextualSpacing/>
        <w:rPr>
          <w:rFonts w:ascii="SegoeUIRegular" w:hAnsi="SegoeUIRegular" w:cs="SegoeUIRegular"/>
          <w:color w:val="444444"/>
          <w:sz w:val="23"/>
          <w:szCs w:val="23"/>
        </w:rPr>
      </w:pPr>
      <w:proofErr w:type="gramStart"/>
      <w:r>
        <w:rPr>
          <w:rFonts w:ascii="SegoeUIRegular" w:hAnsi="SegoeUIRegular" w:cs="SegoeUIRegular"/>
          <w:color w:val="444444"/>
          <w:sz w:val="23"/>
          <w:szCs w:val="23"/>
        </w:rPr>
        <w:t>Oregon State University, University of Idaho, Washington State University, Corvallis</w:t>
      </w:r>
      <w:r>
        <w:rPr>
          <w:rFonts w:ascii="SegoeUIRegular" w:hAnsi="SegoeUIRegular" w:cs="SegoeUIRegular"/>
          <w:color w:val="444444"/>
          <w:sz w:val="23"/>
          <w:szCs w:val="23"/>
        </w:rPr>
        <w:t>.</w:t>
      </w:r>
      <w:proofErr w:type="gramEnd"/>
    </w:p>
    <w:p w:rsidR="005A4B35" w:rsidRDefault="005A4B35" w:rsidP="005A4B35">
      <w:pPr>
        <w:spacing w:line="240" w:lineRule="auto"/>
        <w:contextualSpacing/>
        <w:rPr>
          <w:rFonts w:ascii="SegoeUIBold" w:hAnsi="SegoeUIBold" w:cs="SegoeUIBold"/>
          <w:b/>
          <w:bCs/>
          <w:color w:val="008100"/>
          <w:sz w:val="23"/>
          <w:szCs w:val="23"/>
        </w:rPr>
      </w:pPr>
    </w:p>
    <w:p w:rsidR="005A4B35" w:rsidRDefault="005A4B35" w:rsidP="005A4B35">
      <w:pPr>
        <w:spacing w:line="240" w:lineRule="auto"/>
        <w:contextualSpacing/>
        <w:rPr>
          <w:rFonts w:ascii="SegoeUIBold" w:hAnsi="SegoeUIBold" w:cs="SegoeUIBold"/>
          <w:b/>
          <w:bCs/>
          <w:color w:val="008100"/>
          <w:sz w:val="23"/>
          <w:szCs w:val="23"/>
        </w:rPr>
      </w:pPr>
    </w:p>
    <w:p w:rsidR="005A4B35" w:rsidRDefault="005A4B35" w:rsidP="005A4B35">
      <w:pPr>
        <w:spacing w:line="240" w:lineRule="auto"/>
        <w:contextualSpacing/>
      </w:pPr>
      <w:bookmarkStart w:id="0" w:name="_GoBack"/>
      <w:bookmarkEnd w:id="0"/>
    </w:p>
    <w:sectPr w:rsidR="005A4B35" w:rsidSect="003764E2">
      <w:footerReference w:type="default" r:id="rId8"/>
      <w:pgSz w:w="12240" w:h="15840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0E" w:rsidRDefault="0035190E">
      <w:pPr>
        <w:spacing w:after="0" w:line="240" w:lineRule="auto"/>
      </w:pPr>
      <w:r>
        <w:separator/>
      </w:r>
    </w:p>
  </w:endnote>
  <w:endnote w:type="continuationSeparator" w:id="0">
    <w:p w:rsidR="0035190E" w:rsidRDefault="0035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729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6BD2" w:rsidRDefault="00184A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2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6BD2" w:rsidRDefault="003519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0E" w:rsidRDefault="0035190E">
      <w:pPr>
        <w:spacing w:after="0" w:line="240" w:lineRule="auto"/>
      </w:pPr>
      <w:r>
        <w:separator/>
      </w:r>
    </w:p>
  </w:footnote>
  <w:footnote w:type="continuationSeparator" w:id="0">
    <w:p w:rsidR="0035190E" w:rsidRDefault="00351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87829"/>
    <w:multiLevelType w:val="hybridMultilevel"/>
    <w:tmpl w:val="449E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020E4"/>
    <w:multiLevelType w:val="hybridMultilevel"/>
    <w:tmpl w:val="F48EA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69"/>
    <w:rsid w:val="00021132"/>
    <w:rsid w:val="0009528E"/>
    <w:rsid w:val="00102A43"/>
    <w:rsid w:val="001035C1"/>
    <w:rsid w:val="00150765"/>
    <w:rsid w:val="00180675"/>
    <w:rsid w:val="001808D2"/>
    <w:rsid w:val="00184A69"/>
    <w:rsid w:val="00206EC4"/>
    <w:rsid w:val="002B5366"/>
    <w:rsid w:val="0035190E"/>
    <w:rsid w:val="00543230"/>
    <w:rsid w:val="00595F22"/>
    <w:rsid w:val="005A4B35"/>
    <w:rsid w:val="0078399A"/>
    <w:rsid w:val="007D7171"/>
    <w:rsid w:val="007F6BA3"/>
    <w:rsid w:val="008400CE"/>
    <w:rsid w:val="00891BB2"/>
    <w:rsid w:val="00893237"/>
    <w:rsid w:val="008E3A8A"/>
    <w:rsid w:val="008F0F42"/>
    <w:rsid w:val="009632A9"/>
    <w:rsid w:val="00AB7292"/>
    <w:rsid w:val="00CE0887"/>
    <w:rsid w:val="00CE136E"/>
    <w:rsid w:val="00D857A6"/>
    <w:rsid w:val="00E04C90"/>
    <w:rsid w:val="00E959EC"/>
    <w:rsid w:val="00F9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A69"/>
  </w:style>
  <w:style w:type="table" w:styleId="TableGrid">
    <w:name w:val="Table Grid"/>
    <w:basedOn w:val="TableNormal"/>
    <w:uiPriority w:val="39"/>
    <w:rsid w:val="0018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184A69"/>
  </w:style>
  <w:style w:type="paragraph" w:styleId="ListParagraph">
    <w:name w:val="List Paragraph"/>
    <w:basedOn w:val="Normal"/>
    <w:uiPriority w:val="34"/>
    <w:qFormat/>
    <w:rsid w:val="005A4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A69"/>
  </w:style>
  <w:style w:type="table" w:styleId="TableGrid">
    <w:name w:val="Table Grid"/>
    <w:basedOn w:val="TableNormal"/>
    <w:uiPriority w:val="39"/>
    <w:rsid w:val="0018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184A69"/>
  </w:style>
  <w:style w:type="paragraph" w:styleId="ListParagraph">
    <w:name w:val="List Paragraph"/>
    <w:basedOn w:val="Normal"/>
    <w:uiPriority w:val="34"/>
    <w:qFormat/>
    <w:rsid w:val="005A4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Stacey, Nathan Eugene</dc:creator>
  <cp:keywords/>
  <dc:description/>
  <cp:lastModifiedBy>admin</cp:lastModifiedBy>
  <cp:revision>3</cp:revision>
  <dcterms:created xsi:type="dcterms:W3CDTF">2019-11-21T16:56:00Z</dcterms:created>
  <dcterms:modified xsi:type="dcterms:W3CDTF">2020-06-26T22:58:00Z</dcterms:modified>
</cp:coreProperties>
</file>