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75D6" w14:textId="54E708B5" w:rsidR="00AB141B" w:rsidRPr="00AB141B" w:rsidRDefault="00AB141B" w:rsidP="00AB141B">
      <w:pPr>
        <w:pStyle w:val="Header"/>
        <w:jc w:val="center"/>
        <w:rPr>
          <w:rFonts w:ascii="Times New Roman" w:hAnsi="Times New Roman" w:cs="Times New Roman"/>
          <w:b/>
          <w:bCs/>
        </w:rPr>
      </w:pPr>
      <w:r w:rsidRPr="00AB141B">
        <w:rPr>
          <w:rFonts w:ascii="Times New Roman" w:hAnsi="Times New Roman" w:cs="Times New Roman"/>
          <w:b/>
          <w:bCs/>
        </w:rPr>
        <w:t>Appendix C: Thematic Codes for Interview Analysis</w:t>
      </w:r>
    </w:p>
    <w:p w14:paraId="3A692EE9" w14:textId="676A80BC" w:rsidR="00AB141B" w:rsidRDefault="00AB141B"/>
    <w:tbl>
      <w:tblPr>
        <w:tblStyle w:val="TableGrid"/>
        <w:tblW w:w="0" w:type="auto"/>
        <w:tblLook w:val="04A0" w:firstRow="1" w:lastRow="0" w:firstColumn="1" w:lastColumn="0" w:noHBand="0" w:noVBand="1"/>
      </w:tblPr>
      <w:tblGrid>
        <w:gridCol w:w="805"/>
        <w:gridCol w:w="1620"/>
        <w:gridCol w:w="6925"/>
      </w:tblGrid>
      <w:tr w:rsidR="0011753E" w:rsidRPr="0011753E" w14:paraId="1247AC04" w14:textId="77777777" w:rsidTr="0011753E">
        <w:tc>
          <w:tcPr>
            <w:tcW w:w="805" w:type="dxa"/>
          </w:tcPr>
          <w:p w14:paraId="0904DC92" w14:textId="4853301A" w:rsidR="00307323" w:rsidRPr="0011753E" w:rsidRDefault="00307323" w:rsidP="006A447F">
            <w:pPr>
              <w:ind w:right="246"/>
              <w:rPr>
                <w:rFonts w:ascii="Times New Roman" w:hAnsi="Times New Roman" w:cs="Times New Roman"/>
                <w:sz w:val="20"/>
                <w:szCs w:val="20"/>
              </w:rPr>
            </w:pPr>
          </w:p>
        </w:tc>
        <w:tc>
          <w:tcPr>
            <w:tcW w:w="1620" w:type="dxa"/>
          </w:tcPr>
          <w:p w14:paraId="1A8E7E1F" w14:textId="44CBB790" w:rsidR="00307323" w:rsidRPr="0011753E" w:rsidRDefault="00307323" w:rsidP="006A447F">
            <w:pPr>
              <w:rPr>
                <w:rFonts w:ascii="Times New Roman" w:hAnsi="Times New Roman" w:cs="Times New Roman"/>
                <w:sz w:val="20"/>
                <w:szCs w:val="20"/>
              </w:rPr>
            </w:pPr>
            <w:r w:rsidRPr="0011753E">
              <w:rPr>
                <w:rFonts w:ascii="Times New Roman" w:hAnsi="Times New Roman" w:cs="Times New Roman"/>
                <w:sz w:val="20"/>
                <w:szCs w:val="20"/>
              </w:rPr>
              <w:t>Code</w:t>
            </w:r>
            <w:r w:rsidR="00D432C4" w:rsidRPr="0011753E">
              <w:rPr>
                <w:rFonts w:ascii="Times New Roman" w:hAnsi="Times New Roman" w:cs="Times New Roman"/>
                <w:sz w:val="20"/>
                <w:szCs w:val="20"/>
              </w:rPr>
              <w:t>*</w:t>
            </w:r>
          </w:p>
        </w:tc>
        <w:tc>
          <w:tcPr>
            <w:tcW w:w="6925" w:type="dxa"/>
          </w:tcPr>
          <w:p w14:paraId="67891DC3" w14:textId="1F6F8612" w:rsidR="00307323" w:rsidRPr="0011753E" w:rsidRDefault="00307323" w:rsidP="006A447F">
            <w:pPr>
              <w:rPr>
                <w:rFonts w:ascii="Times New Roman" w:hAnsi="Times New Roman" w:cs="Times New Roman"/>
                <w:sz w:val="20"/>
                <w:szCs w:val="20"/>
              </w:rPr>
            </w:pPr>
            <w:r w:rsidRPr="0011753E">
              <w:rPr>
                <w:rFonts w:ascii="Times New Roman" w:hAnsi="Times New Roman" w:cs="Times New Roman"/>
                <w:sz w:val="20"/>
                <w:szCs w:val="20"/>
              </w:rPr>
              <w:t>Explanation</w:t>
            </w:r>
          </w:p>
        </w:tc>
      </w:tr>
      <w:tr w:rsidR="00307323" w:rsidRPr="0011753E" w14:paraId="35EA687F" w14:textId="77777777" w:rsidTr="0011753E">
        <w:tc>
          <w:tcPr>
            <w:tcW w:w="805" w:type="dxa"/>
            <w:vMerge w:val="restart"/>
            <w:textDirection w:val="btLr"/>
          </w:tcPr>
          <w:p w14:paraId="589700A0" w14:textId="77777777" w:rsidR="00307323" w:rsidRPr="0011753E" w:rsidRDefault="00307323" w:rsidP="006A447F">
            <w:pPr>
              <w:ind w:left="113" w:right="113"/>
              <w:jc w:val="center"/>
              <w:rPr>
                <w:rFonts w:ascii="Times New Roman" w:hAnsi="Times New Roman" w:cs="Times New Roman"/>
                <w:sz w:val="20"/>
                <w:szCs w:val="20"/>
              </w:rPr>
            </w:pPr>
            <w:r w:rsidRPr="0011753E">
              <w:rPr>
                <w:rFonts w:ascii="Times New Roman" w:hAnsi="Times New Roman" w:cs="Times New Roman"/>
                <w:sz w:val="20"/>
                <w:szCs w:val="20"/>
              </w:rPr>
              <w:t>Historicization</w:t>
            </w:r>
          </w:p>
        </w:tc>
        <w:tc>
          <w:tcPr>
            <w:tcW w:w="1620" w:type="dxa"/>
          </w:tcPr>
          <w:p w14:paraId="33FFF0F6" w14:textId="77777777" w:rsidR="00307323" w:rsidRPr="0011753E" w:rsidRDefault="00307323" w:rsidP="006A447F">
            <w:pPr>
              <w:rPr>
                <w:rFonts w:ascii="Times New Roman" w:hAnsi="Times New Roman" w:cs="Times New Roman"/>
                <w:sz w:val="20"/>
                <w:szCs w:val="20"/>
              </w:rPr>
            </w:pPr>
            <w:r w:rsidRPr="0011753E">
              <w:rPr>
                <w:rFonts w:ascii="Times New Roman" w:hAnsi="Times New Roman" w:cs="Times New Roman"/>
                <w:sz w:val="20"/>
                <w:szCs w:val="20"/>
              </w:rPr>
              <w:t>Personal history</w:t>
            </w:r>
          </w:p>
        </w:tc>
        <w:tc>
          <w:tcPr>
            <w:tcW w:w="6925" w:type="dxa"/>
          </w:tcPr>
          <w:p w14:paraId="7CCBEA5A" w14:textId="01652A3B" w:rsidR="00307323" w:rsidRPr="0011753E" w:rsidRDefault="007E7C10" w:rsidP="006A447F">
            <w:pPr>
              <w:rPr>
                <w:rFonts w:ascii="Times New Roman" w:hAnsi="Times New Roman" w:cs="Times New Roman"/>
                <w:sz w:val="20"/>
                <w:szCs w:val="20"/>
              </w:rPr>
            </w:pPr>
            <w:r w:rsidRPr="0011753E">
              <w:rPr>
                <w:rFonts w:ascii="Times New Roman" w:hAnsi="Times New Roman" w:cs="Times New Roman"/>
                <w:sz w:val="20"/>
                <w:szCs w:val="20"/>
              </w:rPr>
              <w:t xml:space="preserve">Explanations of how respondents came to occupy their </w:t>
            </w:r>
            <w:r w:rsidR="0037586B" w:rsidRPr="0011753E">
              <w:rPr>
                <w:rFonts w:ascii="Times New Roman" w:hAnsi="Times New Roman" w:cs="Times New Roman"/>
                <w:sz w:val="20"/>
                <w:szCs w:val="20"/>
              </w:rPr>
              <w:t xml:space="preserve">professional </w:t>
            </w:r>
            <w:r w:rsidRPr="0011753E">
              <w:rPr>
                <w:rFonts w:ascii="Times New Roman" w:hAnsi="Times New Roman" w:cs="Times New Roman"/>
                <w:sz w:val="20"/>
                <w:szCs w:val="20"/>
              </w:rPr>
              <w:t>positions</w:t>
            </w:r>
            <w:r w:rsidR="0037586B" w:rsidRPr="0011753E">
              <w:rPr>
                <w:rFonts w:ascii="Times New Roman" w:hAnsi="Times New Roman" w:cs="Times New Roman"/>
                <w:sz w:val="20"/>
                <w:szCs w:val="20"/>
              </w:rPr>
              <w:t>, bec</w:t>
            </w:r>
            <w:r w:rsidR="00BA4413">
              <w:rPr>
                <w:rFonts w:ascii="Times New Roman" w:hAnsi="Times New Roman" w:cs="Times New Roman"/>
                <w:sz w:val="20"/>
                <w:szCs w:val="20"/>
              </w:rPr>
              <w:t>o</w:t>
            </w:r>
            <w:r w:rsidR="0037586B" w:rsidRPr="0011753E">
              <w:rPr>
                <w:rFonts w:ascii="Times New Roman" w:hAnsi="Times New Roman" w:cs="Times New Roman"/>
                <w:sz w:val="20"/>
                <w:szCs w:val="20"/>
              </w:rPr>
              <w:t xml:space="preserve">me active in </w:t>
            </w:r>
            <w:r w:rsidR="009A5353">
              <w:rPr>
                <w:rFonts w:ascii="Times New Roman" w:hAnsi="Times New Roman" w:cs="Times New Roman"/>
                <w:sz w:val="20"/>
                <w:szCs w:val="20"/>
              </w:rPr>
              <w:t xml:space="preserve">the </w:t>
            </w:r>
            <w:r w:rsidR="0037586B" w:rsidRPr="0011753E">
              <w:rPr>
                <w:rFonts w:ascii="Times New Roman" w:hAnsi="Times New Roman" w:cs="Times New Roman"/>
                <w:sz w:val="20"/>
                <w:szCs w:val="20"/>
              </w:rPr>
              <w:t>women’s movement, and/or</w:t>
            </w:r>
            <w:r w:rsidRPr="0011753E">
              <w:rPr>
                <w:rFonts w:ascii="Times New Roman" w:hAnsi="Times New Roman" w:cs="Times New Roman"/>
                <w:sz w:val="20"/>
                <w:szCs w:val="20"/>
              </w:rPr>
              <w:t xml:space="preserve"> hold their political views, often drawing on childhood memories, educational background, wartime experiences, </w:t>
            </w:r>
            <w:r w:rsidR="00BA4413">
              <w:rPr>
                <w:rFonts w:ascii="Times New Roman" w:hAnsi="Times New Roman" w:cs="Times New Roman"/>
                <w:sz w:val="20"/>
                <w:szCs w:val="20"/>
              </w:rPr>
              <w:t xml:space="preserve">early experiences with </w:t>
            </w:r>
            <w:r w:rsidRPr="0011753E">
              <w:rPr>
                <w:rFonts w:ascii="Times New Roman" w:hAnsi="Times New Roman" w:cs="Times New Roman"/>
                <w:sz w:val="20"/>
                <w:szCs w:val="20"/>
              </w:rPr>
              <w:t>mobilization or politicization, among other topics.</w:t>
            </w:r>
          </w:p>
        </w:tc>
      </w:tr>
      <w:tr w:rsidR="00307323" w:rsidRPr="0011753E" w14:paraId="1FBEA6E3" w14:textId="77777777" w:rsidTr="0011753E">
        <w:tc>
          <w:tcPr>
            <w:tcW w:w="805" w:type="dxa"/>
            <w:vMerge/>
          </w:tcPr>
          <w:p w14:paraId="7CB795E4" w14:textId="77777777" w:rsidR="00307323" w:rsidRPr="0011753E" w:rsidRDefault="00307323" w:rsidP="006A447F">
            <w:pPr>
              <w:rPr>
                <w:rFonts w:ascii="Times New Roman" w:hAnsi="Times New Roman" w:cs="Times New Roman"/>
                <w:sz w:val="20"/>
                <w:szCs w:val="20"/>
              </w:rPr>
            </w:pPr>
          </w:p>
        </w:tc>
        <w:tc>
          <w:tcPr>
            <w:tcW w:w="1620" w:type="dxa"/>
          </w:tcPr>
          <w:p w14:paraId="29FE5027" w14:textId="77777777" w:rsidR="00307323" w:rsidRPr="0011753E" w:rsidRDefault="00307323" w:rsidP="006A447F">
            <w:pPr>
              <w:rPr>
                <w:rFonts w:ascii="Times New Roman" w:hAnsi="Times New Roman" w:cs="Times New Roman"/>
                <w:sz w:val="20"/>
                <w:szCs w:val="20"/>
              </w:rPr>
            </w:pPr>
            <w:r w:rsidRPr="0011753E">
              <w:rPr>
                <w:rFonts w:ascii="Times New Roman" w:hAnsi="Times New Roman" w:cs="Times New Roman"/>
                <w:sz w:val="20"/>
                <w:szCs w:val="20"/>
              </w:rPr>
              <w:t>Organizational history</w:t>
            </w:r>
          </w:p>
        </w:tc>
        <w:tc>
          <w:tcPr>
            <w:tcW w:w="6925" w:type="dxa"/>
          </w:tcPr>
          <w:p w14:paraId="1C55B99E" w14:textId="5DE4DECE" w:rsidR="00307323" w:rsidRPr="0011753E" w:rsidRDefault="007E7C10" w:rsidP="006A447F">
            <w:pPr>
              <w:rPr>
                <w:rFonts w:ascii="Times New Roman" w:hAnsi="Times New Roman" w:cs="Times New Roman"/>
                <w:sz w:val="20"/>
                <w:szCs w:val="20"/>
              </w:rPr>
            </w:pPr>
            <w:r w:rsidRPr="0011753E">
              <w:rPr>
                <w:rFonts w:ascii="Times New Roman" w:hAnsi="Times New Roman" w:cs="Times New Roman"/>
                <w:sz w:val="20"/>
                <w:szCs w:val="20"/>
              </w:rPr>
              <w:t xml:space="preserve">Discussions of how </w:t>
            </w:r>
            <w:r w:rsidR="00BA4413">
              <w:rPr>
                <w:rFonts w:ascii="Times New Roman" w:hAnsi="Times New Roman" w:cs="Times New Roman"/>
                <w:sz w:val="20"/>
                <w:szCs w:val="20"/>
              </w:rPr>
              <w:t xml:space="preserve">activist </w:t>
            </w:r>
            <w:r w:rsidRPr="0011753E">
              <w:rPr>
                <w:rFonts w:ascii="Times New Roman" w:hAnsi="Times New Roman" w:cs="Times New Roman"/>
                <w:sz w:val="20"/>
                <w:szCs w:val="20"/>
              </w:rPr>
              <w:t>organizations formed, how they self-identified (feminist or not</w:t>
            </w:r>
            <w:r w:rsidR="00BF3B58">
              <w:rPr>
                <w:rFonts w:ascii="Times New Roman" w:hAnsi="Times New Roman" w:cs="Times New Roman"/>
                <w:sz w:val="20"/>
                <w:szCs w:val="20"/>
              </w:rPr>
              <w:t>, associated with a political ideology, etc</w:t>
            </w:r>
            <w:r w:rsidR="00026D44">
              <w:rPr>
                <w:rFonts w:ascii="Times New Roman" w:hAnsi="Times New Roman" w:cs="Times New Roman"/>
                <w:sz w:val="20"/>
                <w:szCs w:val="20"/>
              </w:rPr>
              <w:t>.</w:t>
            </w:r>
            <w:r w:rsidRPr="0011753E">
              <w:rPr>
                <w:rFonts w:ascii="Times New Roman" w:hAnsi="Times New Roman" w:cs="Times New Roman"/>
                <w:sz w:val="20"/>
                <w:szCs w:val="20"/>
              </w:rPr>
              <w:t xml:space="preserve">), and their main foci and activities </w:t>
            </w:r>
            <w:r w:rsidR="00BF3B58">
              <w:rPr>
                <w:rFonts w:ascii="Times New Roman" w:hAnsi="Times New Roman" w:cs="Times New Roman"/>
                <w:sz w:val="20"/>
                <w:szCs w:val="20"/>
              </w:rPr>
              <w:t>over time</w:t>
            </w:r>
            <w:r w:rsidR="00424535">
              <w:rPr>
                <w:rFonts w:ascii="Times New Roman" w:hAnsi="Times New Roman" w:cs="Times New Roman"/>
                <w:sz w:val="20"/>
                <w:szCs w:val="20"/>
              </w:rPr>
              <w:t>.</w:t>
            </w:r>
          </w:p>
        </w:tc>
      </w:tr>
      <w:tr w:rsidR="00307323" w:rsidRPr="0011753E" w14:paraId="45D8C369" w14:textId="77777777" w:rsidTr="00BA4413">
        <w:trPr>
          <w:trHeight w:val="782"/>
        </w:trPr>
        <w:tc>
          <w:tcPr>
            <w:tcW w:w="805" w:type="dxa"/>
            <w:vMerge/>
          </w:tcPr>
          <w:p w14:paraId="701506B0" w14:textId="77777777" w:rsidR="00307323" w:rsidRPr="0011753E" w:rsidRDefault="00307323" w:rsidP="006A447F">
            <w:pPr>
              <w:rPr>
                <w:rFonts w:ascii="Times New Roman" w:hAnsi="Times New Roman" w:cs="Times New Roman"/>
                <w:sz w:val="20"/>
                <w:szCs w:val="20"/>
              </w:rPr>
            </w:pPr>
          </w:p>
        </w:tc>
        <w:tc>
          <w:tcPr>
            <w:tcW w:w="1620" w:type="dxa"/>
          </w:tcPr>
          <w:p w14:paraId="71AE7EED" w14:textId="77777777" w:rsidR="00307323" w:rsidRPr="0011753E" w:rsidRDefault="00307323" w:rsidP="006A447F">
            <w:pPr>
              <w:rPr>
                <w:rFonts w:ascii="Times New Roman" w:hAnsi="Times New Roman" w:cs="Times New Roman"/>
                <w:sz w:val="20"/>
                <w:szCs w:val="20"/>
              </w:rPr>
            </w:pPr>
            <w:r w:rsidRPr="0011753E">
              <w:rPr>
                <w:rFonts w:ascii="Times New Roman" w:hAnsi="Times New Roman" w:cs="Times New Roman"/>
                <w:sz w:val="20"/>
                <w:szCs w:val="20"/>
              </w:rPr>
              <w:t>Women’s movement history</w:t>
            </w:r>
          </w:p>
        </w:tc>
        <w:tc>
          <w:tcPr>
            <w:tcW w:w="6925" w:type="dxa"/>
          </w:tcPr>
          <w:p w14:paraId="4E484701" w14:textId="08B00EE5" w:rsidR="00307323" w:rsidRPr="0011753E" w:rsidRDefault="00307323" w:rsidP="006A447F">
            <w:pPr>
              <w:rPr>
                <w:rFonts w:ascii="Times New Roman" w:hAnsi="Times New Roman" w:cs="Times New Roman"/>
                <w:sz w:val="20"/>
                <w:szCs w:val="20"/>
              </w:rPr>
            </w:pPr>
            <w:r w:rsidRPr="0011753E">
              <w:rPr>
                <w:rFonts w:ascii="Times New Roman" w:hAnsi="Times New Roman" w:cs="Times New Roman"/>
                <w:sz w:val="20"/>
                <w:szCs w:val="20"/>
              </w:rPr>
              <w:t xml:space="preserve">Reflections on the formation of the women’s movement, its development over time, </w:t>
            </w:r>
            <w:r w:rsidR="00BA4413">
              <w:rPr>
                <w:rFonts w:ascii="Times New Roman" w:hAnsi="Times New Roman" w:cs="Times New Roman"/>
                <w:sz w:val="20"/>
                <w:szCs w:val="20"/>
              </w:rPr>
              <w:t>its main priorities or debates over time, and/or</w:t>
            </w:r>
            <w:r w:rsidRPr="0011753E">
              <w:rPr>
                <w:rFonts w:ascii="Times New Roman" w:hAnsi="Times New Roman" w:cs="Times New Roman"/>
                <w:sz w:val="20"/>
                <w:szCs w:val="20"/>
              </w:rPr>
              <w:t xml:space="preserve"> particularly important turning points</w:t>
            </w:r>
            <w:r w:rsidR="00424535">
              <w:rPr>
                <w:rFonts w:ascii="Times New Roman" w:hAnsi="Times New Roman" w:cs="Times New Roman"/>
                <w:sz w:val="20"/>
                <w:szCs w:val="20"/>
              </w:rPr>
              <w:t>.</w:t>
            </w:r>
          </w:p>
        </w:tc>
      </w:tr>
      <w:tr w:rsidR="00307323" w:rsidRPr="0011753E" w14:paraId="522D1527" w14:textId="77777777" w:rsidTr="0011753E">
        <w:tc>
          <w:tcPr>
            <w:tcW w:w="805" w:type="dxa"/>
            <w:vMerge/>
          </w:tcPr>
          <w:p w14:paraId="241715E1" w14:textId="77777777" w:rsidR="00307323" w:rsidRPr="0011753E" w:rsidRDefault="00307323" w:rsidP="006A447F">
            <w:pPr>
              <w:rPr>
                <w:rFonts w:ascii="Times New Roman" w:hAnsi="Times New Roman" w:cs="Times New Roman"/>
                <w:sz w:val="20"/>
                <w:szCs w:val="20"/>
              </w:rPr>
            </w:pPr>
          </w:p>
        </w:tc>
        <w:tc>
          <w:tcPr>
            <w:tcW w:w="1620" w:type="dxa"/>
          </w:tcPr>
          <w:p w14:paraId="24AF1043" w14:textId="77777777" w:rsidR="00307323" w:rsidRPr="0011753E" w:rsidRDefault="00307323" w:rsidP="006A447F">
            <w:pPr>
              <w:rPr>
                <w:rFonts w:ascii="Times New Roman" w:hAnsi="Times New Roman" w:cs="Times New Roman"/>
                <w:sz w:val="20"/>
                <w:szCs w:val="20"/>
              </w:rPr>
            </w:pPr>
            <w:r w:rsidRPr="0011753E">
              <w:rPr>
                <w:rFonts w:ascii="Times New Roman" w:hAnsi="Times New Roman" w:cs="Times New Roman"/>
                <w:sz w:val="20"/>
                <w:szCs w:val="20"/>
              </w:rPr>
              <w:t>1996 law history</w:t>
            </w:r>
          </w:p>
        </w:tc>
        <w:tc>
          <w:tcPr>
            <w:tcW w:w="6925" w:type="dxa"/>
          </w:tcPr>
          <w:p w14:paraId="6B0FA4AB" w14:textId="3203FBDB" w:rsidR="00307323" w:rsidRPr="0011753E" w:rsidRDefault="007E7C10" w:rsidP="006A447F">
            <w:pPr>
              <w:rPr>
                <w:rFonts w:ascii="Times New Roman" w:hAnsi="Times New Roman" w:cs="Times New Roman"/>
                <w:sz w:val="20"/>
                <w:szCs w:val="20"/>
              </w:rPr>
            </w:pPr>
            <w:r w:rsidRPr="0011753E">
              <w:rPr>
                <w:rFonts w:ascii="Times New Roman" w:hAnsi="Times New Roman" w:cs="Times New Roman"/>
                <w:sz w:val="20"/>
                <w:szCs w:val="20"/>
              </w:rPr>
              <w:t xml:space="preserve">Discussion of the </w:t>
            </w:r>
            <w:r w:rsidR="00A44850" w:rsidRPr="0011753E">
              <w:rPr>
                <w:rFonts w:ascii="Times New Roman" w:hAnsi="Times New Roman" w:cs="Times New Roman"/>
                <w:sz w:val="20"/>
                <w:szCs w:val="20"/>
              </w:rPr>
              <w:t>events</w:t>
            </w:r>
            <w:r w:rsidRPr="0011753E">
              <w:rPr>
                <w:rFonts w:ascii="Times New Roman" w:hAnsi="Times New Roman" w:cs="Times New Roman"/>
                <w:sz w:val="20"/>
                <w:szCs w:val="20"/>
              </w:rPr>
              <w:t xml:space="preserve"> leading up to the passage of the Law against Intrafamilial Violence, with a focus on temporal order of events, proposals and debates.</w:t>
            </w:r>
          </w:p>
        </w:tc>
      </w:tr>
      <w:tr w:rsidR="00307323" w:rsidRPr="0011753E" w14:paraId="2117C22A" w14:textId="77777777" w:rsidTr="0011753E">
        <w:tc>
          <w:tcPr>
            <w:tcW w:w="805" w:type="dxa"/>
            <w:vMerge/>
          </w:tcPr>
          <w:p w14:paraId="26915BB3" w14:textId="77777777" w:rsidR="00307323" w:rsidRPr="0011753E" w:rsidRDefault="00307323" w:rsidP="006A447F">
            <w:pPr>
              <w:rPr>
                <w:rFonts w:ascii="Times New Roman" w:hAnsi="Times New Roman" w:cs="Times New Roman"/>
                <w:sz w:val="20"/>
                <w:szCs w:val="20"/>
              </w:rPr>
            </w:pPr>
          </w:p>
        </w:tc>
        <w:tc>
          <w:tcPr>
            <w:tcW w:w="1620" w:type="dxa"/>
            <w:shd w:val="clear" w:color="auto" w:fill="auto"/>
          </w:tcPr>
          <w:p w14:paraId="3177B666" w14:textId="77777777" w:rsidR="00307323" w:rsidRPr="0011753E" w:rsidRDefault="00307323" w:rsidP="006A447F">
            <w:pPr>
              <w:rPr>
                <w:rFonts w:ascii="Times New Roman" w:hAnsi="Times New Roman" w:cs="Times New Roman"/>
                <w:sz w:val="20"/>
                <w:szCs w:val="20"/>
              </w:rPr>
            </w:pPr>
            <w:r w:rsidRPr="0011753E">
              <w:rPr>
                <w:rFonts w:ascii="Times New Roman" w:hAnsi="Times New Roman" w:cs="Times New Roman"/>
                <w:sz w:val="20"/>
                <w:szCs w:val="20"/>
              </w:rPr>
              <w:t>2008 law history</w:t>
            </w:r>
          </w:p>
        </w:tc>
        <w:tc>
          <w:tcPr>
            <w:tcW w:w="6925" w:type="dxa"/>
            <w:shd w:val="clear" w:color="auto" w:fill="auto"/>
          </w:tcPr>
          <w:p w14:paraId="589D2EC3" w14:textId="3EA53DD7" w:rsidR="00307323" w:rsidRPr="0011753E" w:rsidRDefault="007E7C10" w:rsidP="006A447F">
            <w:pPr>
              <w:rPr>
                <w:rFonts w:ascii="Times New Roman" w:hAnsi="Times New Roman" w:cs="Times New Roman"/>
                <w:sz w:val="20"/>
                <w:szCs w:val="20"/>
              </w:rPr>
            </w:pPr>
            <w:r w:rsidRPr="0011753E">
              <w:rPr>
                <w:rFonts w:ascii="Times New Roman" w:hAnsi="Times New Roman" w:cs="Times New Roman"/>
                <w:sz w:val="20"/>
                <w:szCs w:val="20"/>
              </w:rPr>
              <w:t>Discussion of the processes leading up to the passage of the Law against Femicide and Other Forms of Violence Against Women, with a focus on temporal order of events, debates</w:t>
            </w:r>
            <w:r w:rsidR="00CF63D1">
              <w:rPr>
                <w:rFonts w:ascii="Times New Roman" w:hAnsi="Times New Roman" w:cs="Times New Roman"/>
                <w:sz w:val="20"/>
                <w:szCs w:val="20"/>
              </w:rPr>
              <w:t>, and</w:t>
            </w:r>
            <w:r w:rsidRPr="0011753E">
              <w:rPr>
                <w:rFonts w:ascii="Times New Roman" w:hAnsi="Times New Roman" w:cs="Times New Roman"/>
                <w:sz w:val="20"/>
                <w:szCs w:val="20"/>
              </w:rPr>
              <w:t xml:space="preserve"> earl</w:t>
            </w:r>
            <w:r w:rsidR="00CF63D1">
              <w:rPr>
                <w:rFonts w:ascii="Times New Roman" w:hAnsi="Times New Roman" w:cs="Times New Roman"/>
                <w:sz w:val="20"/>
                <w:szCs w:val="20"/>
              </w:rPr>
              <w:t>ier</w:t>
            </w:r>
            <w:r w:rsidRPr="0011753E">
              <w:rPr>
                <w:rFonts w:ascii="Times New Roman" w:hAnsi="Times New Roman" w:cs="Times New Roman"/>
                <w:sz w:val="20"/>
                <w:szCs w:val="20"/>
              </w:rPr>
              <w:t xml:space="preserve"> proposals.</w:t>
            </w:r>
          </w:p>
        </w:tc>
      </w:tr>
      <w:tr w:rsidR="00307323" w:rsidRPr="0011753E" w14:paraId="3293F5A7" w14:textId="77777777" w:rsidTr="0011753E">
        <w:tc>
          <w:tcPr>
            <w:tcW w:w="805" w:type="dxa"/>
            <w:vMerge/>
          </w:tcPr>
          <w:p w14:paraId="27807823" w14:textId="77777777" w:rsidR="00307323" w:rsidRPr="0011753E" w:rsidRDefault="00307323" w:rsidP="006A447F">
            <w:pPr>
              <w:rPr>
                <w:rFonts w:ascii="Times New Roman" w:hAnsi="Times New Roman" w:cs="Times New Roman"/>
                <w:sz w:val="20"/>
                <w:szCs w:val="20"/>
              </w:rPr>
            </w:pPr>
          </w:p>
        </w:tc>
        <w:tc>
          <w:tcPr>
            <w:tcW w:w="1620" w:type="dxa"/>
            <w:shd w:val="clear" w:color="auto" w:fill="auto"/>
          </w:tcPr>
          <w:p w14:paraId="068D9702" w14:textId="34C36277" w:rsidR="00307323" w:rsidRPr="0011753E" w:rsidRDefault="00307323" w:rsidP="006A447F">
            <w:pPr>
              <w:rPr>
                <w:rFonts w:ascii="Times New Roman" w:hAnsi="Times New Roman" w:cs="Times New Roman"/>
                <w:sz w:val="20"/>
                <w:szCs w:val="20"/>
              </w:rPr>
            </w:pPr>
            <w:r w:rsidRPr="0011753E">
              <w:rPr>
                <w:rFonts w:ascii="Times New Roman" w:hAnsi="Times New Roman" w:cs="Times New Roman"/>
                <w:sz w:val="20"/>
                <w:szCs w:val="20"/>
              </w:rPr>
              <w:t>Other reforms</w:t>
            </w:r>
          </w:p>
        </w:tc>
        <w:tc>
          <w:tcPr>
            <w:tcW w:w="6925" w:type="dxa"/>
            <w:shd w:val="clear" w:color="auto" w:fill="auto"/>
          </w:tcPr>
          <w:p w14:paraId="00E6D55D" w14:textId="7CD265AC" w:rsidR="00307323" w:rsidRPr="0011753E" w:rsidRDefault="007E7C10" w:rsidP="006A447F">
            <w:pPr>
              <w:rPr>
                <w:rFonts w:ascii="Times New Roman" w:hAnsi="Times New Roman" w:cs="Times New Roman"/>
                <w:sz w:val="20"/>
                <w:szCs w:val="20"/>
              </w:rPr>
            </w:pPr>
            <w:r w:rsidRPr="0011753E">
              <w:rPr>
                <w:rFonts w:ascii="Times New Roman" w:hAnsi="Times New Roman" w:cs="Times New Roman"/>
                <w:sz w:val="20"/>
                <w:szCs w:val="20"/>
              </w:rPr>
              <w:t>Discussion of other legislation or policies respondents deemed relevant to the eventual passage of the Law against Femicide and Other Forms of Violence Against Women</w:t>
            </w:r>
            <w:r w:rsidR="00027A6E">
              <w:rPr>
                <w:rFonts w:ascii="Times New Roman" w:hAnsi="Times New Roman" w:cs="Times New Roman"/>
                <w:sz w:val="20"/>
                <w:szCs w:val="20"/>
              </w:rPr>
              <w:t xml:space="preserve"> (for example, the</w:t>
            </w:r>
            <w:r w:rsidRPr="0011753E">
              <w:rPr>
                <w:rFonts w:ascii="Times New Roman" w:hAnsi="Times New Roman" w:cs="Times New Roman"/>
                <w:sz w:val="20"/>
                <w:szCs w:val="20"/>
              </w:rPr>
              <w:t xml:space="preserve"> Law for the Dignification and Integral Promotion of Women</w:t>
            </w:r>
            <w:r w:rsidR="00027A6E">
              <w:rPr>
                <w:rFonts w:ascii="Times New Roman" w:hAnsi="Times New Roman" w:cs="Times New Roman"/>
                <w:sz w:val="20"/>
                <w:szCs w:val="20"/>
              </w:rPr>
              <w:t>).</w:t>
            </w:r>
          </w:p>
        </w:tc>
      </w:tr>
      <w:tr w:rsidR="00307323" w:rsidRPr="0011753E" w14:paraId="066ACF28" w14:textId="77777777" w:rsidTr="0011753E">
        <w:tc>
          <w:tcPr>
            <w:tcW w:w="805" w:type="dxa"/>
            <w:vMerge w:val="restart"/>
            <w:textDirection w:val="btLr"/>
          </w:tcPr>
          <w:p w14:paraId="484A333A" w14:textId="0BD19BA6" w:rsidR="00307323" w:rsidRPr="0011753E" w:rsidRDefault="00307323" w:rsidP="00307323">
            <w:pPr>
              <w:jc w:val="center"/>
              <w:rPr>
                <w:rFonts w:ascii="Times New Roman" w:hAnsi="Times New Roman" w:cs="Times New Roman"/>
                <w:sz w:val="20"/>
                <w:szCs w:val="20"/>
              </w:rPr>
            </w:pPr>
            <w:r w:rsidRPr="0011753E">
              <w:rPr>
                <w:rFonts w:ascii="Times New Roman" w:hAnsi="Times New Roman" w:cs="Times New Roman"/>
                <w:sz w:val="20"/>
                <w:szCs w:val="20"/>
              </w:rPr>
              <w:t>Views of VAW</w:t>
            </w:r>
          </w:p>
        </w:tc>
        <w:tc>
          <w:tcPr>
            <w:tcW w:w="1620" w:type="dxa"/>
            <w:shd w:val="clear" w:color="auto" w:fill="auto"/>
          </w:tcPr>
          <w:p w14:paraId="619C2012" w14:textId="034CD90B" w:rsidR="00307323" w:rsidRPr="0011753E" w:rsidRDefault="00307323" w:rsidP="00307323">
            <w:pPr>
              <w:rPr>
                <w:rFonts w:ascii="Times New Roman" w:hAnsi="Times New Roman" w:cs="Times New Roman"/>
                <w:sz w:val="20"/>
                <w:szCs w:val="20"/>
              </w:rPr>
            </w:pPr>
            <w:r w:rsidRPr="0011753E">
              <w:rPr>
                <w:rFonts w:ascii="Times New Roman" w:hAnsi="Times New Roman" w:cs="Times New Roman"/>
                <w:sz w:val="20"/>
                <w:szCs w:val="20"/>
              </w:rPr>
              <w:t>VAW causes</w:t>
            </w:r>
          </w:p>
        </w:tc>
        <w:tc>
          <w:tcPr>
            <w:tcW w:w="6925" w:type="dxa"/>
            <w:shd w:val="clear" w:color="auto" w:fill="auto"/>
          </w:tcPr>
          <w:p w14:paraId="3D8730E0" w14:textId="25CBAA27" w:rsidR="00307323" w:rsidRPr="0011753E" w:rsidRDefault="00307323" w:rsidP="00307323">
            <w:pPr>
              <w:rPr>
                <w:rFonts w:ascii="Times New Roman" w:hAnsi="Times New Roman" w:cs="Times New Roman"/>
                <w:sz w:val="20"/>
                <w:szCs w:val="20"/>
              </w:rPr>
            </w:pPr>
            <w:r w:rsidRPr="0011753E">
              <w:rPr>
                <w:rFonts w:ascii="Times New Roman" w:hAnsi="Times New Roman" w:cs="Times New Roman"/>
                <w:sz w:val="20"/>
                <w:szCs w:val="20"/>
              </w:rPr>
              <w:t xml:space="preserve">Discussion of </w:t>
            </w:r>
            <w:r w:rsidR="00027A6E">
              <w:rPr>
                <w:rFonts w:ascii="Times New Roman" w:hAnsi="Times New Roman" w:cs="Times New Roman"/>
                <w:sz w:val="20"/>
                <w:szCs w:val="20"/>
              </w:rPr>
              <w:t>respondent’s</w:t>
            </w:r>
            <w:r w:rsidRPr="0011753E">
              <w:rPr>
                <w:rFonts w:ascii="Times New Roman" w:hAnsi="Times New Roman" w:cs="Times New Roman"/>
                <w:sz w:val="20"/>
                <w:szCs w:val="20"/>
              </w:rPr>
              <w:t xml:space="preserve"> or </w:t>
            </w:r>
            <w:r w:rsidR="00027A6E">
              <w:rPr>
                <w:rFonts w:ascii="Times New Roman" w:hAnsi="Times New Roman" w:cs="Times New Roman"/>
                <w:sz w:val="20"/>
                <w:szCs w:val="20"/>
              </w:rPr>
              <w:t xml:space="preserve">respondent’s </w:t>
            </w:r>
            <w:r w:rsidRPr="0011753E">
              <w:rPr>
                <w:rFonts w:ascii="Times New Roman" w:hAnsi="Times New Roman" w:cs="Times New Roman"/>
                <w:sz w:val="20"/>
                <w:szCs w:val="20"/>
              </w:rPr>
              <w:t xml:space="preserve">organizations/institutions’ understandings of the primary factors that lead to VAW or that explain why Guatemala has such high rates of VAW. </w:t>
            </w:r>
          </w:p>
        </w:tc>
      </w:tr>
      <w:tr w:rsidR="00307323" w:rsidRPr="0011753E" w14:paraId="0FFE614D" w14:textId="77777777" w:rsidTr="0011753E">
        <w:tc>
          <w:tcPr>
            <w:tcW w:w="805" w:type="dxa"/>
            <w:vMerge/>
          </w:tcPr>
          <w:p w14:paraId="5AFCF531" w14:textId="77777777" w:rsidR="00307323" w:rsidRPr="0011753E" w:rsidRDefault="00307323" w:rsidP="00307323">
            <w:pPr>
              <w:rPr>
                <w:rFonts w:ascii="Times New Roman" w:hAnsi="Times New Roman" w:cs="Times New Roman"/>
                <w:sz w:val="20"/>
                <w:szCs w:val="20"/>
              </w:rPr>
            </w:pPr>
          </w:p>
        </w:tc>
        <w:tc>
          <w:tcPr>
            <w:tcW w:w="1620" w:type="dxa"/>
            <w:shd w:val="clear" w:color="auto" w:fill="auto"/>
          </w:tcPr>
          <w:p w14:paraId="355736FD" w14:textId="4C167E1F" w:rsidR="00307323" w:rsidRPr="0011753E" w:rsidRDefault="00307323" w:rsidP="00307323">
            <w:pPr>
              <w:rPr>
                <w:rFonts w:ascii="Times New Roman" w:hAnsi="Times New Roman" w:cs="Times New Roman"/>
                <w:sz w:val="20"/>
                <w:szCs w:val="20"/>
              </w:rPr>
            </w:pPr>
            <w:r w:rsidRPr="0011753E">
              <w:rPr>
                <w:rFonts w:ascii="Times New Roman" w:hAnsi="Times New Roman" w:cs="Times New Roman"/>
                <w:sz w:val="20"/>
                <w:szCs w:val="20"/>
              </w:rPr>
              <w:t>VAW effects</w:t>
            </w:r>
          </w:p>
        </w:tc>
        <w:tc>
          <w:tcPr>
            <w:tcW w:w="6925" w:type="dxa"/>
            <w:shd w:val="clear" w:color="auto" w:fill="auto"/>
          </w:tcPr>
          <w:p w14:paraId="6DE547BF" w14:textId="15F14627" w:rsidR="00307323" w:rsidRPr="0011753E" w:rsidRDefault="00307323" w:rsidP="00307323">
            <w:pPr>
              <w:rPr>
                <w:rFonts w:ascii="Times New Roman" w:hAnsi="Times New Roman" w:cs="Times New Roman"/>
                <w:sz w:val="20"/>
                <w:szCs w:val="20"/>
              </w:rPr>
            </w:pPr>
            <w:r w:rsidRPr="0011753E">
              <w:rPr>
                <w:rFonts w:ascii="Times New Roman" w:hAnsi="Times New Roman" w:cs="Times New Roman"/>
                <w:sz w:val="20"/>
                <w:szCs w:val="20"/>
              </w:rPr>
              <w:t>Discussion of the short, medium, or long-term effect of different forms of VAW, either for the individual or collective.</w:t>
            </w:r>
          </w:p>
        </w:tc>
      </w:tr>
      <w:tr w:rsidR="00307323" w:rsidRPr="0011753E" w14:paraId="46B0827B" w14:textId="77777777" w:rsidTr="0011753E">
        <w:tc>
          <w:tcPr>
            <w:tcW w:w="805" w:type="dxa"/>
            <w:vMerge/>
          </w:tcPr>
          <w:p w14:paraId="1FB0136D" w14:textId="77777777" w:rsidR="00307323" w:rsidRPr="0011753E" w:rsidRDefault="00307323" w:rsidP="00307323">
            <w:pPr>
              <w:rPr>
                <w:rFonts w:ascii="Times New Roman" w:hAnsi="Times New Roman" w:cs="Times New Roman"/>
                <w:sz w:val="20"/>
                <w:szCs w:val="20"/>
              </w:rPr>
            </w:pPr>
          </w:p>
        </w:tc>
        <w:tc>
          <w:tcPr>
            <w:tcW w:w="1620" w:type="dxa"/>
            <w:shd w:val="clear" w:color="auto" w:fill="auto"/>
          </w:tcPr>
          <w:p w14:paraId="40E5F5C5" w14:textId="641D064E" w:rsidR="00307323" w:rsidRPr="0011753E" w:rsidRDefault="00307323" w:rsidP="00307323">
            <w:pPr>
              <w:rPr>
                <w:rFonts w:ascii="Times New Roman" w:hAnsi="Times New Roman" w:cs="Times New Roman"/>
                <w:sz w:val="20"/>
                <w:szCs w:val="20"/>
              </w:rPr>
            </w:pPr>
            <w:r w:rsidRPr="0011753E">
              <w:rPr>
                <w:rFonts w:ascii="Times New Roman" w:hAnsi="Times New Roman" w:cs="Times New Roman"/>
                <w:sz w:val="20"/>
                <w:szCs w:val="20"/>
              </w:rPr>
              <w:t>VAW over time</w:t>
            </w:r>
          </w:p>
        </w:tc>
        <w:tc>
          <w:tcPr>
            <w:tcW w:w="6925" w:type="dxa"/>
            <w:shd w:val="clear" w:color="auto" w:fill="auto"/>
          </w:tcPr>
          <w:p w14:paraId="511250BF" w14:textId="114B69AC" w:rsidR="00307323" w:rsidRPr="0011753E" w:rsidRDefault="00307323" w:rsidP="00307323">
            <w:pPr>
              <w:rPr>
                <w:rFonts w:ascii="Times New Roman" w:hAnsi="Times New Roman" w:cs="Times New Roman"/>
                <w:sz w:val="20"/>
                <w:szCs w:val="20"/>
              </w:rPr>
            </w:pPr>
            <w:r w:rsidRPr="0011753E">
              <w:rPr>
                <w:rFonts w:ascii="Times New Roman" w:hAnsi="Times New Roman" w:cs="Times New Roman"/>
                <w:sz w:val="20"/>
                <w:szCs w:val="20"/>
              </w:rPr>
              <w:t>Discussion of how present-day VAW compares with, or is linked to</w:t>
            </w:r>
            <w:r w:rsidR="00027A6E">
              <w:rPr>
                <w:rFonts w:ascii="Times New Roman" w:hAnsi="Times New Roman" w:cs="Times New Roman"/>
                <w:sz w:val="20"/>
                <w:szCs w:val="20"/>
              </w:rPr>
              <w:t>,</w:t>
            </w:r>
            <w:r w:rsidRPr="0011753E">
              <w:rPr>
                <w:rFonts w:ascii="Times New Roman" w:hAnsi="Times New Roman" w:cs="Times New Roman"/>
                <w:sz w:val="20"/>
                <w:szCs w:val="20"/>
              </w:rPr>
              <w:t xml:space="preserve"> that of the past.</w:t>
            </w:r>
          </w:p>
        </w:tc>
      </w:tr>
      <w:tr w:rsidR="00307323" w:rsidRPr="0011753E" w14:paraId="2E2EB1BC" w14:textId="77777777" w:rsidTr="0011753E">
        <w:tc>
          <w:tcPr>
            <w:tcW w:w="805" w:type="dxa"/>
            <w:vMerge/>
          </w:tcPr>
          <w:p w14:paraId="3D61D5C9" w14:textId="77777777" w:rsidR="00307323" w:rsidRPr="0011753E" w:rsidRDefault="00307323" w:rsidP="00307323">
            <w:pPr>
              <w:rPr>
                <w:rFonts w:ascii="Times New Roman" w:hAnsi="Times New Roman" w:cs="Times New Roman"/>
                <w:sz w:val="20"/>
                <w:szCs w:val="20"/>
              </w:rPr>
            </w:pPr>
          </w:p>
        </w:tc>
        <w:tc>
          <w:tcPr>
            <w:tcW w:w="1620" w:type="dxa"/>
            <w:shd w:val="clear" w:color="auto" w:fill="auto"/>
          </w:tcPr>
          <w:p w14:paraId="6D535BE1" w14:textId="1C7A47F3" w:rsidR="00307323" w:rsidRPr="0011753E" w:rsidRDefault="00307323" w:rsidP="00307323">
            <w:pPr>
              <w:rPr>
                <w:rFonts w:ascii="Times New Roman" w:hAnsi="Times New Roman" w:cs="Times New Roman"/>
                <w:sz w:val="20"/>
                <w:szCs w:val="20"/>
              </w:rPr>
            </w:pPr>
            <w:r w:rsidRPr="0011753E">
              <w:rPr>
                <w:rFonts w:ascii="Times New Roman" w:hAnsi="Times New Roman" w:cs="Times New Roman"/>
                <w:sz w:val="20"/>
                <w:szCs w:val="20"/>
              </w:rPr>
              <w:t>VAW forms</w:t>
            </w:r>
          </w:p>
        </w:tc>
        <w:tc>
          <w:tcPr>
            <w:tcW w:w="6925" w:type="dxa"/>
            <w:shd w:val="clear" w:color="auto" w:fill="auto"/>
          </w:tcPr>
          <w:p w14:paraId="31F8BB1A" w14:textId="15219440" w:rsidR="00307323" w:rsidRPr="0011753E" w:rsidRDefault="00307323" w:rsidP="00307323">
            <w:pPr>
              <w:rPr>
                <w:rFonts w:ascii="Times New Roman" w:hAnsi="Times New Roman" w:cs="Times New Roman"/>
                <w:sz w:val="20"/>
                <w:szCs w:val="20"/>
              </w:rPr>
            </w:pPr>
            <w:r w:rsidRPr="0011753E">
              <w:rPr>
                <w:rFonts w:ascii="Times New Roman" w:hAnsi="Times New Roman" w:cs="Times New Roman"/>
                <w:sz w:val="20"/>
                <w:szCs w:val="20"/>
              </w:rPr>
              <w:t>Discussion of most common or most damaging forms of VAW</w:t>
            </w:r>
            <w:r w:rsidR="00027A6E">
              <w:rPr>
                <w:rFonts w:ascii="Times New Roman" w:hAnsi="Times New Roman" w:cs="Times New Roman"/>
                <w:sz w:val="20"/>
                <w:szCs w:val="20"/>
              </w:rPr>
              <w:t>.</w:t>
            </w:r>
          </w:p>
        </w:tc>
      </w:tr>
      <w:tr w:rsidR="00307323" w:rsidRPr="0011753E" w14:paraId="5DDE12DB" w14:textId="77777777" w:rsidTr="0011753E">
        <w:tc>
          <w:tcPr>
            <w:tcW w:w="805" w:type="dxa"/>
            <w:vMerge/>
          </w:tcPr>
          <w:p w14:paraId="1316AA46" w14:textId="77777777" w:rsidR="00307323" w:rsidRPr="0011753E" w:rsidRDefault="00307323" w:rsidP="00307323">
            <w:pPr>
              <w:rPr>
                <w:rFonts w:ascii="Times New Roman" w:hAnsi="Times New Roman" w:cs="Times New Roman"/>
                <w:sz w:val="20"/>
                <w:szCs w:val="20"/>
              </w:rPr>
            </w:pPr>
          </w:p>
        </w:tc>
        <w:tc>
          <w:tcPr>
            <w:tcW w:w="1620" w:type="dxa"/>
            <w:shd w:val="clear" w:color="auto" w:fill="auto"/>
          </w:tcPr>
          <w:p w14:paraId="678EF048" w14:textId="4778B9B9" w:rsidR="00307323" w:rsidRPr="0011753E" w:rsidRDefault="00307323" w:rsidP="00307323">
            <w:pPr>
              <w:rPr>
                <w:rFonts w:ascii="Times New Roman" w:hAnsi="Times New Roman" w:cs="Times New Roman"/>
                <w:sz w:val="20"/>
                <w:szCs w:val="20"/>
              </w:rPr>
            </w:pPr>
            <w:r w:rsidRPr="0011753E">
              <w:rPr>
                <w:rFonts w:ascii="Times New Roman" w:hAnsi="Times New Roman" w:cs="Times New Roman"/>
                <w:sz w:val="20"/>
                <w:szCs w:val="20"/>
              </w:rPr>
              <w:t>VAW emblematic cases</w:t>
            </w:r>
          </w:p>
        </w:tc>
        <w:tc>
          <w:tcPr>
            <w:tcW w:w="6925" w:type="dxa"/>
            <w:shd w:val="clear" w:color="auto" w:fill="auto"/>
          </w:tcPr>
          <w:p w14:paraId="71A4E47A" w14:textId="74238820" w:rsidR="00307323" w:rsidRPr="0011753E" w:rsidRDefault="00307323" w:rsidP="00307323">
            <w:pPr>
              <w:rPr>
                <w:rFonts w:ascii="Times New Roman" w:hAnsi="Times New Roman" w:cs="Times New Roman"/>
                <w:sz w:val="20"/>
                <w:szCs w:val="20"/>
              </w:rPr>
            </w:pPr>
            <w:r w:rsidRPr="0011753E">
              <w:rPr>
                <w:rFonts w:ascii="Times New Roman" w:hAnsi="Times New Roman" w:cs="Times New Roman"/>
                <w:sz w:val="20"/>
                <w:szCs w:val="20"/>
              </w:rPr>
              <w:t>Discussion of particularly impactful cases</w:t>
            </w:r>
            <w:r w:rsidR="00027A6E">
              <w:rPr>
                <w:rFonts w:ascii="Times New Roman" w:hAnsi="Times New Roman" w:cs="Times New Roman"/>
                <w:sz w:val="20"/>
                <w:szCs w:val="20"/>
              </w:rPr>
              <w:t xml:space="preserve"> for the respondent/organization,</w:t>
            </w:r>
            <w:r w:rsidRPr="0011753E">
              <w:rPr>
                <w:rFonts w:ascii="Times New Roman" w:hAnsi="Times New Roman" w:cs="Times New Roman"/>
                <w:sz w:val="20"/>
                <w:szCs w:val="20"/>
              </w:rPr>
              <w:t xml:space="preserve"> or particularly well-known cases of VAW that garnered international or national attention</w:t>
            </w:r>
            <w:r w:rsidR="00027A6E">
              <w:rPr>
                <w:rFonts w:ascii="Times New Roman" w:hAnsi="Times New Roman" w:cs="Times New Roman"/>
                <w:sz w:val="20"/>
                <w:szCs w:val="20"/>
              </w:rPr>
              <w:t>.</w:t>
            </w:r>
          </w:p>
        </w:tc>
      </w:tr>
      <w:tr w:rsidR="0011753E" w:rsidRPr="0011753E" w14:paraId="74D5CFFC" w14:textId="77777777" w:rsidTr="0011753E">
        <w:tc>
          <w:tcPr>
            <w:tcW w:w="805" w:type="dxa"/>
            <w:vMerge w:val="restart"/>
            <w:textDirection w:val="btLr"/>
          </w:tcPr>
          <w:p w14:paraId="7143C93B" w14:textId="326BC6E3" w:rsidR="00307323" w:rsidRPr="0011753E" w:rsidRDefault="00D432C4" w:rsidP="00307323">
            <w:pPr>
              <w:ind w:left="113" w:right="113"/>
              <w:jc w:val="center"/>
              <w:rPr>
                <w:rFonts w:ascii="Times New Roman" w:hAnsi="Times New Roman" w:cs="Times New Roman"/>
                <w:sz w:val="20"/>
                <w:szCs w:val="20"/>
              </w:rPr>
            </w:pPr>
            <w:r w:rsidRPr="0011753E">
              <w:rPr>
                <w:rFonts w:ascii="Times New Roman" w:hAnsi="Times New Roman" w:cs="Times New Roman"/>
                <w:sz w:val="20"/>
                <w:szCs w:val="20"/>
              </w:rPr>
              <w:t xml:space="preserve"> Activist </w:t>
            </w:r>
            <w:r w:rsidR="00307323" w:rsidRPr="0011753E">
              <w:rPr>
                <w:rFonts w:ascii="Times New Roman" w:hAnsi="Times New Roman" w:cs="Times New Roman"/>
                <w:sz w:val="20"/>
                <w:szCs w:val="20"/>
              </w:rPr>
              <w:t>Strategies</w:t>
            </w:r>
          </w:p>
        </w:tc>
        <w:tc>
          <w:tcPr>
            <w:tcW w:w="1620" w:type="dxa"/>
          </w:tcPr>
          <w:p w14:paraId="508BBF4D" w14:textId="3F9C1226" w:rsidR="00307323" w:rsidRPr="0011753E" w:rsidRDefault="00307323" w:rsidP="00307323">
            <w:pPr>
              <w:rPr>
                <w:rFonts w:ascii="Times New Roman" w:hAnsi="Times New Roman" w:cs="Times New Roman"/>
                <w:sz w:val="20"/>
                <w:szCs w:val="20"/>
              </w:rPr>
            </w:pPr>
            <w:r w:rsidRPr="0011753E">
              <w:rPr>
                <w:rFonts w:ascii="Times New Roman" w:hAnsi="Times New Roman" w:cs="Times New Roman"/>
                <w:sz w:val="20"/>
                <w:szCs w:val="20"/>
              </w:rPr>
              <w:t>Service provision</w:t>
            </w:r>
          </w:p>
        </w:tc>
        <w:tc>
          <w:tcPr>
            <w:tcW w:w="6925" w:type="dxa"/>
          </w:tcPr>
          <w:p w14:paraId="178F7059" w14:textId="6CD5F00C" w:rsidR="00307323" w:rsidRPr="0011753E" w:rsidRDefault="00BD076A" w:rsidP="00307323">
            <w:pPr>
              <w:rPr>
                <w:rFonts w:ascii="Times New Roman" w:hAnsi="Times New Roman" w:cs="Times New Roman"/>
                <w:sz w:val="20"/>
                <w:szCs w:val="20"/>
              </w:rPr>
            </w:pPr>
            <w:r w:rsidRPr="0011753E">
              <w:rPr>
                <w:rFonts w:ascii="Times New Roman" w:hAnsi="Times New Roman" w:cs="Times New Roman"/>
                <w:sz w:val="20"/>
                <w:szCs w:val="20"/>
              </w:rPr>
              <w:t xml:space="preserve">Discussion of </w:t>
            </w:r>
            <w:r w:rsidR="00A60BF5" w:rsidRPr="0011753E">
              <w:rPr>
                <w:rFonts w:ascii="Times New Roman" w:hAnsi="Times New Roman" w:cs="Times New Roman"/>
                <w:sz w:val="20"/>
                <w:szCs w:val="20"/>
              </w:rPr>
              <w:t>direct services provided to women including domestic abuse shelters, legal aid, socio-economic projects, healthcare.</w:t>
            </w:r>
          </w:p>
        </w:tc>
      </w:tr>
      <w:tr w:rsidR="0011753E" w:rsidRPr="0011753E" w14:paraId="107922B4" w14:textId="77777777" w:rsidTr="0011753E">
        <w:tc>
          <w:tcPr>
            <w:tcW w:w="805" w:type="dxa"/>
            <w:vMerge/>
          </w:tcPr>
          <w:p w14:paraId="4998E597" w14:textId="77777777" w:rsidR="00307323" w:rsidRPr="0011753E" w:rsidRDefault="00307323" w:rsidP="00307323">
            <w:pPr>
              <w:rPr>
                <w:rFonts w:ascii="Times New Roman" w:hAnsi="Times New Roman" w:cs="Times New Roman"/>
                <w:sz w:val="20"/>
                <w:szCs w:val="20"/>
              </w:rPr>
            </w:pPr>
          </w:p>
        </w:tc>
        <w:tc>
          <w:tcPr>
            <w:tcW w:w="1620" w:type="dxa"/>
          </w:tcPr>
          <w:p w14:paraId="09ACB331" w14:textId="3BC7B121" w:rsidR="00307323" w:rsidRPr="0011753E" w:rsidRDefault="00307323" w:rsidP="00307323">
            <w:pPr>
              <w:rPr>
                <w:rFonts w:ascii="Times New Roman" w:hAnsi="Times New Roman" w:cs="Times New Roman"/>
                <w:sz w:val="20"/>
                <w:szCs w:val="20"/>
              </w:rPr>
            </w:pPr>
            <w:r w:rsidRPr="0011753E">
              <w:rPr>
                <w:rFonts w:ascii="Times New Roman" w:hAnsi="Times New Roman" w:cs="Times New Roman"/>
                <w:sz w:val="20"/>
                <w:szCs w:val="20"/>
              </w:rPr>
              <w:t>Community organizing</w:t>
            </w:r>
          </w:p>
        </w:tc>
        <w:tc>
          <w:tcPr>
            <w:tcW w:w="6925" w:type="dxa"/>
          </w:tcPr>
          <w:p w14:paraId="41631067" w14:textId="21164FD7" w:rsidR="00307323" w:rsidRPr="0011753E" w:rsidRDefault="00A60BF5" w:rsidP="00307323">
            <w:pPr>
              <w:rPr>
                <w:rFonts w:ascii="Times New Roman" w:hAnsi="Times New Roman" w:cs="Times New Roman"/>
                <w:sz w:val="20"/>
                <w:szCs w:val="20"/>
              </w:rPr>
            </w:pPr>
            <w:r w:rsidRPr="0011753E">
              <w:rPr>
                <w:rFonts w:ascii="Times New Roman" w:hAnsi="Times New Roman" w:cs="Times New Roman"/>
                <w:sz w:val="20"/>
                <w:szCs w:val="20"/>
              </w:rPr>
              <w:t>Discussion of activist and organizational activities including self-reflection groups, education in rights, political organizing at local level.</w:t>
            </w:r>
          </w:p>
        </w:tc>
      </w:tr>
      <w:tr w:rsidR="0011753E" w:rsidRPr="0011753E" w14:paraId="3B2E719C" w14:textId="77777777" w:rsidTr="0011753E">
        <w:tc>
          <w:tcPr>
            <w:tcW w:w="805" w:type="dxa"/>
            <w:vMerge/>
          </w:tcPr>
          <w:p w14:paraId="1B35BD52" w14:textId="77777777" w:rsidR="00307323" w:rsidRPr="0011753E" w:rsidRDefault="00307323" w:rsidP="00307323">
            <w:pPr>
              <w:rPr>
                <w:rFonts w:ascii="Times New Roman" w:hAnsi="Times New Roman" w:cs="Times New Roman"/>
                <w:sz w:val="20"/>
                <w:szCs w:val="20"/>
              </w:rPr>
            </w:pPr>
          </w:p>
        </w:tc>
        <w:tc>
          <w:tcPr>
            <w:tcW w:w="1620" w:type="dxa"/>
          </w:tcPr>
          <w:p w14:paraId="77ACB326" w14:textId="77777777" w:rsidR="00307323" w:rsidRPr="0011753E" w:rsidRDefault="00307323" w:rsidP="00307323">
            <w:pPr>
              <w:rPr>
                <w:rFonts w:ascii="Times New Roman" w:hAnsi="Times New Roman" w:cs="Times New Roman"/>
                <w:sz w:val="20"/>
                <w:szCs w:val="20"/>
              </w:rPr>
            </w:pPr>
            <w:r w:rsidRPr="0011753E">
              <w:rPr>
                <w:rFonts w:ascii="Times New Roman" w:hAnsi="Times New Roman" w:cs="Times New Roman"/>
                <w:sz w:val="20"/>
                <w:szCs w:val="20"/>
              </w:rPr>
              <w:t>Protest</w:t>
            </w:r>
          </w:p>
        </w:tc>
        <w:tc>
          <w:tcPr>
            <w:tcW w:w="6925" w:type="dxa"/>
          </w:tcPr>
          <w:p w14:paraId="3761BA22" w14:textId="61C5AB26" w:rsidR="00307323" w:rsidRPr="0011753E" w:rsidRDefault="00A60BF5" w:rsidP="00307323">
            <w:pPr>
              <w:rPr>
                <w:rFonts w:ascii="Times New Roman" w:hAnsi="Times New Roman" w:cs="Times New Roman"/>
                <w:sz w:val="20"/>
                <w:szCs w:val="20"/>
              </w:rPr>
            </w:pPr>
            <w:r w:rsidRPr="0011753E">
              <w:rPr>
                <w:rFonts w:ascii="Times New Roman" w:hAnsi="Times New Roman" w:cs="Times New Roman"/>
                <w:sz w:val="20"/>
                <w:szCs w:val="20"/>
              </w:rPr>
              <w:t>Discussion of disrupti</w:t>
            </w:r>
            <w:r w:rsidR="00027A6E">
              <w:rPr>
                <w:rFonts w:ascii="Times New Roman" w:hAnsi="Times New Roman" w:cs="Times New Roman"/>
                <w:sz w:val="20"/>
                <w:szCs w:val="20"/>
              </w:rPr>
              <w:t>ve</w:t>
            </w:r>
            <w:r w:rsidRPr="0011753E">
              <w:rPr>
                <w:rFonts w:ascii="Times New Roman" w:hAnsi="Times New Roman" w:cs="Times New Roman"/>
                <w:sz w:val="20"/>
                <w:szCs w:val="20"/>
              </w:rPr>
              <w:t xml:space="preserve"> protest tactics including marches, rallies, vigils in public spaces or government buildings.</w:t>
            </w:r>
          </w:p>
        </w:tc>
      </w:tr>
      <w:tr w:rsidR="0011753E" w:rsidRPr="0011753E" w14:paraId="73502E0F" w14:textId="77777777" w:rsidTr="0011753E">
        <w:tc>
          <w:tcPr>
            <w:tcW w:w="805" w:type="dxa"/>
            <w:vMerge/>
          </w:tcPr>
          <w:p w14:paraId="7FC93D8B" w14:textId="77777777" w:rsidR="00307323" w:rsidRPr="0011753E" w:rsidRDefault="00307323" w:rsidP="00307323">
            <w:pPr>
              <w:rPr>
                <w:rFonts w:ascii="Times New Roman" w:hAnsi="Times New Roman" w:cs="Times New Roman"/>
                <w:sz w:val="20"/>
                <w:szCs w:val="20"/>
              </w:rPr>
            </w:pPr>
          </w:p>
        </w:tc>
        <w:tc>
          <w:tcPr>
            <w:tcW w:w="1620" w:type="dxa"/>
          </w:tcPr>
          <w:p w14:paraId="664AEF76" w14:textId="77777777" w:rsidR="00307323" w:rsidRPr="0011753E" w:rsidRDefault="00307323" w:rsidP="00307323">
            <w:pPr>
              <w:rPr>
                <w:rFonts w:ascii="Times New Roman" w:hAnsi="Times New Roman" w:cs="Times New Roman"/>
                <w:sz w:val="20"/>
                <w:szCs w:val="20"/>
              </w:rPr>
            </w:pPr>
            <w:r w:rsidRPr="0011753E">
              <w:rPr>
                <w:rFonts w:ascii="Times New Roman" w:hAnsi="Times New Roman" w:cs="Times New Roman"/>
                <w:sz w:val="20"/>
                <w:szCs w:val="20"/>
              </w:rPr>
              <w:t>Lobbying</w:t>
            </w:r>
          </w:p>
        </w:tc>
        <w:tc>
          <w:tcPr>
            <w:tcW w:w="6925" w:type="dxa"/>
          </w:tcPr>
          <w:p w14:paraId="63D16658" w14:textId="3070547F" w:rsidR="00307323" w:rsidRPr="0011753E" w:rsidRDefault="00A60BF5" w:rsidP="00307323">
            <w:pPr>
              <w:rPr>
                <w:rFonts w:ascii="Times New Roman" w:hAnsi="Times New Roman" w:cs="Times New Roman"/>
                <w:sz w:val="20"/>
                <w:szCs w:val="20"/>
              </w:rPr>
            </w:pPr>
            <w:r w:rsidRPr="0011753E">
              <w:rPr>
                <w:rFonts w:ascii="Times New Roman" w:hAnsi="Times New Roman" w:cs="Times New Roman"/>
                <w:sz w:val="20"/>
                <w:szCs w:val="20"/>
              </w:rPr>
              <w:t xml:space="preserve">Discussion of tactics that focus on developing relationships with, persuading, and negotiating with </w:t>
            </w:r>
            <w:r w:rsidR="00027A6E">
              <w:rPr>
                <w:rFonts w:ascii="Times New Roman" w:hAnsi="Times New Roman" w:cs="Times New Roman"/>
                <w:sz w:val="20"/>
                <w:szCs w:val="20"/>
              </w:rPr>
              <w:t xml:space="preserve">elected </w:t>
            </w:r>
            <w:r w:rsidRPr="0011753E">
              <w:rPr>
                <w:rFonts w:ascii="Times New Roman" w:hAnsi="Times New Roman" w:cs="Times New Roman"/>
                <w:sz w:val="20"/>
                <w:szCs w:val="20"/>
              </w:rPr>
              <w:t>representative</w:t>
            </w:r>
            <w:r w:rsidR="00027A6E">
              <w:rPr>
                <w:rFonts w:ascii="Times New Roman" w:hAnsi="Times New Roman" w:cs="Times New Roman"/>
                <w:sz w:val="20"/>
                <w:szCs w:val="20"/>
              </w:rPr>
              <w:t xml:space="preserve"> or political party</w:t>
            </w:r>
            <w:r w:rsidRPr="0011753E">
              <w:rPr>
                <w:rFonts w:ascii="Times New Roman" w:hAnsi="Times New Roman" w:cs="Times New Roman"/>
                <w:sz w:val="20"/>
                <w:szCs w:val="20"/>
              </w:rPr>
              <w:t xml:space="preserve"> or bureaucratic insiders.</w:t>
            </w:r>
          </w:p>
        </w:tc>
      </w:tr>
      <w:tr w:rsidR="0011753E" w:rsidRPr="0011753E" w14:paraId="668C4E2D" w14:textId="77777777" w:rsidTr="0011753E">
        <w:tc>
          <w:tcPr>
            <w:tcW w:w="805" w:type="dxa"/>
            <w:vMerge/>
          </w:tcPr>
          <w:p w14:paraId="6603EB76" w14:textId="77777777" w:rsidR="00307323" w:rsidRPr="0011753E" w:rsidRDefault="00307323" w:rsidP="00307323">
            <w:pPr>
              <w:rPr>
                <w:rFonts w:ascii="Times New Roman" w:hAnsi="Times New Roman" w:cs="Times New Roman"/>
                <w:sz w:val="20"/>
                <w:szCs w:val="20"/>
              </w:rPr>
            </w:pPr>
          </w:p>
        </w:tc>
        <w:tc>
          <w:tcPr>
            <w:tcW w:w="1620" w:type="dxa"/>
          </w:tcPr>
          <w:p w14:paraId="3F6CEB01" w14:textId="77777777" w:rsidR="00307323" w:rsidRPr="0011753E" w:rsidRDefault="00307323" w:rsidP="00307323">
            <w:pPr>
              <w:rPr>
                <w:rFonts w:ascii="Times New Roman" w:hAnsi="Times New Roman" w:cs="Times New Roman"/>
                <w:sz w:val="20"/>
                <w:szCs w:val="20"/>
              </w:rPr>
            </w:pPr>
            <w:r w:rsidRPr="0011753E">
              <w:rPr>
                <w:rFonts w:ascii="Times New Roman" w:hAnsi="Times New Roman" w:cs="Times New Roman"/>
                <w:sz w:val="20"/>
                <w:szCs w:val="20"/>
              </w:rPr>
              <w:t>Information politics</w:t>
            </w:r>
          </w:p>
        </w:tc>
        <w:tc>
          <w:tcPr>
            <w:tcW w:w="6925" w:type="dxa"/>
          </w:tcPr>
          <w:p w14:paraId="508056BC" w14:textId="60F6DFD1" w:rsidR="00307323" w:rsidRPr="0011753E" w:rsidRDefault="00A60BF5" w:rsidP="00307323">
            <w:pPr>
              <w:rPr>
                <w:rFonts w:ascii="Times New Roman" w:hAnsi="Times New Roman" w:cs="Times New Roman"/>
                <w:sz w:val="20"/>
                <w:szCs w:val="20"/>
              </w:rPr>
            </w:pPr>
            <w:r w:rsidRPr="0011753E">
              <w:rPr>
                <w:rFonts w:ascii="Times New Roman" w:hAnsi="Times New Roman" w:cs="Times New Roman"/>
                <w:sz w:val="20"/>
                <w:szCs w:val="20"/>
              </w:rPr>
              <w:t xml:space="preserve">Discussion of efforts to pressure the government to collect and release </w:t>
            </w:r>
            <w:r w:rsidR="00027A6E">
              <w:rPr>
                <w:rFonts w:ascii="Times New Roman" w:hAnsi="Times New Roman" w:cs="Times New Roman"/>
                <w:sz w:val="20"/>
                <w:szCs w:val="20"/>
              </w:rPr>
              <w:t xml:space="preserve">VAW </w:t>
            </w:r>
            <w:r w:rsidRPr="0011753E">
              <w:rPr>
                <w:rFonts w:ascii="Times New Roman" w:hAnsi="Times New Roman" w:cs="Times New Roman"/>
                <w:sz w:val="20"/>
                <w:szCs w:val="20"/>
              </w:rPr>
              <w:t>informatio</w:t>
            </w:r>
            <w:r w:rsidR="00027A6E">
              <w:rPr>
                <w:rFonts w:ascii="Times New Roman" w:hAnsi="Times New Roman" w:cs="Times New Roman"/>
                <w:sz w:val="20"/>
                <w:szCs w:val="20"/>
              </w:rPr>
              <w:t>n, and/or</w:t>
            </w:r>
            <w:r w:rsidRPr="0011753E">
              <w:rPr>
                <w:rFonts w:ascii="Times New Roman" w:hAnsi="Times New Roman" w:cs="Times New Roman"/>
                <w:sz w:val="20"/>
                <w:szCs w:val="20"/>
              </w:rPr>
              <w:t xml:space="preserve"> activists’ efforts to collect, generate, and </w:t>
            </w:r>
            <w:r w:rsidR="00027A6E">
              <w:rPr>
                <w:rFonts w:ascii="Times New Roman" w:hAnsi="Times New Roman" w:cs="Times New Roman"/>
                <w:sz w:val="20"/>
                <w:szCs w:val="20"/>
              </w:rPr>
              <w:t>disseminate</w:t>
            </w:r>
            <w:r w:rsidRPr="0011753E">
              <w:rPr>
                <w:rFonts w:ascii="Times New Roman" w:hAnsi="Times New Roman" w:cs="Times New Roman"/>
                <w:sz w:val="20"/>
                <w:szCs w:val="20"/>
              </w:rPr>
              <w:t xml:space="preserve"> new knowledge </w:t>
            </w:r>
            <w:r w:rsidR="00027A6E">
              <w:rPr>
                <w:rFonts w:ascii="Times New Roman" w:hAnsi="Times New Roman" w:cs="Times New Roman"/>
                <w:sz w:val="20"/>
                <w:szCs w:val="20"/>
              </w:rPr>
              <w:t xml:space="preserve">about VAW </w:t>
            </w:r>
            <w:r w:rsidRPr="0011753E">
              <w:rPr>
                <w:rFonts w:ascii="Times New Roman" w:hAnsi="Times New Roman" w:cs="Times New Roman"/>
                <w:sz w:val="20"/>
                <w:szCs w:val="20"/>
              </w:rPr>
              <w:t xml:space="preserve">(statistics, </w:t>
            </w:r>
            <w:r w:rsidR="00424535">
              <w:rPr>
                <w:rFonts w:ascii="Times New Roman" w:hAnsi="Times New Roman" w:cs="Times New Roman"/>
                <w:sz w:val="20"/>
                <w:szCs w:val="20"/>
              </w:rPr>
              <w:t>analyses of patterns of violence</w:t>
            </w:r>
            <w:r w:rsidRPr="0011753E">
              <w:rPr>
                <w:rFonts w:ascii="Times New Roman" w:hAnsi="Times New Roman" w:cs="Times New Roman"/>
                <w:sz w:val="20"/>
                <w:szCs w:val="20"/>
              </w:rPr>
              <w:t>, testimonials).</w:t>
            </w:r>
          </w:p>
        </w:tc>
      </w:tr>
      <w:tr w:rsidR="00D432C4" w:rsidRPr="0011753E" w14:paraId="18E58E5E" w14:textId="77777777" w:rsidTr="0011753E">
        <w:tc>
          <w:tcPr>
            <w:tcW w:w="805" w:type="dxa"/>
            <w:vMerge w:val="restart"/>
            <w:textDirection w:val="btLr"/>
          </w:tcPr>
          <w:p w14:paraId="45B22C1B" w14:textId="29A0F43B" w:rsidR="00D432C4" w:rsidRPr="0011753E" w:rsidRDefault="00D432C4" w:rsidP="00D432C4">
            <w:pPr>
              <w:ind w:left="113" w:right="113"/>
              <w:jc w:val="center"/>
              <w:rPr>
                <w:rFonts w:ascii="Times New Roman" w:hAnsi="Times New Roman" w:cs="Times New Roman"/>
                <w:sz w:val="20"/>
                <w:szCs w:val="20"/>
              </w:rPr>
            </w:pPr>
            <w:r w:rsidRPr="0011753E">
              <w:rPr>
                <w:rFonts w:ascii="Times New Roman" w:hAnsi="Times New Roman" w:cs="Times New Roman"/>
                <w:sz w:val="20"/>
                <w:szCs w:val="20"/>
              </w:rPr>
              <w:t>Intra-movem</w:t>
            </w:r>
            <w:r w:rsidR="00DD4365">
              <w:rPr>
                <w:rFonts w:ascii="Times New Roman" w:hAnsi="Times New Roman" w:cs="Times New Roman"/>
                <w:sz w:val="20"/>
                <w:szCs w:val="20"/>
              </w:rPr>
              <w:t>e</w:t>
            </w:r>
            <w:r w:rsidRPr="0011753E">
              <w:rPr>
                <w:rFonts w:ascii="Times New Roman" w:hAnsi="Times New Roman" w:cs="Times New Roman"/>
                <w:sz w:val="20"/>
                <w:szCs w:val="20"/>
              </w:rPr>
              <w:t>nt dynamics</w:t>
            </w:r>
          </w:p>
        </w:tc>
        <w:tc>
          <w:tcPr>
            <w:tcW w:w="1620" w:type="dxa"/>
          </w:tcPr>
          <w:p w14:paraId="5F52DECC" w14:textId="17AD21C7" w:rsidR="00D432C4" w:rsidRPr="0011753E" w:rsidRDefault="00D432C4" w:rsidP="00D432C4">
            <w:pPr>
              <w:rPr>
                <w:rFonts w:ascii="Times New Roman" w:hAnsi="Times New Roman" w:cs="Times New Roman"/>
                <w:sz w:val="20"/>
                <w:szCs w:val="20"/>
              </w:rPr>
            </w:pPr>
            <w:r w:rsidRPr="0011753E">
              <w:rPr>
                <w:rFonts w:ascii="Times New Roman" w:hAnsi="Times New Roman" w:cs="Times New Roman"/>
                <w:sz w:val="20"/>
                <w:szCs w:val="20"/>
              </w:rPr>
              <w:t>Priorities</w:t>
            </w:r>
          </w:p>
        </w:tc>
        <w:tc>
          <w:tcPr>
            <w:tcW w:w="6925" w:type="dxa"/>
          </w:tcPr>
          <w:p w14:paraId="093A33E5" w14:textId="48E14C09" w:rsidR="00D432C4" w:rsidRPr="0011753E" w:rsidRDefault="00EE086A" w:rsidP="00D432C4">
            <w:pPr>
              <w:rPr>
                <w:rFonts w:ascii="Times New Roman" w:hAnsi="Times New Roman" w:cs="Times New Roman"/>
                <w:sz w:val="20"/>
                <w:szCs w:val="20"/>
              </w:rPr>
            </w:pPr>
            <w:r w:rsidRPr="0011753E">
              <w:rPr>
                <w:rFonts w:ascii="Times New Roman" w:hAnsi="Times New Roman" w:cs="Times New Roman"/>
                <w:sz w:val="20"/>
                <w:szCs w:val="20"/>
              </w:rPr>
              <w:t>Discussions on how and why certain issues became organizational or movement priorities, as well as which issues on which there was or was not consensus among women’s organizations.</w:t>
            </w:r>
          </w:p>
        </w:tc>
      </w:tr>
      <w:tr w:rsidR="00D432C4" w:rsidRPr="0011753E" w14:paraId="4D2E797D" w14:textId="77777777" w:rsidTr="0011753E">
        <w:tc>
          <w:tcPr>
            <w:tcW w:w="805" w:type="dxa"/>
            <w:vMerge/>
            <w:textDirection w:val="btLr"/>
          </w:tcPr>
          <w:p w14:paraId="45B597F6" w14:textId="40395A54" w:rsidR="00D432C4" w:rsidRPr="0011753E" w:rsidRDefault="00D432C4" w:rsidP="00D432C4">
            <w:pPr>
              <w:ind w:left="113" w:right="113"/>
              <w:jc w:val="center"/>
              <w:rPr>
                <w:rFonts w:ascii="Times New Roman" w:hAnsi="Times New Roman" w:cs="Times New Roman"/>
                <w:sz w:val="20"/>
                <w:szCs w:val="20"/>
              </w:rPr>
            </w:pPr>
          </w:p>
        </w:tc>
        <w:tc>
          <w:tcPr>
            <w:tcW w:w="1620" w:type="dxa"/>
          </w:tcPr>
          <w:p w14:paraId="62939234" w14:textId="3F9EE3D5" w:rsidR="00D432C4" w:rsidRPr="0011753E" w:rsidRDefault="00D432C4" w:rsidP="00D432C4">
            <w:pPr>
              <w:rPr>
                <w:rFonts w:ascii="Times New Roman" w:hAnsi="Times New Roman" w:cs="Times New Roman"/>
                <w:sz w:val="20"/>
                <w:szCs w:val="20"/>
              </w:rPr>
            </w:pPr>
            <w:r w:rsidRPr="0011753E">
              <w:rPr>
                <w:rFonts w:ascii="Times New Roman" w:hAnsi="Times New Roman" w:cs="Times New Roman"/>
                <w:sz w:val="20"/>
                <w:szCs w:val="20"/>
              </w:rPr>
              <w:t>Engaging the state</w:t>
            </w:r>
          </w:p>
        </w:tc>
        <w:tc>
          <w:tcPr>
            <w:tcW w:w="6925" w:type="dxa"/>
          </w:tcPr>
          <w:p w14:paraId="525CCCED" w14:textId="79F53222" w:rsidR="00D432C4" w:rsidRPr="0011753E" w:rsidRDefault="00027A6E" w:rsidP="00D432C4">
            <w:pPr>
              <w:rPr>
                <w:rFonts w:ascii="Times New Roman" w:hAnsi="Times New Roman" w:cs="Times New Roman"/>
                <w:sz w:val="20"/>
                <w:szCs w:val="20"/>
              </w:rPr>
            </w:pPr>
            <w:r>
              <w:rPr>
                <w:rFonts w:ascii="Times New Roman" w:hAnsi="Times New Roman" w:cs="Times New Roman"/>
                <w:sz w:val="20"/>
                <w:szCs w:val="20"/>
              </w:rPr>
              <w:t>Discussions</w:t>
            </w:r>
            <w:r w:rsidR="00EE086A" w:rsidRPr="0011753E">
              <w:rPr>
                <w:rFonts w:ascii="Times New Roman" w:hAnsi="Times New Roman" w:cs="Times New Roman"/>
                <w:sz w:val="20"/>
                <w:szCs w:val="20"/>
              </w:rPr>
              <w:t xml:space="preserve"> of debates and decision</w:t>
            </w:r>
            <w:r w:rsidR="00424535">
              <w:rPr>
                <w:rFonts w:ascii="Times New Roman" w:hAnsi="Times New Roman" w:cs="Times New Roman"/>
                <w:sz w:val="20"/>
                <w:szCs w:val="20"/>
              </w:rPr>
              <w:t xml:space="preserve"> </w:t>
            </w:r>
            <w:r w:rsidR="00EE086A" w:rsidRPr="0011753E">
              <w:rPr>
                <w:rFonts w:ascii="Times New Roman" w:hAnsi="Times New Roman" w:cs="Times New Roman"/>
                <w:sz w:val="20"/>
                <w:szCs w:val="20"/>
              </w:rPr>
              <w:t>making related to engaging with the state to address women’s issues</w:t>
            </w:r>
            <w:r>
              <w:rPr>
                <w:rFonts w:ascii="Times New Roman" w:hAnsi="Times New Roman" w:cs="Times New Roman"/>
                <w:sz w:val="20"/>
                <w:szCs w:val="20"/>
              </w:rPr>
              <w:t xml:space="preserve">, including working with representatives or government insiders and </w:t>
            </w:r>
            <w:r w:rsidR="00EE086A" w:rsidRPr="0011753E">
              <w:rPr>
                <w:rFonts w:ascii="Times New Roman" w:hAnsi="Times New Roman" w:cs="Times New Roman"/>
                <w:sz w:val="20"/>
                <w:szCs w:val="20"/>
              </w:rPr>
              <w:t>focusing on state reform as way of addressing women’s concerns.</w:t>
            </w:r>
          </w:p>
        </w:tc>
      </w:tr>
      <w:tr w:rsidR="00D432C4" w:rsidRPr="0011753E" w14:paraId="2C03308E" w14:textId="77777777" w:rsidTr="0011753E">
        <w:tc>
          <w:tcPr>
            <w:tcW w:w="805" w:type="dxa"/>
            <w:vMerge/>
          </w:tcPr>
          <w:p w14:paraId="64905F6B" w14:textId="77777777" w:rsidR="00D432C4" w:rsidRPr="0011753E" w:rsidRDefault="00D432C4" w:rsidP="00D432C4">
            <w:pPr>
              <w:rPr>
                <w:rFonts w:ascii="Times New Roman" w:hAnsi="Times New Roman" w:cs="Times New Roman"/>
                <w:sz w:val="20"/>
                <w:szCs w:val="20"/>
              </w:rPr>
            </w:pPr>
          </w:p>
        </w:tc>
        <w:tc>
          <w:tcPr>
            <w:tcW w:w="1620" w:type="dxa"/>
          </w:tcPr>
          <w:p w14:paraId="11A986C2" w14:textId="2E978F79" w:rsidR="00D432C4" w:rsidRPr="0011753E" w:rsidRDefault="00D432C4" w:rsidP="00D432C4">
            <w:pPr>
              <w:rPr>
                <w:rFonts w:ascii="Times New Roman" w:hAnsi="Times New Roman" w:cs="Times New Roman"/>
                <w:sz w:val="20"/>
                <w:szCs w:val="20"/>
              </w:rPr>
            </w:pPr>
            <w:r w:rsidRPr="0011753E">
              <w:rPr>
                <w:rFonts w:ascii="Times New Roman" w:hAnsi="Times New Roman" w:cs="Times New Roman"/>
                <w:sz w:val="20"/>
                <w:szCs w:val="20"/>
              </w:rPr>
              <w:t>VAW discourse</w:t>
            </w:r>
          </w:p>
        </w:tc>
        <w:tc>
          <w:tcPr>
            <w:tcW w:w="6925" w:type="dxa"/>
          </w:tcPr>
          <w:p w14:paraId="2FA36FC2" w14:textId="6CFEB91A" w:rsidR="00D432C4" w:rsidRPr="0011753E" w:rsidRDefault="00EE086A" w:rsidP="00D432C4">
            <w:pPr>
              <w:rPr>
                <w:rFonts w:ascii="Times New Roman" w:hAnsi="Times New Roman" w:cs="Times New Roman"/>
                <w:sz w:val="20"/>
                <w:szCs w:val="20"/>
              </w:rPr>
            </w:pPr>
            <w:r w:rsidRPr="0011753E">
              <w:rPr>
                <w:rFonts w:ascii="Times New Roman" w:hAnsi="Times New Roman" w:cs="Times New Roman"/>
                <w:sz w:val="20"/>
                <w:szCs w:val="20"/>
              </w:rPr>
              <w:t xml:space="preserve">Discussion about debates among activists, insiders, and other advocates about the use of </w:t>
            </w:r>
            <w:r w:rsidR="005D57F4" w:rsidRPr="0011753E">
              <w:rPr>
                <w:rFonts w:ascii="Times New Roman" w:hAnsi="Times New Roman" w:cs="Times New Roman"/>
                <w:sz w:val="20"/>
                <w:szCs w:val="20"/>
              </w:rPr>
              <w:t>“</w:t>
            </w:r>
            <w:r w:rsidRPr="0011753E">
              <w:rPr>
                <w:rFonts w:ascii="Times New Roman" w:hAnsi="Times New Roman" w:cs="Times New Roman"/>
                <w:sz w:val="20"/>
                <w:szCs w:val="20"/>
              </w:rPr>
              <w:t>femicide</w:t>
            </w:r>
            <w:r w:rsidR="005D57F4" w:rsidRPr="0011753E">
              <w:rPr>
                <w:rFonts w:ascii="Times New Roman" w:hAnsi="Times New Roman" w:cs="Times New Roman"/>
                <w:sz w:val="20"/>
                <w:szCs w:val="20"/>
              </w:rPr>
              <w:t>”</w:t>
            </w:r>
            <w:r w:rsidRPr="0011753E">
              <w:rPr>
                <w:rFonts w:ascii="Times New Roman" w:hAnsi="Times New Roman" w:cs="Times New Roman"/>
                <w:sz w:val="20"/>
                <w:szCs w:val="20"/>
              </w:rPr>
              <w:t xml:space="preserve"> or </w:t>
            </w:r>
            <w:r w:rsidR="005D57F4" w:rsidRPr="0011753E">
              <w:rPr>
                <w:rFonts w:ascii="Times New Roman" w:hAnsi="Times New Roman" w:cs="Times New Roman"/>
                <w:sz w:val="20"/>
                <w:szCs w:val="20"/>
              </w:rPr>
              <w:t>“</w:t>
            </w:r>
            <w:r w:rsidRPr="0011753E">
              <w:rPr>
                <w:rFonts w:ascii="Times New Roman" w:hAnsi="Times New Roman" w:cs="Times New Roman"/>
                <w:sz w:val="20"/>
                <w:szCs w:val="20"/>
              </w:rPr>
              <w:t>feminicide</w:t>
            </w:r>
            <w:r w:rsidR="005D57F4" w:rsidRPr="0011753E">
              <w:rPr>
                <w:rFonts w:ascii="Times New Roman" w:hAnsi="Times New Roman" w:cs="Times New Roman"/>
                <w:sz w:val="20"/>
                <w:szCs w:val="20"/>
              </w:rPr>
              <w:t>”</w:t>
            </w:r>
            <w:r w:rsidRPr="0011753E">
              <w:rPr>
                <w:rFonts w:ascii="Times New Roman" w:hAnsi="Times New Roman" w:cs="Times New Roman"/>
                <w:sz w:val="20"/>
                <w:szCs w:val="20"/>
              </w:rPr>
              <w:t xml:space="preserve"> to describe the gender-based killing of women.</w:t>
            </w:r>
          </w:p>
        </w:tc>
      </w:tr>
      <w:tr w:rsidR="00D432C4" w:rsidRPr="0011753E" w14:paraId="55312C12" w14:textId="77777777" w:rsidTr="0011753E">
        <w:tc>
          <w:tcPr>
            <w:tcW w:w="805" w:type="dxa"/>
            <w:vMerge/>
          </w:tcPr>
          <w:p w14:paraId="6E4EDB22" w14:textId="77777777" w:rsidR="00D432C4" w:rsidRPr="0011753E" w:rsidRDefault="00D432C4" w:rsidP="00D432C4">
            <w:pPr>
              <w:rPr>
                <w:rFonts w:ascii="Times New Roman" w:hAnsi="Times New Roman" w:cs="Times New Roman"/>
                <w:sz w:val="20"/>
                <w:szCs w:val="20"/>
              </w:rPr>
            </w:pPr>
          </w:p>
        </w:tc>
        <w:tc>
          <w:tcPr>
            <w:tcW w:w="1620" w:type="dxa"/>
          </w:tcPr>
          <w:p w14:paraId="6239926C" w14:textId="0767EC67" w:rsidR="00D432C4" w:rsidRPr="0011753E" w:rsidRDefault="00D432C4" w:rsidP="00D432C4">
            <w:pPr>
              <w:rPr>
                <w:rFonts w:ascii="Times New Roman" w:hAnsi="Times New Roman" w:cs="Times New Roman"/>
                <w:sz w:val="20"/>
                <w:szCs w:val="20"/>
              </w:rPr>
            </w:pPr>
            <w:proofErr w:type="spellStart"/>
            <w:r w:rsidRPr="0011753E">
              <w:rPr>
                <w:rFonts w:ascii="Times New Roman" w:hAnsi="Times New Roman" w:cs="Times New Roman"/>
                <w:sz w:val="20"/>
                <w:szCs w:val="20"/>
              </w:rPr>
              <w:t>NGOization</w:t>
            </w:r>
            <w:proofErr w:type="spellEnd"/>
          </w:p>
        </w:tc>
        <w:tc>
          <w:tcPr>
            <w:tcW w:w="6925" w:type="dxa"/>
          </w:tcPr>
          <w:p w14:paraId="55B328CD" w14:textId="3BA8B257" w:rsidR="00D432C4" w:rsidRPr="0011753E" w:rsidRDefault="005D57F4" w:rsidP="00D432C4">
            <w:pPr>
              <w:rPr>
                <w:rFonts w:ascii="Times New Roman" w:hAnsi="Times New Roman" w:cs="Times New Roman"/>
                <w:sz w:val="20"/>
                <w:szCs w:val="20"/>
              </w:rPr>
            </w:pPr>
            <w:r w:rsidRPr="0011753E">
              <w:rPr>
                <w:rFonts w:ascii="Times New Roman" w:hAnsi="Times New Roman" w:cs="Times New Roman"/>
                <w:sz w:val="20"/>
                <w:szCs w:val="20"/>
              </w:rPr>
              <w:t>Reflection on d</w:t>
            </w:r>
            <w:r w:rsidR="00EE086A" w:rsidRPr="0011753E">
              <w:rPr>
                <w:rFonts w:ascii="Times New Roman" w:hAnsi="Times New Roman" w:cs="Times New Roman"/>
                <w:sz w:val="20"/>
                <w:szCs w:val="20"/>
              </w:rPr>
              <w:t xml:space="preserve">ebates about the strengths and limits of formalized organizational structures, government subcontracting, </w:t>
            </w:r>
            <w:r w:rsidRPr="0011753E">
              <w:rPr>
                <w:rFonts w:ascii="Times New Roman" w:hAnsi="Times New Roman" w:cs="Times New Roman"/>
                <w:sz w:val="20"/>
                <w:szCs w:val="20"/>
              </w:rPr>
              <w:t xml:space="preserve">internationally funded </w:t>
            </w:r>
            <w:r w:rsidR="00EE086A" w:rsidRPr="0011753E">
              <w:rPr>
                <w:rFonts w:ascii="Times New Roman" w:hAnsi="Times New Roman" w:cs="Times New Roman"/>
                <w:sz w:val="20"/>
                <w:szCs w:val="20"/>
              </w:rPr>
              <w:t>project-based work.</w:t>
            </w:r>
          </w:p>
        </w:tc>
      </w:tr>
      <w:tr w:rsidR="00D432C4" w:rsidRPr="0011753E" w14:paraId="73991CBE" w14:textId="77777777" w:rsidTr="0011753E">
        <w:tc>
          <w:tcPr>
            <w:tcW w:w="805" w:type="dxa"/>
            <w:vMerge/>
          </w:tcPr>
          <w:p w14:paraId="03E85C77" w14:textId="77777777" w:rsidR="00D432C4" w:rsidRPr="0011753E" w:rsidRDefault="00D432C4" w:rsidP="00D432C4">
            <w:pPr>
              <w:rPr>
                <w:rFonts w:ascii="Times New Roman" w:hAnsi="Times New Roman" w:cs="Times New Roman"/>
                <w:sz w:val="20"/>
                <w:szCs w:val="20"/>
              </w:rPr>
            </w:pPr>
          </w:p>
        </w:tc>
        <w:tc>
          <w:tcPr>
            <w:tcW w:w="1620" w:type="dxa"/>
          </w:tcPr>
          <w:p w14:paraId="043001E6" w14:textId="38E4DDEC" w:rsidR="00D432C4" w:rsidRPr="0011753E" w:rsidRDefault="00D432C4" w:rsidP="00D432C4">
            <w:pPr>
              <w:rPr>
                <w:rFonts w:ascii="Times New Roman" w:hAnsi="Times New Roman" w:cs="Times New Roman"/>
                <w:sz w:val="20"/>
                <w:szCs w:val="20"/>
              </w:rPr>
            </w:pPr>
            <w:r w:rsidRPr="0011753E">
              <w:rPr>
                <w:rFonts w:ascii="Times New Roman" w:hAnsi="Times New Roman" w:cs="Times New Roman"/>
                <w:sz w:val="20"/>
                <w:szCs w:val="20"/>
              </w:rPr>
              <w:t>Intra-movement networks</w:t>
            </w:r>
          </w:p>
        </w:tc>
        <w:tc>
          <w:tcPr>
            <w:tcW w:w="6925" w:type="dxa"/>
          </w:tcPr>
          <w:p w14:paraId="40C57EAA" w14:textId="369B9179" w:rsidR="00D432C4" w:rsidRPr="0011753E" w:rsidRDefault="00D432C4" w:rsidP="00D432C4">
            <w:pPr>
              <w:rPr>
                <w:rFonts w:ascii="Times New Roman" w:hAnsi="Times New Roman" w:cs="Times New Roman"/>
                <w:sz w:val="20"/>
                <w:szCs w:val="20"/>
              </w:rPr>
            </w:pPr>
            <w:r w:rsidRPr="0011753E">
              <w:rPr>
                <w:rFonts w:ascii="Times New Roman" w:hAnsi="Times New Roman" w:cs="Times New Roman"/>
                <w:sz w:val="20"/>
                <w:szCs w:val="20"/>
              </w:rPr>
              <w:t>Discussion of the creation of intra-movement networks or collaborati</w:t>
            </w:r>
            <w:r w:rsidR="00027A6E">
              <w:rPr>
                <w:rFonts w:ascii="Times New Roman" w:hAnsi="Times New Roman" w:cs="Times New Roman"/>
                <w:sz w:val="20"/>
                <w:szCs w:val="20"/>
              </w:rPr>
              <w:t>ve efforts to address women’s concerns generally and VAW specifically.</w:t>
            </w:r>
          </w:p>
        </w:tc>
      </w:tr>
      <w:tr w:rsidR="00654486" w:rsidRPr="0011753E" w14:paraId="5DF0943B" w14:textId="77777777" w:rsidTr="0011753E">
        <w:tc>
          <w:tcPr>
            <w:tcW w:w="805" w:type="dxa"/>
            <w:vMerge w:val="restart"/>
            <w:textDirection w:val="btLr"/>
          </w:tcPr>
          <w:p w14:paraId="2F9FF30F" w14:textId="1871F2EA" w:rsidR="00654486" w:rsidRPr="0011753E" w:rsidRDefault="00654486" w:rsidP="00651973">
            <w:pPr>
              <w:ind w:left="113" w:right="113"/>
              <w:jc w:val="center"/>
              <w:rPr>
                <w:rFonts w:ascii="Times New Roman" w:hAnsi="Times New Roman" w:cs="Times New Roman"/>
                <w:sz w:val="20"/>
                <w:szCs w:val="20"/>
              </w:rPr>
            </w:pPr>
            <w:r w:rsidRPr="0011753E">
              <w:rPr>
                <w:rFonts w:ascii="Times New Roman" w:hAnsi="Times New Roman" w:cs="Times New Roman"/>
                <w:sz w:val="20"/>
                <w:szCs w:val="20"/>
              </w:rPr>
              <w:t>Domestic and International Context</w:t>
            </w:r>
          </w:p>
        </w:tc>
        <w:tc>
          <w:tcPr>
            <w:tcW w:w="1620" w:type="dxa"/>
          </w:tcPr>
          <w:p w14:paraId="263C50B4" w14:textId="77777777" w:rsidR="00654486" w:rsidRPr="0011753E" w:rsidRDefault="00654486" w:rsidP="00D432C4">
            <w:pPr>
              <w:rPr>
                <w:rFonts w:ascii="Times New Roman" w:hAnsi="Times New Roman" w:cs="Times New Roman"/>
                <w:sz w:val="20"/>
                <w:szCs w:val="20"/>
              </w:rPr>
            </w:pPr>
            <w:r w:rsidRPr="0011753E">
              <w:rPr>
                <w:rFonts w:ascii="Times New Roman" w:hAnsi="Times New Roman" w:cs="Times New Roman"/>
                <w:sz w:val="20"/>
                <w:szCs w:val="20"/>
              </w:rPr>
              <w:t>Insider allies</w:t>
            </w:r>
          </w:p>
        </w:tc>
        <w:tc>
          <w:tcPr>
            <w:tcW w:w="6925" w:type="dxa"/>
          </w:tcPr>
          <w:p w14:paraId="6791C2F1" w14:textId="5A8CBE17" w:rsidR="00654486" w:rsidRPr="0011753E" w:rsidRDefault="00654486" w:rsidP="00D432C4">
            <w:pPr>
              <w:rPr>
                <w:rFonts w:ascii="Times New Roman" w:hAnsi="Times New Roman" w:cs="Times New Roman"/>
                <w:sz w:val="20"/>
                <w:szCs w:val="20"/>
              </w:rPr>
            </w:pPr>
            <w:r w:rsidRPr="0011753E">
              <w:rPr>
                <w:rFonts w:ascii="Times New Roman" w:hAnsi="Times New Roman" w:cs="Times New Roman"/>
                <w:sz w:val="20"/>
                <w:szCs w:val="20"/>
              </w:rPr>
              <w:t xml:space="preserve">Discussion of government or party officials that supported women’s claims and/or networks between activists and government insiders, including </w:t>
            </w:r>
            <w:r>
              <w:rPr>
                <w:rFonts w:ascii="Times New Roman" w:hAnsi="Times New Roman" w:cs="Times New Roman"/>
                <w:sz w:val="20"/>
                <w:szCs w:val="20"/>
              </w:rPr>
              <w:t>individuals (</w:t>
            </w:r>
            <w:r w:rsidRPr="0011753E">
              <w:rPr>
                <w:rFonts w:ascii="Times New Roman" w:hAnsi="Times New Roman" w:cs="Times New Roman"/>
                <w:sz w:val="20"/>
                <w:szCs w:val="20"/>
              </w:rPr>
              <w:t>legislative representative, bureaucrats,</w:t>
            </w:r>
            <w:r>
              <w:rPr>
                <w:rFonts w:ascii="Times New Roman" w:hAnsi="Times New Roman" w:cs="Times New Roman"/>
                <w:sz w:val="20"/>
                <w:szCs w:val="20"/>
              </w:rPr>
              <w:t xml:space="preserve"> </w:t>
            </w:r>
            <w:r w:rsidRPr="0011753E">
              <w:rPr>
                <w:rFonts w:ascii="Times New Roman" w:hAnsi="Times New Roman" w:cs="Times New Roman"/>
                <w:sz w:val="20"/>
                <w:szCs w:val="20"/>
              </w:rPr>
              <w:t>political party insiders</w:t>
            </w:r>
            <w:r>
              <w:rPr>
                <w:rFonts w:ascii="Times New Roman" w:hAnsi="Times New Roman" w:cs="Times New Roman"/>
                <w:sz w:val="20"/>
                <w:szCs w:val="20"/>
              </w:rPr>
              <w:t>) and institutions.</w:t>
            </w:r>
          </w:p>
        </w:tc>
      </w:tr>
      <w:tr w:rsidR="00654486" w:rsidRPr="0011753E" w14:paraId="68C175F0" w14:textId="77777777" w:rsidTr="0011753E">
        <w:tc>
          <w:tcPr>
            <w:tcW w:w="805" w:type="dxa"/>
            <w:vMerge/>
          </w:tcPr>
          <w:p w14:paraId="76B3B58A" w14:textId="2057A36E" w:rsidR="00654486" w:rsidRPr="0011753E" w:rsidRDefault="00654486" w:rsidP="00651973">
            <w:pPr>
              <w:ind w:left="113" w:right="113"/>
              <w:jc w:val="center"/>
              <w:rPr>
                <w:rFonts w:ascii="Times New Roman" w:hAnsi="Times New Roman" w:cs="Times New Roman"/>
                <w:sz w:val="20"/>
                <w:szCs w:val="20"/>
              </w:rPr>
            </w:pPr>
          </w:p>
        </w:tc>
        <w:tc>
          <w:tcPr>
            <w:tcW w:w="1620" w:type="dxa"/>
          </w:tcPr>
          <w:p w14:paraId="67485376" w14:textId="79CCF991" w:rsidR="00654486" w:rsidRPr="0011753E" w:rsidRDefault="00654486" w:rsidP="00D432C4">
            <w:pPr>
              <w:rPr>
                <w:rFonts w:ascii="Times New Roman" w:hAnsi="Times New Roman" w:cs="Times New Roman"/>
                <w:sz w:val="20"/>
                <w:szCs w:val="20"/>
              </w:rPr>
            </w:pPr>
            <w:r w:rsidRPr="0011753E">
              <w:rPr>
                <w:rFonts w:ascii="Times New Roman" w:hAnsi="Times New Roman" w:cs="Times New Roman"/>
                <w:sz w:val="20"/>
                <w:szCs w:val="20"/>
              </w:rPr>
              <w:t>Insider resistance</w:t>
            </w:r>
          </w:p>
        </w:tc>
        <w:tc>
          <w:tcPr>
            <w:tcW w:w="6925" w:type="dxa"/>
          </w:tcPr>
          <w:p w14:paraId="5CB6B819" w14:textId="76CF0068" w:rsidR="00654486" w:rsidRPr="0011753E" w:rsidRDefault="00654486" w:rsidP="00D432C4">
            <w:pPr>
              <w:rPr>
                <w:rFonts w:ascii="Times New Roman" w:hAnsi="Times New Roman" w:cs="Times New Roman"/>
                <w:sz w:val="20"/>
                <w:szCs w:val="20"/>
              </w:rPr>
            </w:pPr>
            <w:r w:rsidRPr="0011753E">
              <w:rPr>
                <w:rFonts w:ascii="Times New Roman" w:hAnsi="Times New Roman" w:cs="Times New Roman"/>
                <w:sz w:val="20"/>
                <w:szCs w:val="20"/>
              </w:rPr>
              <w:t>Discussion of</w:t>
            </w:r>
            <w:r>
              <w:rPr>
                <w:rFonts w:ascii="Times New Roman" w:hAnsi="Times New Roman" w:cs="Times New Roman"/>
                <w:sz w:val="20"/>
                <w:szCs w:val="20"/>
              </w:rPr>
              <w:t xml:space="preserve"> backlash or</w:t>
            </w:r>
            <w:r w:rsidRPr="0011753E">
              <w:rPr>
                <w:rFonts w:ascii="Times New Roman" w:hAnsi="Times New Roman" w:cs="Times New Roman"/>
                <w:sz w:val="20"/>
                <w:szCs w:val="20"/>
              </w:rPr>
              <w:t xml:space="preserve"> government or party officials that did not support women’s claims</w:t>
            </w:r>
            <w:r>
              <w:rPr>
                <w:rFonts w:ascii="Times New Roman" w:hAnsi="Times New Roman" w:cs="Times New Roman"/>
                <w:sz w:val="20"/>
                <w:szCs w:val="20"/>
              </w:rPr>
              <w:t>.</w:t>
            </w:r>
          </w:p>
        </w:tc>
      </w:tr>
      <w:tr w:rsidR="00654486" w:rsidRPr="0011753E" w14:paraId="57ED0FBD" w14:textId="77777777" w:rsidTr="0011753E">
        <w:tc>
          <w:tcPr>
            <w:tcW w:w="805" w:type="dxa"/>
            <w:vMerge/>
          </w:tcPr>
          <w:p w14:paraId="71737EDC" w14:textId="742282F7" w:rsidR="00654486" w:rsidRPr="0011753E" w:rsidRDefault="00654486" w:rsidP="00651973">
            <w:pPr>
              <w:ind w:left="113" w:right="113"/>
              <w:jc w:val="center"/>
              <w:rPr>
                <w:rFonts w:ascii="Times New Roman" w:hAnsi="Times New Roman" w:cs="Times New Roman"/>
                <w:sz w:val="20"/>
                <w:szCs w:val="20"/>
              </w:rPr>
            </w:pPr>
          </w:p>
        </w:tc>
        <w:tc>
          <w:tcPr>
            <w:tcW w:w="1620" w:type="dxa"/>
          </w:tcPr>
          <w:p w14:paraId="76D6BF8B" w14:textId="77777777" w:rsidR="00654486" w:rsidRPr="0011753E" w:rsidRDefault="00654486" w:rsidP="00D432C4">
            <w:pPr>
              <w:rPr>
                <w:rFonts w:ascii="Times New Roman" w:hAnsi="Times New Roman" w:cs="Times New Roman"/>
                <w:sz w:val="20"/>
                <w:szCs w:val="20"/>
              </w:rPr>
            </w:pPr>
            <w:r w:rsidRPr="0011753E">
              <w:rPr>
                <w:rFonts w:ascii="Times New Roman" w:hAnsi="Times New Roman" w:cs="Times New Roman"/>
                <w:sz w:val="20"/>
                <w:szCs w:val="20"/>
              </w:rPr>
              <w:t>International support</w:t>
            </w:r>
          </w:p>
        </w:tc>
        <w:tc>
          <w:tcPr>
            <w:tcW w:w="6925" w:type="dxa"/>
          </w:tcPr>
          <w:p w14:paraId="277F40FE" w14:textId="7E4F8499" w:rsidR="00654486" w:rsidRPr="0011753E" w:rsidRDefault="00654486" w:rsidP="00D432C4">
            <w:pPr>
              <w:rPr>
                <w:rFonts w:ascii="Times New Roman" w:hAnsi="Times New Roman" w:cs="Times New Roman"/>
                <w:sz w:val="20"/>
                <w:szCs w:val="20"/>
              </w:rPr>
            </w:pPr>
            <w:r w:rsidRPr="0011753E">
              <w:rPr>
                <w:rFonts w:ascii="Times New Roman" w:hAnsi="Times New Roman" w:cs="Times New Roman"/>
                <w:sz w:val="20"/>
                <w:szCs w:val="20"/>
              </w:rPr>
              <w:t>Discussion of funding, information, or other forms of support provided by international actors (individuals, nongovernmental organizations, foreign governments)</w:t>
            </w:r>
            <w:r>
              <w:rPr>
                <w:rFonts w:ascii="Times New Roman" w:hAnsi="Times New Roman" w:cs="Times New Roman"/>
                <w:sz w:val="20"/>
                <w:szCs w:val="20"/>
              </w:rPr>
              <w:t>.</w:t>
            </w:r>
          </w:p>
        </w:tc>
      </w:tr>
      <w:tr w:rsidR="00654486" w:rsidRPr="0011753E" w14:paraId="41DD397D" w14:textId="77777777" w:rsidTr="0011753E">
        <w:tc>
          <w:tcPr>
            <w:tcW w:w="805" w:type="dxa"/>
            <w:vMerge/>
          </w:tcPr>
          <w:p w14:paraId="3C8199BB" w14:textId="7C3CD035" w:rsidR="00654486" w:rsidRPr="0011753E" w:rsidRDefault="00654486" w:rsidP="00651973">
            <w:pPr>
              <w:ind w:left="113" w:right="113"/>
              <w:jc w:val="center"/>
              <w:rPr>
                <w:rFonts w:ascii="Times New Roman" w:hAnsi="Times New Roman" w:cs="Times New Roman"/>
                <w:sz w:val="20"/>
                <w:szCs w:val="20"/>
              </w:rPr>
            </w:pPr>
          </w:p>
        </w:tc>
        <w:tc>
          <w:tcPr>
            <w:tcW w:w="1620" w:type="dxa"/>
          </w:tcPr>
          <w:p w14:paraId="52F36D21" w14:textId="77777777" w:rsidR="00654486" w:rsidRPr="0011753E" w:rsidRDefault="00654486" w:rsidP="00D432C4">
            <w:pPr>
              <w:rPr>
                <w:rFonts w:ascii="Times New Roman" w:hAnsi="Times New Roman" w:cs="Times New Roman"/>
                <w:sz w:val="20"/>
                <w:szCs w:val="20"/>
              </w:rPr>
            </w:pPr>
            <w:r w:rsidRPr="0011753E">
              <w:rPr>
                <w:rFonts w:ascii="Times New Roman" w:hAnsi="Times New Roman" w:cs="Times New Roman"/>
                <w:sz w:val="20"/>
                <w:szCs w:val="20"/>
              </w:rPr>
              <w:t>Regional networks</w:t>
            </w:r>
          </w:p>
        </w:tc>
        <w:tc>
          <w:tcPr>
            <w:tcW w:w="6925" w:type="dxa"/>
          </w:tcPr>
          <w:p w14:paraId="5FAE6ECB" w14:textId="4B9ED44C" w:rsidR="00654486" w:rsidRPr="0011753E" w:rsidRDefault="00654486" w:rsidP="00D432C4">
            <w:pPr>
              <w:rPr>
                <w:rFonts w:ascii="Times New Roman" w:hAnsi="Times New Roman" w:cs="Times New Roman"/>
                <w:sz w:val="20"/>
                <w:szCs w:val="20"/>
              </w:rPr>
            </w:pPr>
            <w:r w:rsidRPr="0011753E">
              <w:rPr>
                <w:rFonts w:ascii="Times New Roman" w:hAnsi="Times New Roman" w:cs="Times New Roman"/>
                <w:sz w:val="20"/>
                <w:szCs w:val="20"/>
              </w:rPr>
              <w:t>Discussion of the formation and activities of horizontal networks with activists in other countries, as well as the importance of regional campaigns and institutions</w:t>
            </w:r>
            <w:r>
              <w:rPr>
                <w:rFonts w:ascii="Times New Roman" w:hAnsi="Times New Roman" w:cs="Times New Roman"/>
                <w:sz w:val="20"/>
                <w:szCs w:val="20"/>
              </w:rPr>
              <w:t>.</w:t>
            </w:r>
          </w:p>
        </w:tc>
      </w:tr>
      <w:tr w:rsidR="00654486" w:rsidRPr="0011753E" w14:paraId="50FDBA4B" w14:textId="77777777" w:rsidTr="0011753E">
        <w:tc>
          <w:tcPr>
            <w:tcW w:w="805" w:type="dxa"/>
            <w:vMerge/>
            <w:textDirection w:val="btLr"/>
          </w:tcPr>
          <w:p w14:paraId="0A6D3C66" w14:textId="44056403" w:rsidR="00654486" w:rsidRPr="0011753E" w:rsidRDefault="00654486" w:rsidP="00651973">
            <w:pPr>
              <w:ind w:left="113" w:right="113"/>
              <w:jc w:val="center"/>
              <w:rPr>
                <w:rFonts w:ascii="Times New Roman" w:hAnsi="Times New Roman" w:cs="Times New Roman"/>
                <w:sz w:val="20"/>
                <w:szCs w:val="20"/>
              </w:rPr>
            </w:pPr>
          </w:p>
        </w:tc>
        <w:tc>
          <w:tcPr>
            <w:tcW w:w="1620" w:type="dxa"/>
          </w:tcPr>
          <w:p w14:paraId="1BB2C29D" w14:textId="2DA63BA3" w:rsidR="00654486" w:rsidRPr="0011753E" w:rsidRDefault="00654486" w:rsidP="00651973">
            <w:pPr>
              <w:rPr>
                <w:rFonts w:ascii="Times New Roman" w:hAnsi="Times New Roman" w:cs="Times New Roman"/>
                <w:sz w:val="20"/>
                <w:szCs w:val="20"/>
              </w:rPr>
            </w:pPr>
            <w:r w:rsidRPr="0011753E">
              <w:rPr>
                <w:rFonts w:ascii="Times New Roman" w:hAnsi="Times New Roman" w:cs="Times New Roman"/>
                <w:sz w:val="20"/>
                <w:szCs w:val="20"/>
              </w:rPr>
              <w:t>Peace Accords</w:t>
            </w:r>
          </w:p>
        </w:tc>
        <w:tc>
          <w:tcPr>
            <w:tcW w:w="6925" w:type="dxa"/>
          </w:tcPr>
          <w:p w14:paraId="33E0C54C" w14:textId="4E91410E" w:rsidR="00654486" w:rsidRPr="0011753E" w:rsidRDefault="00654486" w:rsidP="00651973">
            <w:pPr>
              <w:rPr>
                <w:rFonts w:ascii="Times New Roman" w:hAnsi="Times New Roman" w:cs="Times New Roman"/>
                <w:sz w:val="20"/>
                <w:szCs w:val="20"/>
              </w:rPr>
            </w:pPr>
            <w:r w:rsidRPr="0011753E">
              <w:rPr>
                <w:rFonts w:ascii="Times New Roman" w:hAnsi="Times New Roman" w:cs="Times New Roman"/>
                <w:sz w:val="20"/>
                <w:szCs w:val="20"/>
              </w:rPr>
              <w:t>Discussion of the opening and mobilizing around peace negotiations and their effects on civil society broadly and the women’s movement specifically, alongside discussions of the specific content of accords</w:t>
            </w:r>
            <w:r>
              <w:rPr>
                <w:rFonts w:ascii="Times New Roman" w:hAnsi="Times New Roman" w:cs="Times New Roman"/>
                <w:sz w:val="20"/>
                <w:szCs w:val="20"/>
              </w:rPr>
              <w:t>.</w:t>
            </w:r>
          </w:p>
        </w:tc>
      </w:tr>
      <w:tr w:rsidR="00654486" w:rsidRPr="0011753E" w14:paraId="068BE37E" w14:textId="77777777" w:rsidTr="0011753E">
        <w:tc>
          <w:tcPr>
            <w:tcW w:w="805" w:type="dxa"/>
            <w:vMerge/>
            <w:textDirection w:val="btLr"/>
          </w:tcPr>
          <w:p w14:paraId="5A41C1E7" w14:textId="265E3F19" w:rsidR="00654486" w:rsidRPr="0011753E" w:rsidRDefault="00654486" w:rsidP="00651973">
            <w:pPr>
              <w:ind w:left="113" w:right="113"/>
              <w:jc w:val="center"/>
              <w:rPr>
                <w:rFonts w:ascii="Times New Roman" w:hAnsi="Times New Roman" w:cs="Times New Roman"/>
                <w:sz w:val="20"/>
                <w:szCs w:val="20"/>
              </w:rPr>
            </w:pPr>
          </w:p>
        </w:tc>
        <w:tc>
          <w:tcPr>
            <w:tcW w:w="1620" w:type="dxa"/>
          </w:tcPr>
          <w:p w14:paraId="27B8932F" w14:textId="65D59886" w:rsidR="00654486" w:rsidRPr="0011753E" w:rsidRDefault="00654486" w:rsidP="00651973">
            <w:pPr>
              <w:rPr>
                <w:rFonts w:ascii="Times New Roman" w:hAnsi="Times New Roman" w:cs="Times New Roman"/>
                <w:sz w:val="20"/>
                <w:szCs w:val="20"/>
              </w:rPr>
            </w:pPr>
            <w:r w:rsidRPr="0011753E">
              <w:rPr>
                <w:rFonts w:ascii="Times New Roman" w:hAnsi="Times New Roman" w:cs="Times New Roman"/>
                <w:sz w:val="20"/>
                <w:szCs w:val="20"/>
              </w:rPr>
              <w:t xml:space="preserve">International accords </w:t>
            </w:r>
          </w:p>
        </w:tc>
        <w:tc>
          <w:tcPr>
            <w:tcW w:w="6925" w:type="dxa"/>
          </w:tcPr>
          <w:p w14:paraId="6EF34ADD" w14:textId="457B7E6F" w:rsidR="00654486" w:rsidRPr="0011753E" w:rsidRDefault="00654486" w:rsidP="00651973">
            <w:pPr>
              <w:rPr>
                <w:rFonts w:ascii="Times New Roman" w:hAnsi="Times New Roman" w:cs="Times New Roman"/>
                <w:sz w:val="20"/>
                <w:szCs w:val="20"/>
              </w:rPr>
            </w:pPr>
            <w:r w:rsidRPr="0011753E">
              <w:rPr>
                <w:rFonts w:ascii="Times New Roman" w:hAnsi="Times New Roman" w:cs="Times New Roman"/>
                <w:sz w:val="20"/>
                <w:szCs w:val="20"/>
              </w:rPr>
              <w:t xml:space="preserve">Discussion of the </w:t>
            </w:r>
            <w:r>
              <w:rPr>
                <w:rFonts w:ascii="Times New Roman" w:hAnsi="Times New Roman" w:cs="Times New Roman"/>
                <w:sz w:val="20"/>
                <w:szCs w:val="20"/>
              </w:rPr>
              <w:t xml:space="preserve">importance of international gatherings such as World Conferences on Women as well as the </w:t>
            </w:r>
            <w:r w:rsidRPr="0011753E">
              <w:rPr>
                <w:rFonts w:ascii="Times New Roman" w:hAnsi="Times New Roman" w:cs="Times New Roman"/>
                <w:sz w:val="20"/>
                <w:szCs w:val="20"/>
              </w:rPr>
              <w:t>passage</w:t>
            </w:r>
            <w:r>
              <w:rPr>
                <w:rFonts w:ascii="Times New Roman" w:hAnsi="Times New Roman" w:cs="Times New Roman"/>
                <w:sz w:val="20"/>
                <w:szCs w:val="20"/>
              </w:rPr>
              <w:t>/</w:t>
            </w:r>
            <w:r w:rsidRPr="0011753E">
              <w:rPr>
                <w:rFonts w:ascii="Times New Roman" w:hAnsi="Times New Roman" w:cs="Times New Roman"/>
                <w:sz w:val="20"/>
                <w:szCs w:val="20"/>
              </w:rPr>
              <w:t xml:space="preserve">importance of international accords related to women’s rights such as CEDAW, Belém do Para, UN </w:t>
            </w:r>
            <w:r w:rsidRPr="0011753E">
              <w:rPr>
                <w:rFonts w:ascii="Times New Roman" w:hAnsi="Times New Roman" w:cs="Times New Roman"/>
                <w:color w:val="000000" w:themeColor="text1"/>
                <w:sz w:val="20"/>
                <w:szCs w:val="20"/>
              </w:rPr>
              <w:t>Declaration on the Elimination of VAW.</w:t>
            </w:r>
          </w:p>
        </w:tc>
      </w:tr>
      <w:tr w:rsidR="00654486" w:rsidRPr="0011753E" w14:paraId="4DCD6C06" w14:textId="77777777" w:rsidTr="0011753E">
        <w:tc>
          <w:tcPr>
            <w:tcW w:w="805" w:type="dxa"/>
            <w:vMerge/>
          </w:tcPr>
          <w:p w14:paraId="3FA31F22" w14:textId="77777777" w:rsidR="00654486" w:rsidRPr="0011753E" w:rsidRDefault="00654486" w:rsidP="00651973">
            <w:pPr>
              <w:rPr>
                <w:rFonts w:ascii="Times New Roman" w:hAnsi="Times New Roman" w:cs="Times New Roman"/>
                <w:sz w:val="20"/>
                <w:szCs w:val="20"/>
              </w:rPr>
            </w:pPr>
          </w:p>
        </w:tc>
        <w:tc>
          <w:tcPr>
            <w:tcW w:w="1620" w:type="dxa"/>
          </w:tcPr>
          <w:p w14:paraId="6FEE2454" w14:textId="4E493953" w:rsidR="00654486" w:rsidRPr="0011753E" w:rsidRDefault="00654486" w:rsidP="00651973">
            <w:pPr>
              <w:rPr>
                <w:rFonts w:ascii="Times New Roman" w:hAnsi="Times New Roman" w:cs="Times New Roman"/>
                <w:sz w:val="20"/>
                <w:szCs w:val="20"/>
              </w:rPr>
            </w:pPr>
            <w:r w:rsidRPr="0011753E">
              <w:rPr>
                <w:rFonts w:ascii="Times New Roman" w:hAnsi="Times New Roman" w:cs="Times New Roman"/>
                <w:sz w:val="20"/>
                <w:szCs w:val="20"/>
              </w:rPr>
              <w:t>International norms</w:t>
            </w:r>
          </w:p>
        </w:tc>
        <w:tc>
          <w:tcPr>
            <w:tcW w:w="6925" w:type="dxa"/>
          </w:tcPr>
          <w:p w14:paraId="1DF4A793" w14:textId="5371B6BB" w:rsidR="00654486" w:rsidRPr="0011753E" w:rsidRDefault="00654486" w:rsidP="00651973">
            <w:pPr>
              <w:rPr>
                <w:rFonts w:ascii="Times New Roman" w:hAnsi="Times New Roman" w:cs="Times New Roman"/>
                <w:sz w:val="20"/>
                <w:szCs w:val="20"/>
              </w:rPr>
            </w:pPr>
            <w:r w:rsidRPr="0011753E">
              <w:rPr>
                <w:rFonts w:ascii="Times New Roman" w:hAnsi="Times New Roman" w:cs="Times New Roman"/>
                <w:sz w:val="20"/>
                <w:szCs w:val="20"/>
              </w:rPr>
              <w:t>Discussion of international norms or international attention to issues of women’s rights including VAW and femicide/feminicide</w:t>
            </w:r>
            <w:r>
              <w:rPr>
                <w:rFonts w:ascii="Times New Roman" w:hAnsi="Times New Roman" w:cs="Times New Roman"/>
                <w:sz w:val="20"/>
                <w:szCs w:val="20"/>
              </w:rPr>
              <w:t>.</w:t>
            </w:r>
          </w:p>
        </w:tc>
      </w:tr>
      <w:tr w:rsidR="00654486" w:rsidRPr="0011753E" w14:paraId="1E390F63" w14:textId="77777777" w:rsidTr="0011753E">
        <w:tc>
          <w:tcPr>
            <w:tcW w:w="805" w:type="dxa"/>
            <w:vMerge/>
          </w:tcPr>
          <w:p w14:paraId="34996594" w14:textId="77777777" w:rsidR="00654486" w:rsidRPr="0011753E" w:rsidRDefault="00654486" w:rsidP="00651973">
            <w:pPr>
              <w:rPr>
                <w:rFonts w:ascii="Times New Roman" w:hAnsi="Times New Roman" w:cs="Times New Roman"/>
                <w:sz w:val="20"/>
                <w:szCs w:val="20"/>
              </w:rPr>
            </w:pPr>
          </w:p>
        </w:tc>
        <w:tc>
          <w:tcPr>
            <w:tcW w:w="1620" w:type="dxa"/>
          </w:tcPr>
          <w:p w14:paraId="7BDABB86" w14:textId="6C1F5507" w:rsidR="00654486" w:rsidRPr="0011753E" w:rsidRDefault="00654486" w:rsidP="00651973">
            <w:pPr>
              <w:rPr>
                <w:rFonts w:ascii="Times New Roman" w:hAnsi="Times New Roman" w:cs="Times New Roman"/>
                <w:sz w:val="20"/>
                <w:szCs w:val="20"/>
              </w:rPr>
            </w:pPr>
            <w:r w:rsidRPr="0011753E">
              <w:rPr>
                <w:rFonts w:ascii="Times New Roman" w:hAnsi="Times New Roman" w:cs="Times New Roman"/>
                <w:sz w:val="20"/>
                <w:szCs w:val="20"/>
              </w:rPr>
              <w:t>Democratization</w:t>
            </w:r>
          </w:p>
        </w:tc>
        <w:tc>
          <w:tcPr>
            <w:tcW w:w="6925" w:type="dxa"/>
          </w:tcPr>
          <w:p w14:paraId="1158FEF1" w14:textId="49F7A017" w:rsidR="00654486" w:rsidRPr="0011753E" w:rsidRDefault="00654486" w:rsidP="00651973">
            <w:pPr>
              <w:rPr>
                <w:rFonts w:ascii="Times New Roman" w:hAnsi="Times New Roman" w:cs="Times New Roman"/>
                <w:sz w:val="20"/>
                <w:szCs w:val="20"/>
              </w:rPr>
            </w:pPr>
            <w:r w:rsidRPr="0011753E">
              <w:rPr>
                <w:rFonts w:ascii="Times New Roman" w:hAnsi="Times New Roman" w:cs="Times New Roman"/>
                <w:sz w:val="20"/>
                <w:szCs w:val="20"/>
              </w:rPr>
              <w:t>Discussion of the importance, impact and/or limitations of the liberalization that took place in the mid-1980s for civil society generally and women’s mobilization specifically.</w:t>
            </w:r>
          </w:p>
        </w:tc>
      </w:tr>
      <w:tr w:rsidR="00654486" w:rsidRPr="0011753E" w14:paraId="2D26FEA6" w14:textId="77777777" w:rsidTr="00143DE7">
        <w:trPr>
          <w:trHeight w:val="719"/>
        </w:trPr>
        <w:tc>
          <w:tcPr>
            <w:tcW w:w="805" w:type="dxa"/>
            <w:vMerge/>
          </w:tcPr>
          <w:p w14:paraId="5CB5EFCE" w14:textId="77777777" w:rsidR="00654486" w:rsidRPr="0011753E" w:rsidRDefault="00654486" w:rsidP="00651973">
            <w:pPr>
              <w:rPr>
                <w:rFonts w:ascii="Times New Roman" w:hAnsi="Times New Roman" w:cs="Times New Roman"/>
                <w:sz w:val="20"/>
                <w:szCs w:val="20"/>
              </w:rPr>
            </w:pPr>
          </w:p>
        </w:tc>
        <w:tc>
          <w:tcPr>
            <w:tcW w:w="1620" w:type="dxa"/>
          </w:tcPr>
          <w:p w14:paraId="4ABD9291" w14:textId="5DEF3ACB" w:rsidR="00654486" w:rsidRPr="0011753E" w:rsidRDefault="00654486" w:rsidP="00651973">
            <w:pPr>
              <w:rPr>
                <w:rFonts w:ascii="Times New Roman" w:hAnsi="Times New Roman" w:cs="Times New Roman"/>
                <w:sz w:val="20"/>
                <w:szCs w:val="20"/>
              </w:rPr>
            </w:pPr>
            <w:r w:rsidRPr="0011753E">
              <w:rPr>
                <w:rFonts w:ascii="Times New Roman" w:hAnsi="Times New Roman" w:cs="Times New Roman"/>
                <w:sz w:val="20"/>
                <w:szCs w:val="20"/>
              </w:rPr>
              <w:t>1996 law political context</w:t>
            </w:r>
          </w:p>
        </w:tc>
        <w:tc>
          <w:tcPr>
            <w:tcW w:w="6925" w:type="dxa"/>
          </w:tcPr>
          <w:p w14:paraId="65ACB19F" w14:textId="0F6A0D65" w:rsidR="00654486" w:rsidRPr="0011753E" w:rsidRDefault="00654486" w:rsidP="00651973">
            <w:pPr>
              <w:rPr>
                <w:rFonts w:ascii="Times New Roman" w:hAnsi="Times New Roman" w:cs="Times New Roman"/>
                <w:sz w:val="20"/>
                <w:szCs w:val="20"/>
              </w:rPr>
            </w:pPr>
            <w:r w:rsidRPr="0011753E">
              <w:rPr>
                <w:rFonts w:ascii="Times New Roman" w:hAnsi="Times New Roman" w:cs="Times New Roman"/>
                <w:sz w:val="20"/>
                <w:szCs w:val="20"/>
              </w:rPr>
              <w:t>Discussion of political context leading up to and during passage of the Law Against Intrafamilial Violence including reflections on what was deemed politically feasible, partisanship, timing of legislative proposals.</w:t>
            </w:r>
          </w:p>
        </w:tc>
      </w:tr>
      <w:tr w:rsidR="00654486" w:rsidRPr="0011753E" w14:paraId="22284A5A" w14:textId="77777777" w:rsidTr="00143DE7">
        <w:trPr>
          <w:trHeight w:val="710"/>
        </w:trPr>
        <w:tc>
          <w:tcPr>
            <w:tcW w:w="805" w:type="dxa"/>
            <w:vMerge/>
          </w:tcPr>
          <w:p w14:paraId="4C03F0A2" w14:textId="77777777" w:rsidR="00654486" w:rsidRPr="0011753E" w:rsidRDefault="00654486" w:rsidP="00651973">
            <w:pPr>
              <w:rPr>
                <w:rFonts w:ascii="Times New Roman" w:hAnsi="Times New Roman" w:cs="Times New Roman"/>
                <w:sz w:val="20"/>
                <w:szCs w:val="20"/>
              </w:rPr>
            </w:pPr>
          </w:p>
        </w:tc>
        <w:tc>
          <w:tcPr>
            <w:tcW w:w="1620" w:type="dxa"/>
          </w:tcPr>
          <w:p w14:paraId="4E3357E2" w14:textId="0C2CF6BE" w:rsidR="00654486" w:rsidRPr="0011753E" w:rsidRDefault="00654486" w:rsidP="00651973">
            <w:pPr>
              <w:rPr>
                <w:rFonts w:ascii="Times New Roman" w:hAnsi="Times New Roman" w:cs="Times New Roman"/>
                <w:sz w:val="20"/>
                <w:szCs w:val="20"/>
              </w:rPr>
            </w:pPr>
            <w:r w:rsidRPr="0011753E">
              <w:rPr>
                <w:rFonts w:ascii="Times New Roman" w:hAnsi="Times New Roman" w:cs="Times New Roman"/>
                <w:sz w:val="20"/>
                <w:szCs w:val="20"/>
              </w:rPr>
              <w:t>2008 law political context</w:t>
            </w:r>
          </w:p>
        </w:tc>
        <w:tc>
          <w:tcPr>
            <w:tcW w:w="6925" w:type="dxa"/>
          </w:tcPr>
          <w:p w14:paraId="22BF5B8F" w14:textId="6BE01A9E" w:rsidR="00654486" w:rsidRPr="0011753E" w:rsidRDefault="00654486" w:rsidP="00651973">
            <w:pPr>
              <w:rPr>
                <w:rFonts w:ascii="Times New Roman" w:hAnsi="Times New Roman" w:cs="Times New Roman"/>
                <w:sz w:val="20"/>
                <w:szCs w:val="20"/>
              </w:rPr>
            </w:pPr>
            <w:r w:rsidRPr="0011753E">
              <w:rPr>
                <w:rFonts w:ascii="Times New Roman" w:hAnsi="Times New Roman" w:cs="Times New Roman"/>
                <w:sz w:val="20"/>
                <w:szCs w:val="20"/>
              </w:rPr>
              <w:t>Discussion of political context leading up to and during passage of the Law Against Femicide and Other Forms of Violence Against Women including reflections on what was deemed politically feasible, partisanship, timing of legislative proposals.</w:t>
            </w:r>
          </w:p>
        </w:tc>
      </w:tr>
      <w:tr w:rsidR="0011753E" w:rsidRPr="0011753E" w14:paraId="2025A83B" w14:textId="77777777" w:rsidTr="0011753E">
        <w:tc>
          <w:tcPr>
            <w:tcW w:w="805" w:type="dxa"/>
            <w:vMerge w:val="restart"/>
            <w:textDirection w:val="btLr"/>
          </w:tcPr>
          <w:p w14:paraId="7EB92A85" w14:textId="72AAB8F1" w:rsidR="00651973" w:rsidRPr="0011753E" w:rsidRDefault="00651973" w:rsidP="001B3919">
            <w:pPr>
              <w:ind w:left="113" w:right="113"/>
              <w:jc w:val="center"/>
              <w:rPr>
                <w:rFonts w:ascii="Times New Roman" w:hAnsi="Times New Roman" w:cs="Times New Roman"/>
                <w:sz w:val="20"/>
                <w:szCs w:val="20"/>
              </w:rPr>
            </w:pPr>
            <w:r w:rsidRPr="0011753E">
              <w:rPr>
                <w:rFonts w:ascii="Times New Roman" w:hAnsi="Times New Roman" w:cs="Times New Roman"/>
                <w:sz w:val="20"/>
                <w:szCs w:val="20"/>
              </w:rPr>
              <w:t xml:space="preserve">Views of VAW </w:t>
            </w:r>
            <w:r w:rsidR="00836FEE" w:rsidRPr="0011753E">
              <w:rPr>
                <w:rFonts w:ascii="Times New Roman" w:hAnsi="Times New Roman" w:cs="Times New Roman"/>
                <w:sz w:val="20"/>
                <w:szCs w:val="20"/>
              </w:rPr>
              <w:t>reforms</w:t>
            </w:r>
          </w:p>
        </w:tc>
        <w:tc>
          <w:tcPr>
            <w:tcW w:w="1620" w:type="dxa"/>
          </w:tcPr>
          <w:p w14:paraId="20A129A1" w14:textId="77777777" w:rsidR="00651973" w:rsidRPr="0011753E" w:rsidRDefault="00651973" w:rsidP="00651973">
            <w:pPr>
              <w:rPr>
                <w:rFonts w:ascii="Times New Roman" w:hAnsi="Times New Roman" w:cs="Times New Roman"/>
                <w:sz w:val="20"/>
                <w:szCs w:val="20"/>
              </w:rPr>
            </w:pPr>
            <w:r w:rsidRPr="0011753E">
              <w:rPr>
                <w:rFonts w:ascii="Times New Roman" w:hAnsi="Times New Roman" w:cs="Times New Roman"/>
                <w:sz w:val="20"/>
                <w:szCs w:val="20"/>
              </w:rPr>
              <w:t>1996 law limitations</w:t>
            </w:r>
          </w:p>
        </w:tc>
        <w:tc>
          <w:tcPr>
            <w:tcW w:w="6925" w:type="dxa"/>
          </w:tcPr>
          <w:p w14:paraId="61C6BBF6" w14:textId="16D5F159" w:rsidR="00651973" w:rsidRPr="0011753E" w:rsidRDefault="005D57F4" w:rsidP="00651973">
            <w:pPr>
              <w:rPr>
                <w:rFonts w:ascii="Times New Roman" w:hAnsi="Times New Roman" w:cs="Times New Roman"/>
                <w:sz w:val="20"/>
                <w:szCs w:val="20"/>
              </w:rPr>
            </w:pPr>
            <w:r w:rsidRPr="0011753E">
              <w:rPr>
                <w:rFonts w:ascii="Times New Roman" w:hAnsi="Times New Roman" w:cs="Times New Roman"/>
                <w:sz w:val="20"/>
                <w:szCs w:val="20"/>
              </w:rPr>
              <w:t>Critiques of the Law Against Intrafamilial Violence or discussions of its limitations</w:t>
            </w:r>
            <w:r w:rsidR="0011753E" w:rsidRPr="0011753E">
              <w:rPr>
                <w:rFonts w:ascii="Times New Roman" w:hAnsi="Times New Roman" w:cs="Times New Roman"/>
                <w:sz w:val="20"/>
                <w:szCs w:val="20"/>
              </w:rPr>
              <w:t>.</w:t>
            </w:r>
          </w:p>
        </w:tc>
      </w:tr>
      <w:tr w:rsidR="0011753E" w:rsidRPr="0011753E" w14:paraId="110709EF" w14:textId="77777777" w:rsidTr="0011753E">
        <w:tc>
          <w:tcPr>
            <w:tcW w:w="805" w:type="dxa"/>
            <w:vMerge/>
          </w:tcPr>
          <w:p w14:paraId="5FB3AD6F" w14:textId="77777777" w:rsidR="00651973" w:rsidRPr="0011753E" w:rsidRDefault="00651973" w:rsidP="00651973">
            <w:pPr>
              <w:rPr>
                <w:rFonts w:ascii="Times New Roman" w:hAnsi="Times New Roman" w:cs="Times New Roman"/>
                <w:sz w:val="20"/>
                <w:szCs w:val="20"/>
              </w:rPr>
            </w:pPr>
          </w:p>
        </w:tc>
        <w:tc>
          <w:tcPr>
            <w:tcW w:w="1620" w:type="dxa"/>
          </w:tcPr>
          <w:p w14:paraId="0B11588A" w14:textId="77777777" w:rsidR="00651973" w:rsidRPr="0011753E" w:rsidRDefault="00651973" w:rsidP="00651973">
            <w:pPr>
              <w:rPr>
                <w:rFonts w:ascii="Times New Roman" w:hAnsi="Times New Roman" w:cs="Times New Roman"/>
                <w:sz w:val="20"/>
                <w:szCs w:val="20"/>
              </w:rPr>
            </w:pPr>
            <w:r w:rsidRPr="0011753E">
              <w:rPr>
                <w:rFonts w:ascii="Times New Roman" w:hAnsi="Times New Roman" w:cs="Times New Roman"/>
                <w:sz w:val="20"/>
                <w:szCs w:val="20"/>
              </w:rPr>
              <w:t>1996 law advances</w:t>
            </w:r>
          </w:p>
        </w:tc>
        <w:tc>
          <w:tcPr>
            <w:tcW w:w="6925" w:type="dxa"/>
          </w:tcPr>
          <w:p w14:paraId="337E581C" w14:textId="31185A5D" w:rsidR="00651973" w:rsidRPr="0011753E" w:rsidRDefault="005D57F4" w:rsidP="00651973">
            <w:pPr>
              <w:rPr>
                <w:rFonts w:ascii="Times New Roman" w:hAnsi="Times New Roman" w:cs="Times New Roman"/>
                <w:sz w:val="20"/>
                <w:szCs w:val="20"/>
              </w:rPr>
            </w:pPr>
            <w:r w:rsidRPr="0011753E">
              <w:rPr>
                <w:rFonts w:ascii="Times New Roman" w:hAnsi="Times New Roman" w:cs="Times New Roman"/>
                <w:sz w:val="20"/>
                <w:szCs w:val="20"/>
              </w:rPr>
              <w:t>Discussions of the advances or advantages of the Law Against Intrafamilial Violence</w:t>
            </w:r>
            <w:r w:rsidR="0011753E" w:rsidRPr="0011753E">
              <w:rPr>
                <w:rFonts w:ascii="Times New Roman" w:hAnsi="Times New Roman" w:cs="Times New Roman"/>
                <w:sz w:val="20"/>
                <w:szCs w:val="20"/>
              </w:rPr>
              <w:t>.</w:t>
            </w:r>
          </w:p>
        </w:tc>
      </w:tr>
      <w:tr w:rsidR="0011753E" w:rsidRPr="0011753E" w14:paraId="2F2E4060" w14:textId="77777777" w:rsidTr="0011753E">
        <w:tc>
          <w:tcPr>
            <w:tcW w:w="805" w:type="dxa"/>
            <w:vMerge/>
          </w:tcPr>
          <w:p w14:paraId="5614CE8B" w14:textId="77777777" w:rsidR="00651973" w:rsidRPr="0011753E" w:rsidRDefault="00651973" w:rsidP="00651973">
            <w:pPr>
              <w:rPr>
                <w:rFonts w:ascii="Times New Roman" w:hAnsi="Times New Roman" w:cs="Times New Roman"/>
                <w:sz w:val="20"/>
                <w:szCs w:val="20"/>
              </w:rPr>
            </w:pPr>
          </w:p>
        </w:tc>
        <w:tc>
          <w:tcPr>
            <w:tcW w:w="1620" w:type="dxa"/>
          </w:tcPr>
          <w:p w14:paraId="77449797" w14:textId="77777777" w:rsidR="00651973" w:rsidRPr="0011753E" w:rsidRDefault="00651973" w:rsidP="00651973">
            <w:pPr>
              <w:rPr>
                <w:rFonts w:ascii="Times New Roman" w:hAnsi="Times New Roman" w:cs="Times New Roman"/>
                <w:sz w:val="20"/>
                <w:szCs w:val="20"/>
              </w:rPr>
            </w:pPr>
            <w:r w:rsidRPr="0011753E">
              <w:rPr>
                <w:rFonts w:ascii="Times New Roman" w:hAnsi="Times New Roman" w:cs="Times New Roman"/>
                <w:sz w:val="20"/>
                <w:szCs w:val="20"/>
              </w:rPr>
              <w:t>2008 law limitations</w:t>
            </w:r>
          </w:p>
        </w:tc>
        <w:tc>
          <w:tcPr>
            <w:tcW w:w="6925" w:type="dxa"/>
          </w:tcPr>
          <w:p w14:paraId="1D7867AE" w14:textId="0E4F72A3" w:rsidR="00651973" w:rsidRPr="0011753E" w:rsidRDefault="005D57F4" w:rsidP="00651973">
            <w:pPr>
              <w:rPr>
                <w:rFonts w:ascii="Times New Roman" w:hAnsi="Times New Roman" w:cs="Times New Roman"/>
                <w:sz w:val="20"/>
                <w:szCs w:val="20"/>
              </w:rPr>
            </w:pPr>
            <w:r w:rsidRPr="0011753E">
              <w:rPr>
                <w:rFonts w:ascii="Times New Roman" w:hAnsi="Times New Roman" w:cs="Times New Roman"/>
                <w:sz w:val="20"/>
                <w:szCs w:val="20"/>
              </w:rPr>
              <w:t>Critiques of the Law Against Femicide and Other Forms of Violence Against Women or discussions of its limitations</w:t>
            </w:r>
            <w:r w:rsidR="0011753E" w:rsidRPr="0011753E">
              <w:rPr>
                <w:rFonts w:ascii="Times New Roman" w:hAnsi="Times New Roman" w:cs="Times New Roman"/>
                <w:sz w:val="20"/>
                <w:szCs w:val="20"/>
              </w:rPr>
              <w:t>.</w:t>
            </w:r>
          </w:p>
        </w:tc>
      </w:tr>
      <w:tr w:rsidR="0011753E" w:rsidRPr="0011753E" w14:paraId="5C2D93B5" w14:textId="77777777" w:rsidTr="0011753E">
        <w:tc>
          <w:tcPr>
            <w:tcW w:w="805" w:type="dxa"/>
            <w:vMerge/>
          </w:tcPr>
          <w:p w14:paraId="1C686544" w14:textId="77777777" w:rsidR="00651973" w:rsidRPr="0011753E" w:rsidRDefault="00651973" w:rsidP="00651973">
            <w:pPr>
              <w:rPr>
                <w:rFonts w:ascii="Times New Roman" w:hAnsi="Times New Roman" w:cs="Times New Roman"/>
                <w:sz w:val="20"/>
                <w:szCs w:val="20"/>
              </w:rPr>
            </w:pPr>
          </w:p>
        </w:tc>
        <w:tc>
          <w:tcPr>
            <w:tcW w:w="1620" w:type="dxa"/>
          </w:tcPr>
          <w:p w14:paraId="6C0192A1" w14:textId="77777777" w:rsidR="00651973" w:rsidRPr="0011753E" w:rsidRDefault="00651973" w:rsidP="00651973">
            <w:pPr>
              <w:rPr>
                <w:rFonts w:ascii="Times New Roman" w:hAnsi="Times New Roman" w:cs="Times New Roman"/>
                <w:sz w:val="20"/>
                <w:szCs w:val="20"/>
              </w:rPr>
            </w:pPr>
            <w:r w:rsidRPr="0011753E">
              <w:rPr>
                <w:rFonts w:ascii="Times New Roman" w:hAnsi="Times New Roman" w:cs="Times New Roman"/>
                <w:sz w:val="20"/>
                <w:szCs w:val="20"/>
              </w:rPr>
              <w:t>2008 law advances</w:t>
            </w:r>
          </w:p>
        </w:tc>
        <w:tc>
          <w:tcPr>
            <w:tcW w:w="6925" w:type="dxa"/>
          </w:tcPr>
          <w:p w14:paraId="13631BC8" w14:textId="18ED8A52" w:rsidR="00651973" w:rsidRPr="0011753E" w:rsidRDefault="005D57F4" w:rsidP="00651973">
            <w:pPr>
              <w:rPr>
                <w:rFonts w:ascii="Times New Roman" w:hAnsi="Times New Roman" w:cs="Times New Roman"/>
                <w:sz w:val="20"/>
                <w:szCs w:val="20"/>
              </w:rPr>
            </w:pPr>
            <w:r w:rsidRPr="0011753E">
              <w:rPr>
                <w:rFonts w:ascii="Times New Roman" w:hAnsi="Times New Roman" w:cs="Times New Roman"/>
                <w:sz w:val="20"/>
                <w:szCs w:val="20"/>
              </w:rPr>
              <w:t>Discussions of the advances or advantages of the Law Against Femicide and Other Forms of Violence Against Women</w:t>
            </w:r>
            <w:r w:rsidR="0011753E" w:rsidRPr="0011753E">
              <w:rPr>
                <w:rFonts w:ascii="Times New Roman" w:hAnsi="Times New Roman" w:cs="Times New Roman"/>
                <w:sz w:val="20"/>
                <w:szCs w:val="20"/>
              </w:rPr>
              <w:t>.</w:t>
            </w:r>
          </w:p>
        </w:tc>
      </w:tr>
    </w:tbl>
    <w:p w14:paraId="1C0800B6" w14:textId="21950A0A" w:rsidR="00307323" w:rsidRPr="0011753E" w:rsidRDefault="00D432C4" w:rsidP="00307323">
      <w:pPr>
        <w:rPr>
          <w:rFonts w:ascii="Times New Roman" w:hAnsi="Times New Roman" w:cs="Times New Roman"/>
          <w:sz w:val="20"/>
          <w:szCs w:val="20"/>
        </w:rPr>
      </w:pPr>
      <w:r w:rsidRPr="0011753E">
        <w:rPr>
          <w:rFonts w:ascii="Times New Roman" w:hAnsi="Times New Roman" w:cs="Times New Roman"/>
          <w:sz w:val="20"/>
          <w:szCs w:val="20"/>
        </w:rPr>
        <w:t xml:space="preserve">*Codes are not mutually exclusive. Some </w:t>
      </w:r>
      <w:r w:rsidR="00DD4365">
        <w:rPr>
          <w:rFonts w:ascii="Times New Roman" w:hAnsi="Times New Roman" w:cs="Times New Roman"/>
          <w:sz w:val="20"/>
          <w:szCs w:val="20"/>
        </w:rPr>
        <w:t>quotes/</w:t>
      </w:r>
      <w:r w:rsidRPr="0011753E">
        <w:rPr>
          <w:rFonts w:ascii="Times New Roman" w:hAnsi="Times New Roman" w:cs="Times New Roman"/>
          <w:sz w:val="20"/>
          <w:szCs w:val="20"/>
        </w:rPr>
        <w:t>sections were marked with multiple relevant codes.</w:t>
      </w:r>
    </w:p>
    <w:p w14:paraId="7A0FF5C5" w14:textId="77777777" w:rsidR="00307323" w:rsidRPr="0011753E" w:rsidRDefault="00307323" w:rsidP="00307323">
      <w:pPr>
        <w:tabs>
          <w:tab w:val="left" w:pos="2260"/>
        </w:tabs>
        <w:rPr>
          <w:rFonts w:ascii="Times New Roman" w:hAnsi="Times New Roman" w:cs="Times New Roman"/>
          <w:sz w:val="20"/>
          <w:szCs w:val="20"/>
        </w:rPr>
      </w:pPr>
    </w:p>
    <w:p w14:paraId="5154747C" w14:textId="77777777" w:rsidR="00307323" w:rsidRPr="0011753E" w:rsidRDefault="00307323" w:rsidP="00307323">
      <w:pPr>
        <w:rPr>
          <w:rFonts w:ascii="Times New Roman" w:hAnsi="Times New Roman" w:cs="Times New Roman"/>
          <w:sz w:val="20"/>
          <w:szCs w:val="20"/>
        </w:rPr>
      </w:pPr>
    </w:p>
    <w:p w14:paraId="3005A4DF" w14:textId="77777777" w:rsidR="00307323" w:rsidRPr="0011753E" w:rsidRDefault="00307323" w:rsidP="00307323">
      <w:pPr>
        <w:rPr>
          <w:rFonts w:ascii="Times New Roman" w:hAnsi="Times New Roman" w:cs="Times New Roman"/>
          <w:sz w:val="20"/>
          <w:szCs w:val="20"/>
        </w:rPr>
      </w:pPr>
    </w:p>
    <w:p w14:paraId="5C7B2361" w14:textId="0C60BBC8" w:rsidR="00672A65" w:rsidRPr="0011753E" w:rsidRDefault="00026D44">
      <w:pPr>
        <w:rPr>
          <w:rFonts w:ascii="Times New Roman" w:hAnsi="Times New Roman" w:cs="Times New Roman"/>
          <w:sz w:val="20"/>
          <w:szCs w:val="20"/>
        </w:rPr>
      </w:pPr>
    </w:p>
    <w:sectPr w:rsidR="00672A65" w:rsidRPr="0011753E" w:rsidSect="00E62CF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0BEB" w14:textId="77777777" w:rsidR="00AA2216" w:rsidRDefault="00AA2216" w:rsidP="005C1E2E">
      <w:r>
        <w:separator/>
      </w:r>
    </w:p>
  </w:endnote>
  <w:endnote w:type="continuationSeparator" w:id="0">
    <w:p w14:paraId="4E2154C3" w14:textId="77777777" w:rsidR="00AA2216" w:rsidRDefault="00AA2216" w:rsidP="005C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8720331"/>
      <w:docPartObj>
        <w:docPartGallery w:val="Page Numbers (Bottom of Page)"/>
        <w:docPartUnique/>
      </w:docPartObj>
    </w:sdtPr>
    <w:sdtEndPr>
      <w:rPr>
        <w:rStyle w:val="PageNumber"/>
      </w:rPr>
    </w:sdtEndPr>
    <w:sdtContent>
      <w:p w14:paraId="48840AE0" w14:textId="3DD0E073" w:rsidR="005C1E2E" w:rsidRDefault="005C1E2E" w:rsidP="002612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061C9A" w14:textId="77777777" w:rsidR="005C1E2E" w:rsidRDefault="005C1E2E" w:rsidP="005C1E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6290717"/>
      <w:docPartObj>
        <w:docPartGallery w:val="Page Numbers (Bottom of Page)"/>
        <w:docPartUnique/>
      </w:docPartObj>
    </w:sdtPr>
    <w:sdtEndPr>
      <w:rPr>
        <w:rStyle w:val="PageNumber"/>
      </w:rPr>
    </w:sdtEndPr>
    <w:sdtContent>
      <w:p w14:paraId="4D0BE632" w14:textId="7145B683" w:rsidR="005C1E2E" w:rsidRDefault="005C1E2E" w:rsidP="002612FD">
        <w:pPr>
          <w:pStyle w:val="Footer"/>
          <w:framePr w:wrap="none" w:vAnchor="text" w:hAnchor="margin" w:xAlign="right" w:y="1"/>
          <w:rPr>
            <w:rStyle w:val="PageNumber"/>
          </w:rPr>
        </w:pPr>
        <w:r w:rsidRPr="005C1E2E">
          <w:rPr>
            <w:rStyle w:val="PageNumber"/>
            <w:rFonts w:ascii="Times New Roman" w:hAnsi="Times New Roman" w:cs="Times New Roman"/>
          </w:rPr>
          <w:fldChar w:fldCharType="begin"/>
        </w:r>
        <w:r w:rsidRPr="005C1E2E">
          <w:rPr>
            <w:rStyle w:val="PageNumber"/>
            <w:rFonts w:ascii="Times New Roman" w:hAnsi="Times New Roman" w:cs="Times New Roman"/>
          </w:rPr>
          <w:instrText xml:space="preserve"> PAGE </w:instrText>
        </w:r>
        <w:r w:rsidRPr="005C1E2E">
          <w:rPr>
            <w:rStyle w:val="PageNumber"/>
            <w:rFonts w:ascii="Times New Roman" w:hAnsi="Times New Roman" w:cs="Times New Roman"/>
          </w:rPr>
          <w:fldChar w:fldCharType="separate"/>
        </w:r>
        <w:r w:rsidRPr="005C1E2E">
          <w:rPr>
            <w:rStyle w:val="PageNumber"/>
            <w:rFonts w:ascii="Times New Roman" w:hAnsi="Times New Roman" w:cs="Times New Roman"/>
            <w:noProof/>
          </w:rPr>
          <w:t>1</w:t>
        </w:r>
        <w:r w:rsidRPr="005C1E2E">
          <w:rPr>
            <w:rStyle w:val="PageNumber"/>
            <w:rFonts w:ascii="Times New Roman" w:hAnsi="Times New Roman" w:cs="Times New Roman"/>
          </w:rPr>
          <w:fldChar w:fldCharType="end"/>
        </w:r>
      </w:p>
    </w:sdtContent>
  </w:sdt>
  <w:p w14:paraId="79F87E22" w14:textId="77777777" w:rsidR="005C1E2E" w:rsidRDefault="005C1E2E" w:rsidP="005C1E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5C9A" w14:textId="77777777" w:rsidR="00AA2216" w:rsidRDefault="00AA2216" w:rsidP="005C1E2E">
      <w:r>
        <w:separator/>
      </w:r>
    </w:p>
  </w:footnote>
  <w:footnote w:type="continuationSeparator" w:id="0">
    <w:p w14:paraId="44F22DF4" w14:textId="77777777" w:rsidR="00AA2216" w:rsidRDefault="00AA2216" w:rsidP="005C1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23"/>
    <w:rsid w:val="00026D44"/>
    <w:rsid w:val="00027A6E"/>
    <w:rsid w:val="0011753E"/>
    <w:rsid w:val="00143DE7"/>
    <w:rsid w:val="001B3919"/>
    <w:rsid w:val="00250ABE"/>
    <w:rsid w:val="00274B10"/>
    <w:rsid w:val="00307323"/>
    <w:rsid w:val="0037586B"/>
    <w:rsid w:val="00424535"/>
    <w:rsid w:val="005C1E2E"/>
    <w:rsid w:val="005D57F4"/>
    <w:rsid w:val="00651973"/>
    <w:rsid w:val="00654486"/>
    <w:rsid w:val="007E7C10"/>
    <w:rsid w:val="00836FEE"/>
    <w:rsid w:val="009A5353"/>
    <w:rsid w:val="00A44850"/>
    <w:rsid w:val="00A60BF5"/>
    <w:rsid w:val="00A60FAE"/>
    <w:rsid w:val="00AA2216"/>
    <w:rsid w:val="00AB141B"/>
    <w:rsid w:val="00B01519"/>
    <w:rsid w:val="00B34A70"/>
    <w:rsid w:val="00BA4413"/>
    <w:rsid w:val="00BD076A"/>
    <w:rsid w:val="00BF3B58"/>
    <w:rsid w:val="00CA3001"/>
    <w:rsid w:val="00CD5095"/>
    <w:rsid w:val="00CF63D1"/>
    <w:rsid w:val="00D432C4"/>
    <w:rsid w:val="00DD4365"/>
    <w:rsid w:val="00DD4AB1"/>
    <w:rsid w:val="00E25CA0"/>
    <w:rsid w:val="00E62CF1"/>
    <w:rsid w:val="00EE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F027F"/>
  <w15:chartTrackingRefBased/>
  <w15:docId w15:val="{5C57AE4E-2D25-BC45-A26F-9FA8EFF6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3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7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C1E2E"/>
    <w:pPr>
      <w:tabs>
        <w:tab w:val="center" w:pos="4680"/>
        <w:tab w:val="right" w:pos="9360"/>
      </w:tabs>
    </w:pPr>
  </w:style>
  <w:style w:type="character" w:customStyle="1" w:styleId="FooterChar">
    <w:name w:val="Footer Char"/>
    <w:basedOn w:val="DefaultParagraphFont"/>
    <w:link w:val="Footer"/>
    <w:uiPriority w:val="99"/>
    <w:rsid w:val="005C1E2E"/>
  </w:style>
  <w:style w:type="character" w:styleId="PageNumber">
    <w:name w:val="page number"/>
    <w:basedOn w:val="DefaultParagraphFont"/>
    <w:uiPriority w:val="99"/>
    <w:semiHidden/>
    <w:unhideWhenUsed/>
    <w:rsid w:val="005C1E2E"/>
  </w:style>
  <w:style w:type="paragraph" w:styleId="Header">
    <w:name w:val="header"/>
    <w:basedOn w:val="Normal"/>
    <w:link w:val="HeaderChar"/>
    <w:uiPriority w:val="99"/>
    <w:unhideWhenUsed/>
    <w:rsid w:val="005C1E2E"/>
    <w:pPr>
      <w:tabs>
        <w:tab w:val="center" w:pos="4680"/>
        <w:tab w:val="right" w:pos="9360"/>
      </w:tabs>
    </w:pPr>
  </w:style>
  <w:style w:type="character" w:customStyle="1" w:styleId="HeaderChar">
    <w:name w:val="Header Char"/>
    <w:basedOn w:val="DefaultParagraphFont"/>
    <w:link w:val="Header"/>
    <w:uiPriority w:val="99"/>
    <w:rsid w:val="005C1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Beck</dc:creator>
  <cp:keywords/>
  <dc:description/>
  <cp:lastModifiedBy>Deborah Ring</cp:lastModifiedBy>
  <cp:revision>3</cp:revision>
  <dcterms:created xsi:type="dcterms:W3CDTF">2021-09-13T12:36:00Z</dcterms:created>
  <dcterms:modified xsi:type="dcterms:W3CDTF">2021-09-13T12:36:00Z</dcterms:modified>
</cp:coreProperties>
</file>