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FAD4A" w14:textId="77777777" w:rsidR="00BA21BF" w:rsidRPr="00BA7825" w:rsidRDefault="00BA21BF" w:rsidP="00BA21BF">
      <w:pPr>
        <w:textAlignment w:val="baseline"/>
        <w:rPr>
          <w:b/>
          <w:bCs/>
          <w:color w:val="000000" w:themeColor="text1"/>
        </w:rPr>
      </w:pPr>
      <w:bookmarkStart w:id="0" w:name="_GoBack"/>
      <w:bookmarkEnd w:id="0"/>
      <w:r w:rsidRPr="00BA7825">
        <w:rPr>
          <w:b/>
          <w:bCs/>
          <w:color w:val="000000" w:themeColor="text1"/>
        </w:rPr>
        <w:t>Supplementary Materials: Tables 1-3</w:t>
      </w:r>
    </w:p>
    <w:p w14:paraId="58A7C586" w14:textId="77777777" w:rsidR="00BA21BF" w:rsidRPr="00BA7825" w:rsidRDefault="00BA21BF" w:rsidP="00BA21BF">
      <w:pPr>
        <w:textAlignment w:val="baseline"/>
        <w:rPr>
          <w:b/>
          <w:bCs/>
          <w:color w:val="000000" w:themeColor="text1"/>
          <w:sz w:val="22"/>
          <w:szCs w:val="22"/>
        </w:rPr>
      </w:pPr>
    </w:p>
    <w:p w14:paraId="3751971F" w14:textId="098B07A6" w:rsidR="00BA21BF" w:rsidRPr="00BA7825" w:rsidRDefault="00BA21BF" w:rsidP="00BA21BF">
      <w:pPr>
        <w:textAlignment w:val="baseline"/>
        <w:rPr>
          <w:color w:val="000000" w:themeColor="text1"/>
          <w:sz w:val="22"/>
          <w:szCs w:val="22"/>
          <w:vertAlign w:val="superscript"/>
        </w:rPr>
      </w:pPr>
      <w:r w:rsidRPr="00BA7825">
        <w:rPr>
          <w:b/>
          <w:bCs/>
          <w:color w:val="000000" w:themeColor="text1"/>
          <w:sz w:val="22"/>
          <w:szCs w:val="22"/>
        </w:rPr>
        <w:t>Table 1.</w:t>
      </w:r>
      <w:r w:rsidRPr="00BA7825">
        <w:rPr>
          <w:color w:val="000000" w:themeColor="text1"/>
          <w:sz w:val="22"/>
          <w:szCs w:val="22"/>
        </w:rPr>
        <w:t> Overview of relevant demographics, and health and COVID-19 response institutions in Canada, BC, Ontario, and Quebec</w:t>
      </w:r>
    </w:p>
    <w:tbl>
      <w:tblPr>
        <w:tblW w:w="13515"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971"/>
        <w:gridCol w:w="2901"/>
        <w:gridCol w:w="2881"/>
        <w:gridCol w:w="2881"/>
        <w:gridCol w:w="2881"/>
      </w:tblGrid>
      <w:tr w:rsidR="00BA21BF" w:rsidRPr="00BA7825" w14:paraId="790BBCA0" w14:textId="77777777" w:rsidTr="005841F8">
        <w:trPr>
          <w:trHeight w:val="144"/>
        </w:trPr>
        <w:tc>
          <w:tcPr>
            <w:tcW w:w="1972" w:type="dxa"/>
            <w:tcBorders>
              <w:top w:val="single" w:sz="4" w:space="0" w:color="auto"/>
              <w:bottom w:val="single" w:sz="4" w:space="0" w:color="auto"/>
            </w:tcBorders>
            <w:hideMark/>
          </w:tcPr>
          <w:p w14:paraId="501F5A40" w14:textId="77777777" w:rsidR="00BA21BF" w:rsidRPr="00BA7825" w:rsidRDefault="00BA21BF" w:rsidP="00F7641E">
            <w:pPr>
              <w:spacing w:line="256" w:lineRule="auto"/>
              <w:textAlignment w:val="baseline"/>
              <w:rPr>
                <w:color w:val="000000" w:themeColor="text1"/>
                <w:sz w:val="22"/>
                <w:szCs w:val="22"/>
                <w:lang w:val="en-US"/>
              </w:rPr>
            </w:pPr>
            <w:r w:rsidRPr="00BA7825">
              <w:rPr>
                <w:b/>
                <w:bCs/>
                <w:color w:val="000000" w:themeColor="text1"/>
                <w:sz w:val="22"/>
                <w:szCs w:val="22"/>
                <w:lang w:val="en-US"/>
              </w:rPr>
              <w:t>Characteristic</w:t>
            </w:r>
            <w:r w:rsidRPr="00BA7825">
              <w:rPr>
                <w:color w:val="000000" w:themeColor="text1"/>
                <w:sz w:val="22"/>
                <w:szCs w:val="22"/>
                <w:lang w:val="en-US"/>
              </w:rPr>
              <w:t> </w:t>
            </w:r>
          </w:p>
        </w:tc>
        <w:tc>
          <w:tcPr>
            <w:tcW w:w="2900" w:type="dxa"/>
            <w:tcBorders>
              <w:top w:val="single" w:sz="4" w:space="0" w:color="auto"/>
              <w:bottom w:val="single" w:sz="4" w:space="0" w:color="auto"/>
            </w:tcBorders>
            <w:hideMark/>
          </w:tcPr>
          <w:p w14:paraId="5DD628DB" w14:textId="77777777" w:rsidR="00BA21BF" w:rsidRPr="00BA7825" w:rsidRDefault="00BA21BF" w:rsidP="00F7641E">
            <w:pPr>
              <w:spacing w:line="256" w:lineRule="auto"/>
              <w:textAlignment w:val="baseline"/>
              <w:rPr>
                <w:b/>
                <w:bCs/>
                <w:color w:val="000000" w:themeColor="text1"/>
                <w:sz w:val="22"/>
                <w:szCs w:val="22"/>
                <w:lang w:val="en-US"/>
              </w:rPr>
            </w:pPr>
            <w:r w:rsidRPr="00BA7825">
              <w:rPr>
                <w:b/>
                <w:bCs/>
                <w:color w:val="000000" w:themeColor="text1"/>
                <w:sz w:val="22"/>
                <w:szCs w:val="22"/>
                <w:lang w:val="en-US"/>
              </w:rPr>
              <w:t>Canada</w:t>
            </w:r>
          </w:p>
        </w:tc>
        <w:tc>
          <w:tcPr>
            <w:tcW w:w="2880" w:type="dxa"/>
            <w:tcBorders>
              <w:top w:val="single" w:sz="4" w:space="0" w:color="auto"/>
              <w:bottom w:val="single" w:sz="4" w:space="0" w:color="auto"/>
            </w:tcBorders>
            <w:hideMark/>
          </w:tcPr>
          <w:p w14:paraId="7BEA5111" w14:textId="77777777" w:rsidR="00BA21BF" w:rsidRPr="00BA7825" w:rsidRDefault="00BA21BF" w:rsidP="00F7641E">
            <w:pPr>
              <w:spacing w:line="256" w:lineRule="auto"/>
              <w:textAlignment w:val="baseline"/>
              <w:rPr>
                <w:color w:val="000000" w:themeColor="text1"/>
                <w:sz w:val="22"/>
                <w:szCs w:val="22"/>
                <w:lang w:val="en-US"/>
              </w:rPr>
            </w:pPr>
            <w:r w:rsidRPr="00BA7825">
              <w:rPr>
                <w:b/>
                <w:bCs/>
                <w:color w:val="000000" w:themeColor="text1"/>
                <w:sz w:val="22"/>
                <w:szCs w:val="22"/>
                <w:lang w:val="en-US"/>
              </w:rPr>
              <w:t>British Columbia</w:t>
            </w:r>
          </w:p>
        </w:tc>
        <w:tc>
          <w:tcPr>
            <w:tcW w:w="2880" w:type="dxa"/>
            <w:tcBorders>
              <w:top w:val="single" w:sz="4" w:space="0" w:color="auto"/>
              <w:bottom w:val="single" w:sz="4" w:space="0" w:color="auto"/>
            </w:tcBorders>
            <w:hideMark/>
          </w:tcPr>
          <w:p w14:paraId="6734EE83" w14:textId="77777777" w:rsidR="00BA21BF" w:rsidRPr="00BA7825" w:rsidRDefault="00BA21BF" w:rsidP="00F7641E">
            <w:pPr>
              <w:spacing w:line="256" w:lineRule="auto"/>
              <w:textAlignment w:val="baseline"/>
              <w:rPr>
                <w:color w:val="000000" w:themeColor="text1"/>
                <w:sz w:val="22"/>
                <w:szCs w:val="22"/>
                <w:lang w:val="en-US"/>
              </w:rPr>
            </w:pPr>
            <w:r w:rsidRPr="00BA7825">
              <w:rPr>
                <w:b/>
                <w:bCs/>
                <w:color w:val="000000" w:themeColor="text1"/>
                <w:sz w:val="22"/>
                <w:szCs w:val="22"/>
                <w:lang w:val="en-US"/>
              </w:rPr>
              <w:t>Ontario</w:t>
            </w:r>
            <w:r w:rsidRPr="00BA7825">
              <w:rPr>
                <w:color w:val="000000" w:themeColor="text1"/>
                <w:sz w:val="22"/>
                <w:szCs w:val="22"/>
                <w:lang w:val="en-US"/>
              </w:rPr>
              <w:t> </w:t>
            </w:r>
          </w:p>
        </w:tc>
        <w:tc>
          <w:tcPr>
            <w:tcW w:w="2880" w:type="dxa"/>
            <w:tcBorders>
              <w:top w:val="single" w:sz="4" w:space="0" w:color="auto"/>
              <w:bottom w:val="single" w:sz="4" w:space="0" w:color="auto"/>
            </w:tcBorders>
            <w:hideMark/>
          </w:tcPr>
          <w:p w14:paraId="74AF02CF" w14:textId="77777777" w:rsidR="00BA21BF" w:rsidRPr="00BA7825" w:rsidRDefault="00BA21BF" w:rsidP="00F7641E">
            <w:pPr>
              <w:spacing w:line="256" w:lineRule="auto"/>
              <w:textAlignment w:val="baseline"/>
              <w:rPr>
                <w:color w:val="000000" w:themeColor="text1"/>
                <w:sz w:val="22"/>
                <w:szCs w:val="22"/>
                <w:lang w:val="en-US"/>
              </w:rPr>
            </w:pPr>
            <w:r w:rsidRPr="00BA7825">
              <w:rPr>
                <w:b/>
                <w:bCs/>
                <w:color w:val="000000" w:themeColor="text1"/>
                <w:sz w:val="22"/>
                <w:szCs w:val="22"/>
                <w:lang w:val="en-US"/>
              </w:rPr>
              <w:t>Quebec</w:t>
            </w:r>
            <w:r w:rsidRPr="00BA7825">
              <w:rPr>
                <w:color w:val="000000" w:themeColor="text1"/>
                <w:sz w:val="22"/>
                <w:szCs w:val="22"/>
                <w:lang w:val="en-US"/>
              </w:rPr>
              <w:t> </w:t>
            </w:r>
          </w:p>
        </w:tc>
      </w:tr>
      <w:tr w:rsidR="00BA21BF" w:rsidRPr="00BA7825" w14:paraId="6D0E519B" w14:textId="77777777" w:rsidTr="005841F8">
        <w:trPr>
          <w:trHeight w:val="144"/>
        </w:trPr>
        <w:tc>
          <w:tcPr>
            <w:tcW w:w="13512" w:type="dxa"/>
            <w:gridSpan w:val="5"/>
            <w:tcBorders>
              <w:top w:val="single" w:sz="4" w:space="0" w:color="auto"/>
              <w:bottom w:val="single" w:sz="4" w:space="0" w:color="auto"/>
            </w:tcBorders>
            <w:hideMark/>
          </w:tcPr>
          <w:p w14:paraId="52504906" w14:textId="44D1B499" w:rsidR="00BA21BF" w:rsidRPr="00BA7825" w:rsidRDefault="00BA21BF" w:rsidP="00F7641E">
            <w:pPr>
              <w:spacing w:line="256" w:lineRule="auto"/>
              <w:textAlignment w:val="baseline"/>
              <w:rPr>
                <w:b/>
                <w:bCs/>
                <w:color w:val="000000" w:themeColor="text1"/>
                <w:sz w:val="22"/>
                <w:szCs w:val="22"/>
                <w:vertAlign w:val="superscript"/>
                <w:lang w:val="en-US"/>
              </w:rPr>
            </w:pPr>
            <w:r w:rsidRPr="00BA7825">
              <w:rPr>
                <w:b/>
                <w:bCs/>
                <w:color w:val="000000" w:themeColor="text1"/>
                <w:sz w:val="22"/>
                <w:szCs w:val="22"/>
                <w:lang w:val="en-US"/>
              </w:rPr>
              <w:t>DEMOGRAPHICS (2020)</w:t>
            </w:r>
          </w:p>
        </w:tc>
      </w:tr>
      <w:tr w:rsidR="00BA21BF" w:rsidRPr="00BA7825" w14:paraId="71517233" w14:textId="77777777" w:rsidTr="005841F8">
        <w:trPr>
          <w:trHeight w:val="144"/>
        </w:trPr>
        <w:tc>
          <w:tcPr>
            <w:tcW w:w="1972" w:type="dxa"/>
            <w:tcBorders>
              <w:top w:val="single" w:sz="4" w:space="0" w:color="auto"/>
            </w:tcBorders>
            <w:hideMark/>
          </w:tcPr>
          <w:p w14:paraId="595D8CC3"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Population</w:t>
            </w:r>
          </w:p>
        </w:tc>
        <w:tc>
          <w:tcPr>
            <w:tcW w:w="2900" w:type="dxa"/>
            <w:tcBorders>
              <w:top w:val="single" w:sz="4" w:space="0" w:color="auto"/>
            </w:tcBorders>
            <w:hideMark/>
          </w:tcPr>
          <w:p w14:paraId="74EDEC94"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37.6 M</w:t>
            </w:r>
          </w:p>
        </w:tc>
        <w:tc>
          <w:tcPr>
            <w:tcW w:w="2880" w:type="dxa"/>
            <w:tcBorders>
              <w:top w:val="single" w:sz="4" w:space="0" w:color="auto"/>
            </w:tcBorders>
            <w:hideMark/>
          </w:tcPr>
          <w:p w14:paraId="6699DE80"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5.1 M</w:t>
            </w:r>
          </w:p>
        </w:tc>
        <w:tc>
          <w:tcPr>
            <w:tcW w:w="2880" w:type="dxa"/>
            <w:tcBorders>
              <w:top w:val="single" w:sz="4" w:space="0" w:color="auto"/>
            </w:tcBorders>
            <w:hideMark/>
          </w:tcPr>
          <w:p w14:paraId="37F9D4B4"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14.7 M</w:t>
            </w:r>
          </w:p>
        </w:tc>
        <w:tc>
          <w:tcPr>
            <w:tcW w:w="2880" w:type="dxa"/>
            <w:tcBorders>
              <w:top w:val="single" w:sz="4" w:space="0" w:color="auto"/>
            </w:tcBorders>
            <w:hideMark/>
          </w:tcPr>
          <w:p w14:paraId="0661CF11"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8.6 M</w:t>
            </w:r>
          </w:p>
        </w:tc>
      </w:tr>
      <w:tr w:rsidR="00BA21BF" w:rsidRPr="00BA7825" w14:paraId="2C384980" w14:textId="77777777" w:rsidTr="005841F8">
        <w:trPr>
          <w:trHeight w:val="144"/>
        </w:trPr>
        <w:tc>
          <w:tcPr>
            <w:tcW w:w="1972" w:type="dxa"/>
            <w:hideMark/>
          </w:tcPr>
          <w:p w14:paraId="5C97031D"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Population density</w:t>
            </w:r>
          </w:p>
        </w:tc>
        <w:tc>
          <w:tcPr>
            <w:tcW w:w="2900" w:type="dxa"/>
            <w:hideMark/>
          </w:tcPr>
          <w:p w14:paraId="285F61A7" w14:textId="77777777" w:rsidR="00BA21BF" w:rsidRPr="00BA7825" w:rsidRDefault="00BA21BF" w:rsidP="00F7641E">
            <w:pPr>
              <w:spacing w:line="256" w:lineRule="auto"/>
              <w:textAlignment w:val="baseline"/>
              <w:rPr>
                <w:color w:val="000000" w:themeColor="text1"/>
                <w:sz w:val="22"/>
                <w:szCs w:val="22"/>
                <w:vertAlign w:val="superscript"/>
                <w:lang w:val="en-US"/>
              </w:rPr>
            </w:pPr>
            <w:r w:rsidRPr="00BA7825">
              <w:rPr>
                <w:color w:val="000000" w:themeColor="text1"/>
                <w:sz w:val="22"/>
                <w:szCs w:val="22"/>
                <w:lang w:val="en-US"/>
              </w:rPr>
              <w:t>4.0 per km</w:t>
            </w:r>
            <w:r w:rsidRPr="00BA7825">
              <w:rPr>
                <w:color w:val="000000" w:themeColor="text1"/>
                <w:sz w:val="22"/>
                <w:szCs w:val="22"/>
                <w:vertAlign w:val="superscript"/>
                <w:lang w:val="en-US"/>
              </w:rPr>
              <w:t>2</w:t>
            </w:r>
          </w:p>
        </w:tc>
        <w:tc>
          <w:tcPr>
            <w:tcW w:w="2880" w:type="dxa"/>
            <w:hideMark/>
          </w:tcPr>
          <w:p w14:paraId="6E320FA5"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5.0 per km</w:t>
            </w:r>
            <w:r w:rsidRPr="00BA7825">
              <w:rPr>
                <w:color w:val="000000" w:themeColor="text1"/>
                <w:sz w:val="22"/>
                <w:szCs w:val="22"/>
                <w:vertAlign w:val="superscript"/>
                <w:lang w:val="en-US"/>
              </w:rPr>
              <w:t>2</w:t>
            </w:r>
          </w:p>
        </w:tc>
        <w:tc>
          <w:tcPr>
            <w:tcW w:w="2880" w:type="dxa"/>
            <w:hideMark/>
          </w:tcPr>
          <w:p w14:paraId="118F0DD4" w14:textId="77777777" w:rsidR="00BA21BF" w:rsidRPr="00BA7825" w:rsidRDefault="00BA21BF" w:rsidP="00F7641E">
            <w:pPr>
              <w:spacing w:line="256" w:lineRule="auto"/>
              <w:textAlignment w:val="baseline"/>
              <w:rPr>
                <w:color w:val="000000" w:themeColor="text1"/>
                <w:sz w:val="22"/>
                <w:szCs w:val="22"/>
                <w:vertAlign w:val="superscript"/>
                <w:lang w:val="en-US"/>
              </w:rPr>
            </w:pPr>
            <w:r w:rsidRPr="00BA7825">
              <w:rPr>
                <w:color w:val="000000" w:themeColor="text1"/>
                <w:sz w:val="22"/>
                <w:szCs w:val="22"/>
                <w:lang w:val="en-US"/>
              </w:rPr>
              <w:t>14.8 per km</w:t>
            </w:r>
            <w:r w:rsidRPr="00BA7825">
              <w:rPr>
                <w:color w:val="000000" w:themeColor="text1"/>
                <w:sz w:val="22"/>
                <w:szCs w:val="22"/>
                <w:vertAlign w:val="superscript"/>
                <w:lang w:val="en-US"/>
              </w:rPr>
              <w:t>2</w:t>
            </w:r>
          </w:p>
        </w:tc>
        <w:tc>
          <w:tcPr>
            <w:tcW w:w="2880" w:type="dxa"/>
            <w:hideMark/>
          </w:tcPr>
          <w:p w14:paraId="38122C3F"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6.0 per km</w:t>
            </w:r>
            <w:r w:rsidRPr="00BA7825">
              <w:rPr>
                <w:color w:val="000000" w:themeColor="text1"/>
                <w:sz w:val="22"/>
                <w:szCs w:val="22"/>
                <w:vertAlign w:val="superscript"/>
                <w:lang w:val="en-US"/>
              </w:rPr>
              <w:t>2</w:t>
            </w:r>
          </w:p>
        </w:tc>
      </w:tr>
      <w:tr w:rsidR="00BA21BF" w:rsidRPr="00BA7825" w14:paraId="65B14003" w14:textId="77777777" w:rsidTr="005841F8">
        <w:trPr>
          <w:trHeight w:val="144"/>
        </w:trPr>
        <w:tc>
          <w:tcPr>
            <w:tcW w:w="1972" w:type="dxa"/>
            <w:tcBorders>
              <w:bottom w:val="nil"/>
            </w:tcBorders>
            <w:hideMark/>
          </w:tcPr>
          <w:p w14:paraId="06687A76"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Pop. 65+ years old</w:t>
            </w:r>
          </w:p>
        </w:tc>
        <w:tc>
          <w:tcPr>
            <w:tcW w:w="2900" w:type="dxa"/>
            <w:tcBorders>
              <w:bottom w:val="nil"/>
            </w:tcBorders>
            <w:hideMark/>
          </w:tcPr>
          <w:p w14:paraId="712EB4DD"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18.2 per cent</w:t>
            </w:r>
          </w:p>
        </w:tc>
        <w:tc>
          <w:tcPr>
            <w:tcW w:w="2880" w:type="dxa"/>
            <w:tcBorders>
              <w:bottom w:val="nil"/>
            </w:tcBorders>
            <w:hideMark/>
          </w:tcPr>
          <w:p w14:paraId="27DD84BD"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15.7 per cent</w:t>
            </w:r>
          </w:p>
        </w:tc>
        <w:tc>
          <w:tcPr>
            <w:tcW w:w="2880" w:type="dxa"/>
            <w:tcBorders>
              <w:bottom w:val="nil"/>
            </w:tcBorders>
            <w:hideMark/>
          </w:tcPr>
          <w:p w14:paraId="783A0346"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17.6 per cent</w:t>
            </w:r>
          </w:p>
        </w:tc>
        <w:tc>
          <w:tcPr>
            <w:tcW w:w="2880" w:type="dxa"/>
            <w:tcBorders>
              <w:bottom w:val="nil"/>
            </w:tcBorders>
            <w:hideMark/>
          </w:tcPr>
          <w:p w14:paraId="649C929B"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18.3 per cent</w:t>
            </w:r>
          </w:p>
        </w:tc>
      </w:tr>
      <w:tr w:rsidR="00BA21BF" w:rsidRPr="00BA7825" w14:paraId="61D43D4A" w14:textId="77777777" w:rsidTr="005841F8">
        <w:trPr>
          <w:trHeight w:val="144"/>
        </w:trPr>
        <w:tc>
          <w:tcPr>
            <w:tcW w:w="13512" w:type="dxa"/>
            <w:gridSpan w:val="5"/>
            <w:tcBorders>
              <w:top w:val="nil"/>
              <w:bottom w:val="single" w:sz="4" w:space="0" w:color="auto"/>
            </w:tcBorders>
            <w:hideMark/>
          </w:tcPr>
          <w:p w14:paraId="5BF1AF05" w14:textId="77777777" w:rsidR="00BA21BF" w:rsidRPr="00BA7825" w:rsidRDefault="00BA21BF" w:rsidP="00F7641E">
            <w:pPr>
              <w:spacing w:line="256" w:lineRule="auto"/>
              <w:textAlignment w:val="baseline"/>
              <w:rPr>
                <w:b/>
                <w:bCs/>
                <w:color w:val="000000" w:themeColor="text1"/>
                <w:sz w:val="22"/>
                <w:szCs w:val="22"/>
                <w:lang w:val="en-US"/>
              </w:rPr>
            </w:pPr>
            <w:r w:rsidRPr="00BA7825">
              <w:rPr>
                <w:b/>
                <w:bCs/>
                <w:color w:val="000000" w:themeColor="text1"/>
                <w:sz w:val="22"/>
                <w:szCs w:val="22"/>
                <w:lang w:val="en-US"/>
              </w:rPr>
              <w:t>RELEVANT PUBLIC HEALTH AND HEALTH CARE INSTITUTIONS</w:t>
            </w:r>
          </w:p>
        </w:tc>
      </w:tr>
      <w:tr w:rsidR="00BA21BF" w:rsidRPr="00BA7825" w14:paraId="59E11709" w14:textId="77777777" w:rsidTr="005841F8">
        <w:trPr>
          <w:trHeight w:val="144"/>
        </w:trPr>
        <w:tc>
          <w:tcPr>
            <w:tcW w:w="1972" w:type="dxa"/>
            <w:tcBorders>
              <w:top w:val="single" w:sz="4" w:space="0" w:color="auto"/>
              <w:bottom w:val="nil"/>
            </w:tcBorders>
            <w:hideMark/>
          </w:tcPr>
          <w:p w14:paraId="26401DFF"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Public health institutions</w:t>
            </w:r>
            <w:r w:rsidRPr="00BA7825">
              <w:rPr>
                <w:b/>
                <w:bCs/>
                <w:color w:val="000000" w:themeColor="text1"/>
                <w:sz w:val="22"/>
                <w:szCs w:val="22"/>
                <w:lang w:val="en-US"/>
              </w:rPr>
              <w:t> </w:t>
            </w:r>
            <w:r w:rsidRPr="00BA7825">
              <w:rPr>
                <w:color w:val="000000" w:themeColor="text1"/>
                <w:sz w:val="22"/>
                <w:szCs w:val="22"/>
                <w:lang w:val="en-US"/>
              </w:rPr>
              <w:t> </w:t>
            </w:r>
          </w:p>
        </w:tc>
        <w:tc>
          <w:tcPr>
            <w:tcW w:w="2900" w:type="dxa"/>
            <w:tcBorders>
              <w:top w:val="single" w:sz="4" w:space="0" w:color="auto"/>
              <w:bottom w:val="nil"/>
            </w:tcBorders>
            <w:hideMark/>
          </w:tcPr>
          <w:p w14:paraId="04CB7883" w14:textId="77777777" w:rsidR="00BA21BF" w:rsidRPr="00BA7825" w:rsidRDefault="00BA21BF" w:rsidP="00102E75">
            <w:pPr>
              <w:spacing w:line="256" w:lineRule="auto"/>
              <w:textAlignment w:val="baseline"/>
              <w:rPr>
                <w:color w:val="000000" w:themeColor="text1"/>
                <w:sz w:val="22"/>
                <w:szCs w:val="22"/>
                <w:lang w:val="en-US"/>
              </w:rPr>
            </w:pPr>
            <w:r w:rsidRPr="00BA7825">
              <w:rPr>
                <w:color w:val="000000" w:themeColor="text1"/>
                <w:sz w:val="22"/>
                <w:szCs w:val="22"/>
                <w:lang w:val="en-US"/>
              </w:rPr>
              <w:t xml:space="preserve">The Minister of Health oversees a health portfolio comprised of Health Canada, the Public Health Agency of Canada (PHAC) and three other health-related institutions. </w:t>
            </w:r>
          </w:p>
          <w:p w14:paraId="0CDAE7E6" w14:textId="77777777" w:rsidR="00BA21BF" w:rsidRPr="00BA7825" w:rsidRDefault="00BA21BF" w:rsidP="00102E75">
            <w:pPr>
              <w:spacing w:line="256" w:lineRule="auto"/>
              <w:textAlignment w:val="baseline"/>
              <w:rPr>
                <w:color w:val="000000" w:themeColor="text1"/>
                <w:sz w:val="22"/>
                <w:szCs w:val="22"/>
                <w:lang w:val="en-US"/>
              </w:rPr>
            </w:pPr>
            <w:r w:rsidRPr="00BA7825">
              <w:rPr>
                <w:color w:val="000000" w:themeColor="text1"/>
                <w:sz w:val="22"/>
                <w:szCs w:val="22"/>
                <w:lang w:val="en-US"/>
              </w:rPr>
              <w:t>PHAC, established in 2004 following the SARS epidemic. One of its mandates is to respond to public health emergencies, including infectious diseases.</w:t>
            </w:r>
          </w:p>
        </w:tc>
        <w:tc>
          <w:tcPr>
            <w:tcW w:w="2880" w:type="dxa"/>
            <w:tcBorders>
              <w:top w:val="single" w:sz="4" w:space="0" w:color="auto"/>
              <w:bottom w:val="nil"/>
            </w:tcBorders>
            <w:hideMark/>
          </w:tcPr>
          <w:p w14:paraId="44FF1FC5" w14:textId="77777777" w:rsidR="00BA21BF" w:rsidRPr="00BA7825" w:rsidRDefault="00BA21BF" w:rsidP="00102E75">
            <w:pPr>
              <w:spacing w:line="256" w:lineRule="auto"/>
              <w:textAlignment w:val="baseline"/>
              <w:rPr>
                <w:color w:val="000000" w:themeColor="text1"/>
                <w:sz w:val="22"/>
                <w:szCs w:val="22"/>
                <w:lang w:val="en-US"/>
              </w:rPr>
            </w:pPr>
            <w:r w:rsidRPr="00BA7825">
              <w:rPr>
                <w:color w:val="000000" w:themeColor="text1"/>
                <w:sz w:val="22"/>
                <w:szCs w:val="22"/>
                <w:lang w:val="en-US"/>
              </w:rPr>
              <w:t>Overseen by the Provincial Health Officer and Ministry of Health (MOH). Shared responsibility between the Provincial Health Services Authority (PHSA), five Regional Health Authorities (RHAs) and First Nations Health Authority.</w:t>
            </w:r>
          </w:p>
          <w:p w14:paraId="0A72B1C5" w14:textId="77777777" w:rsidR="00BA21BF" w:rsidRPr="00BA7825" w:rsidRDefault="00BA21BF" w:rsidP="00102E75">
            <w:pPr>
              <w:spacing w:line="256" w:lineRule="auto"/>
              <w:textAlignment w:val="baseline"/>
              <w:rPr>
                <w:color w:val="000000" w:themeColor="text1"/>
                <w:sz w:val="22"/>
                <w:szCs w:val="22"/>
                <w:lang w:val="en-US"/>
              </w:rPr>
            </w:pPr>
            <w:r w:rsidRPr="00BA7825">
              <w:rPr>
                <w:color w:val="000000" w:themeColor="text1"/>
                <w:sz w:val="22"/>
                <w:szCs w:val="22"/>
                <w:lang w:val="en-US"/>
              </w:rPr>
              <w:t>The BC Centre for Disease Control (BCCDC) manages public health programs and the BCCDC Public Health Laboratory. </w:t>
            </w:r>
          </w:p>
        </w:tc>
        <w:tc>
          <w:tcPr>
            <w:tcW w:w="2880" w:type="dxa"/>
            <w:tcBorders>
              <w:top w:val="single" w:sz="4" w:space="0" w:color="auto"/>
              <w:bottom w:val="nil"/>
            </w:tcBorders>
            <w:hideMark/>
          </w:tcPr>
          <w:p w14:paraId="6D1A86F0" w14:textId="77777777" w:rsidR="00BA21BF" w:rsidRPr="00BA7825" w:rsidRDefault="00BA21BF" w:rsidP="00102E75">
            <w:pPr>
              <w:spacing w:line="256" w:lineRule="auto"/>
              <w:textAlignment w:val="baseline"/>
              <w:rPr>
                <w:color w:val="000000" w:themeColor="text1"/>
                <w:sz w:val="22"/>
                <w:szCs w:val="22"/>
                <w:lang w:val="en-US"/>
              </w:rPr>
            </w:pPr>
            <w:r w:rsidRPr="00BA7825">
              <w:rPr>
                <w:color w:val="000000" w:themeColor="text1"/>
                <w:sz w:val="22"/>
                <w:szCs w:val="22"/>
                <w:lang w:val="en-US"/>
              </w:rPr>
              <w:t>Overseen by the MOH and Chief Medical Officer of Health (CMOH). </w:t>
            </w:r>
          </w:p>
          <w:p w14:paraId="2DB7A41E" w14:textId="77777777" w:rsidR="00BA21BF" w:rsidRPr="00BA7825" w:rsidRDefault="00BA21BF" w:rsidP="00102E75">
            <w:pPr>
              <w:spacing w:line="256" w:lineRule="auto"/>
              <w:textAlignment w:val="baseline"/>
              <w:rPr>
                <w:color w:val="000000" w:themeColor="text1"/>
                <w:sz w:val="22"/>
                <w:szCs w:val="22"/>
                <w:lang w:val="en-US"/>
              </w:rPr>
            </w:pPr>
            <w:r w:rsidRPr="00BA7825">
              <w:rPr>
                <w:color w:val="000000" w:themeColor="text1"/>
                <w:sz w:val="22"/>
                <w:szCs w:val="22"/>
                <w:lang w:val="en-US"/>
              </w:rPr>
              <w:t>Public Health Ontario (PHO), established in 2008 following Toronto’s 2003 SARS outbreak, is responsible for coordinating the efforts of 34 public health units (PHUs) and the provincial laboratory services (PHO Laboratories, PHOL). </w:t>
            </w:r>
          </w:p>
        </w:tc>
        <w:tc>
          <w:tcPr>
            <w:tcW w:w="2880" w:type="dxa"/>
            <w:tcBorders>
              <w:top w:val="single" w:sz="4" w:space="0" w:color="auto"/>
              <w:bottom w:val="nil"/>
            </w:tcBorders>
            <w:hideMark/>
          </w:tcPr>
          <w:p w14:paraId="791FE158" w14:textId="77777777" w:rsidR="00BA21BF" w:rsidRPr="00BA7825" w:rsidRDefault="00BA21BF" w:rsidP="00102E75">
            <w:pPr>
              <w:spacing w:line="256" w:lineRule="auto"/>
              <w:textAlignment w:val="baseline"/>
              <w:rPr>
                <w:color w:val="000000" w:themeColor="text1"/>
                <w:sz w:val="22"/>
                <w:szCs w:val="22"/>
                <w:lang w:val="en-US"/>
              </w:rPr>
            </w:pPr>
            <w:r w:rsidRPr="00BA7825">
              <w:rPr>
                <w:color w:val="000000" w:themeColor="text1"/>
                <w:sz w:val="22"/>
                <w:szCs w:val="22"/>
                <w:lang w:val="en-US"/>
              </w:rPr>
              <w:t xml:space="preserve">Overseen by the National Public Health Director/ Assistant Deputy Minister of Public Health. The 18 RHAs are overseen by the Ministry of Health and Social Services, </w:t>
            </w:r>
            <w:proofErr w:type="spellStart"/>
            <w:r w:rsidRPr="00BA7825">
              <w:rPr>
                <w:color w:val="000000" w:themeColor="text1"/>
                <w:sz w:val="22"/>
                <w:szCs w:val="22"/>
                <w:lang w:val="en-US"/>
              </w:rPr>
              <w:t>Ministère</w:t>
            </w:r>
            <w:proofErr w:type="spellEnd"/>
            <w:r w:rsidRPr="00BA7825">
              <w:rPr>
                <w:color w:val="000000" w:themeColor="text1"/>
                <w:sz w:val="22"/>
                <w:szCs w:val="22"/>
                <w:lang w:val="en-US"/>
              </w:rPr>
              <w:t xml:space="preserve"> de la </w:t>
            </w:r>
            <w:proofErr w:type="spellStart"/>
            <w:r w:rsidRPr="00BA7825">
              <w:rPr>
                <w:color w:val="000000" w:themeColor="text1"/>
                <w:sz w:val="22"/>
                <w:szCs w:val="22"/>
                <w:lang w:val="en-US"/>
              </w:rPr>
              <w:t>Santé</w:t>
            </w:r>
            <w:proofErr w:type="spellEnd"/>
            <w:r w:rsidRPr="00BA7825">
              <w:rPr>
                <w:color w:val="000000" w:themeColor="text1"/>
                <w:sz w:val="22"/>
                <w:szCs w:val="22"/>
                <w:lang w:val="en-US"/>
              </w:rPr>
              <w:t xml:space="preserve"> et des Services </w:t>
            </w:r>
            <w:proofErr w:type="spellStart"/>
            <w:r w:rsidRPr="00BA7825">
              <w:rPr>
                <w:color w:val="000000" w:themeColor="text1"/>
                <w:sz w:val="22"/>
                <w:szCs w:val="22"/>
                <w:lang w:val="en-US"/>
              </w:rPr>
              <w:t>Sociaux</w:t>
            </w:r>
            <w:proofErr w:type="spellEnd"/>
            <w:r w:rsidRPr="00BA7825">
              <w:rPr>
                <w:color w:val="000000" w:themeColor="text1"/>
                <w:sz w:val="22"/>
                <w:szCs w:val="22"/>
                <w:lang w:val="en-US"/>
              </w:rPr>
              <w:t xml:space="preserve"> (MSSS).  </w:t>
            </w:r>
          </w:p>
          <w:p w14:paraId="5714F3FD" w14:textId="77777777" w:rsidR="00BA21BF" w:rsidRPr="00BA7825" w:rsidRDefault="00BA21BF" w:rsidP="00102E75">
            <w:pPr>
              <w:spacing w:line="256" w:lineRule="auto"/>
              <w:textAlignment w:val="baseline"/>
              <w:rPr>
                <w:color w:val="000000" w:themeColor="text1"/>
                <w:sz w:val="22"/>
                <w:szCs w:val="22"/>
                <w:lang w:val="en-US"/>
              </w:rPr>
            </w:pPr>
            <w:r w:rsidRPr="00BA7825">
              <w:rPr>
                <w:color w:val="000000" w:themeColor="text1"/>
                <w:sz w:val="22"/>
                <w:szCs w:val="22"/>
                <w:lang w:val="en-US"/>
              </w:rPr>
              <w:t xml:space="preserve">The National Institute of Public Health, </w:t>
            </w:r>
            <w:proofErr w:type="spellStart"/>
            <w:r w:rsidRPr="00BA7825">
              <w:rPr>
                <w:color w:val="000000" w:themeColor="text1"/>
                <w:sz w:val="22"/>
                <w:szCs w:val="22"/>
                <w:lang w:val="en-US"/>
              </w:rPr>
              <w:t>Institut</w:t>
            </w:r>
            <w:proofErr w:type="spellEnd"/>
            <w:r w:rsidRPr="00BA7825">
              <w:rPr>
                <w:color w:val="000000" w:themeColor="text1"/>
                <w:sz w:val="22"/>
                <w:szCs w:val="22"/>
                <w:lang w:val="en-US"/>
              </w:rPr>
              <w:t xml:space="preserve"> </w:t>
            </w:r>
            <w:proofErr w:type="spellStart"/>
            <w:r w:rsidRPr="00BA7825">
              <w:rPr>
                <w:color w:val="000000" w:themeColor="text1"/>
                <w:sz w:val="22"/>
                <w:szCs w:val="22"/>
                <w:lang w:val="en-US"/>
              </w:rPr>
              <w:t>Nationald</w:t>
            </w:r>
            <w:proofErr w:type="spellEnd"/>
            <w:r w:rsidRPr="00BA7825">
              <w:rPr>
                <w:color w:val="000000" w:themeColor="text1"/>
                <w:sz w:val="22"/>
                <w:szCs w:val="22"/>
                <w:lang w:val="en-US"/>
              </w:rPr>
              <w:t xml:space="preserve"> de </w:t>
            </w:r>
            <w:proofErr w:type="spellStart"/>
            <w:r w:rsidRPr="00BA7825">
              <w:rPr>
                <w:color w:val="000000" w:themeColor="text1"/>
                <w:sz w:val="22"/>
                <w:szCs w:val="22"/>
                <w:lang w:val="en-US"/>
              </w:rPr>
              <w:t>Santé</w:t>
            </w:r>
            <w:proofErr w:type="spellEnd"/>
            <w:r w:rsidRPr="00BA7825">
              <w:rPr>
                <w:color w:val="000000" w:themeColor="text1"/>
                <w:sz w:val="22"/>
                <w:szCs w:val="22"/>
                <w:lang w:val="en-US"/>
              </w:rPr>
              <w:t xml:space="preserve"> </w:t>
            </w:r>
            <w:proofErr w:type="spellStart"/>
            <w:r w:rsidRPr="00BA7825">
              <w:rPr>
                <w:color w:val="000000" w:themeColor="text1"/>
                <w:sz w:val="22"/>
                <w:szCs w:val="22"/>
                <w:lang w:val="en-US"/>
              </w:rPr>
              <w:t>Publique</w:t>
            </w:r>
            <w:proofErr w:type="spellEnd"/>
            <w:r w:rsidRPr="00BA7825">
              <w:rPr>
                <w:color w:val="000000" w:themeColor="text1"/>
                <w:sz w:val="22"/>
                <w:szCs w:val="22"/>
                <w:lang w:val="en-US"/>
              </w:rPr>
              <w:t xml:space="preserve"> du Québec (INSPQ), centralizes several public health activities, including laboratory services. </w:t>
            </w:r>
          </w:p>
        </w:tc>
      </w:tr>
      <w:tr w:rsidR="00BA21BF" w:rsidRPr="00BA7825" w14:paraId="76D193B1" w14:textId="77777777" w:rsidTr="005841F8">
        <w:trPr>
          <w:trHeight w:val="144"/>
        </w:trPr>
        <w:tc>
          <w:tcPr>
            <w:tcW w:w="13512" w:type="dxa"/>
            <w:gridSpan w:val="5"/>
            <w:tcBorders>
              <w:top w:val="nil"/>
              <w:bottom w:val="single" w:sz="4" w:space="0" w:color="auto"/>
            </w:tcBorders>
            <w:hideMark/>
          </w:tcPr>
          <w:p w14:paraId="2B3DA437" w14:textId="77777777" w:rsidR="00BA21BF" w:rsidRPr="00BA7825" w:rsidRDefault="00BA21BF" w:rsidP="00F7641E">
            <w:pPr>
              <w:spacing w:line="256" w:lineRule="auto"/>
              <w:textAlignment w:val="baseline"/>
              <w:rPr>
                <w:b/>
                <w:bCs/>
                <w:color w:val="000000" w:themeColor="text1"/>
                <w:sz w:val="22"/>
                <w:szCs w:val="22"/>
                <w:lang w:val="en-US"/>
              </w:rPr>
            </w:pPr>
            <w:r w:rsidRPr="00BA7825">
              <w:rPr>
                <w:b/>
                <w:bCs/>
                <w:color w:val="000000" w:themeColor="text1"/>
                <w:sz w:val="22"/>
                <w:szCs w:val="22"/>
                <w:lang w:val="en-US"/>
              </w:rPr>
              <w:t>PANDEMIC RESPONSE INSTITUTIONS</w:t>
            </w:r>
          </w:p>
        </w:tc>
      </w:tr>
      <w:tr w:rsidR="00BA21BF" w:rsidRPr="00BA7825" w14:paraId="6DE7BE04" w14:textId="77777777" w:rsidTr="005841F8">
        <w:trPr>
          <w:trHeight w:val="144"/>
        </w:trPr>
        <w:tc>
          <w:tcPr>
            <w:tcW w:w="1972" w:type="dxa"/>
            <w:tcBorders>
              <w:top w:val="single" w:sz="4" w:space="0" w:color="auto"/>
            </w:tcBorders>
            <w:hideMark/>
          </w:tcPr>
          <w:p w14:paraId="611BD29A"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Existing pandemic response plan, date </w:t>
            </w:r>
          </w:p>
        </w:tc>
        <w:tc>
          <w:tcPr>
            <w:tcW w:w="2900" w:type="dxa"/>
            <w:tcBorders>
              <w:top w:val="single" w:sz="4" w:space="0" w:color="auto"/>
            </w:tcBorders>
            <w:hideMark/>
          </w:tcPr>
          <w:p w14:paraId="036B4DF8"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Canadian Pandemic Influenza Preparedness: Planning Guidance for the Health Sector, August 2018</w:t>
            </w:r>
          </w:p>
        </w:tc>
        <w:tc>
          <w:tcPr>
            <w:tcW w:w="2880" w:type="dxa"/>
            <w:tcBorders>
              <w:top w:val="single" w:sz="4" w:space="0" w:color="auto"/>
            </w:tcBorders>
            <w:hideMark/>
          </w:tcPr>
          <w:p w14:paraId="469AC569" w14:textId="77777777" w:rsidR="00BA21BF" w:rsidRPr="00BA7825" w:rsidRDefault="00BA21BF" w:rsidP="00102E75">
            <w:pPr>
              <w:spacing w:line="256" w:lineRule="auto"/>
              <w:textAlignment w:val="baseline"/>
              <w:rPr>
                <w:color w:val="000000" w:themeColor="text1"/>
                <w:sz w:val="22"/>
                <w:szCs w:val="22"/>
                <w:lang w:val="en-US"/>
              </w:rPr>
            </w:pPr>
            <w:r w:rsidRPr="00BA7825">
              <w:rPr>
                <w:color w:val="000000" w:themeColor="text1"/>
                <w:sz w:val="22"/>
                <w:szCs w:val="22"/>
                <w:lang w:val="en-US"/>
              </w:rPr>
              <w:t>BC’s Pandemic Influenza Plan, February 2020. </w:t>
            </w:r>
          </w:p>
        </w:tc>
        <w:tc>
          <w:tcPr>
            <w:tcW w:w="2880" w:type="dxa"/>
            <w:tcBorders>
              <w:top w:val="single" w:sz="4" w:space="0" w:color="auto"/>
            </w:tcBorders>
            <w:hideMark/>
          </w:tcPr>
          <w:p w14:paraId="3A942E54"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Ontario Health Plan for an Influenza Pandemic, March 2013.  </w:t>
            </w:r>
          </w:p>
        </w:tc>
        <w:tc>
          <w:tcPr>
            <w:tcW w:w="2880" w:type="dxa"/>
            <w:tcBorders>
              <w:top w:val="single" w:sz="4" w:space="0" w:color="auto"/>
            </w:tcBorders>
            <w:hideMark/>
          </w:tcPr>
          <w:p w14:paraId="61C2168B"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The Québec Pandemic Influenza Plan-Health Mission, March 2006.  </w:t>
            </w:r>
          </w:p>
        </w:tc>
      </w:tr>
      <w:tr w:rsidR="00BA21BF" w:rsidRPr="00BA7825" w14:paraId="3BD5E00A" w14:textId="77777777" w:rsidTr="005841F8">
        <w:trPr>
          <w:trHeight w:val="144"/>
        </w:trPr>
        <w:tc>
          <w:tcPr>
            <w:tcW w:w="1972" w:type="dxa"/>
            <w:hideMark/>
          </w:tcPr>
          <w:p w14:paraId="6E719264"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COVID-19 Leadership </w:t>
            </w:r>
          </w:p>
        </w:tc>
        <w:tc>
          <w:tcPr>
            <w:tcW w:w="2900" w:type="dxa"/>
            <w:hideMark/>
          </w:tcPr>
          <w:p w14:paraId="1609F8BF"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 xml:space="preserve">Unknown, other than the CPHO and Prime Minister </w:t>
            </w:r>
          </w:p>
        </w:tc>
        <w:tc>
          <w:tcPr>
            <w:tcW w:w="2880" w:type="dxa"/>
            <w:hideMark/>
          </w:tcPr>
          <w:p w14:paraId="179878F4"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Provincial COVID-19 Task Force </w:t>
            </w:r>
          </w:p>
        </w:tc>
        <w:tc>
          <w:tcPr>
            <w:tcW w:w="2880" w:type="dxa"/>
            <w:hideMark/>
          </w:tcPr>
          <w:p w14:paraId="4F64D9A5"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COVID-19 Command Table</w:t>
            </w:r>
          </w:p>
        </w:tc>
        <w:tc>
          <w:tcPr>
            <w:tcW w:w="2880" w:type="dxa"/>
            <w:hideMark/>
          </w:tcPr>
          <w:p w14:paraId="6AFE60D6"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Unknown, other than Premier Legault  </w:t>
            </w:r>
          </w:p>
        </w:tc>
      </w:tr>
      <w:tr w:rsidR="00BA21BF" w:rsidRPr="00BA7825" w14:paraId="7AA6E3F6" w14:textId="77777777" w:rsidTr="005841F8">
        <w:trPr>
          <w:trHeight w:val="144"/>
        </w:trPr>
        <w:tc>
          <w:tcPr>
            <w:tcW w:w="1972" w:type="dxa"/>
            <w:hideMark/>
          </w:tcPr>
          <w:p w14:paraId="1700A17F"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Other task force(s) </w:t>
            </w:r>
          </w:p>
        </w:tc>
        <w:tc>
          <w:tcPr>
            <w:tcW w:w="2900" w:type="dxa"/>
            <w:hideMark/>
          </w:tcPr>
          <w:p w14:paraId="0E405204"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 xml:space="preserve">Special Advisory Committee (SAC); Technical Advisory Committee (TAC); and the </w:t>
            </w:r>
            <w:r w:rsidRPr="00BA7825">
              <w:rPr>
                <w:color w:val="000000" w:themeColor="text1"/>
                <w:sz w:val="22"/>
                <w:szCs w:val="22"/>
                <w:lang w:val="en-US"/>
              </w:rPr>
              <w:lastRenderedPageBreak/>
              <w:t>COVID-19 Immunity Task Force</w:t>
            </w:r>
          </w:p>
        </w:tc>
        <w:tc>
          <w:tcPr>
            <w:tcW w:w="2880" w:type="dxa"/>
            <w:hideMark/>
          </w:tcPr>
          <w:p w14:paraId="549724DD"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 xml:space="preserve">Yes, a provincial economic task force exists (Economic Recovery Task Force), the Provincial Emergency </w:t>
            </w:r>
            <w:r w:rsidRPr="00BA7825">
              <w:rPr>
                <w:color w:val="000000" w:themeColor="text1"/>
                <w:sz w:val="22"/>
                <w:szCs w:val="22"/>
                <w:lang w:val="en-US"/>
              </w:rPr>
              <w:lastRenderedPageBreak/>
              <w:t>Management Office, and multiple topic- and geography-specific task forces. </w:t>
            </w:r>
          </w:p>
        </w:tc>
        <w:tc>
          <w:tcPr>
            <w:tcW w:w="2880" w:type="dxa"/>
            <w:hideMark/>
          </w:tcPr>
          <w:p w14:paraId="456E2214"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 xml:space="preserve">Yes, a “Collaboration Table” exists, with representatives from multiple ministries, as well as specific sub-tables and topic- </w:t>
            </w:r>
            <w:r w:rsidRPr="00BA7825">
              <w:rPr>
                <w:color w:val="000000" w:themeColor="text1"/>
                <w:sz w:val="22"/>
                <w:szCs w:val="22"/>
                <w:lang w:val="en-US"/>
              </w:rPr>
              <w:lastRenderedPageBreak/>
              <w:t>and geography-specific task forces. </w:t>
            </w:r>
          </w:p>
        </w:tc>
        <w:tc>
          <w:tcPr>
            <w:tcW w:w="2880" w:type="dxa"/>
            <w:hideMark/>
          </w:tcPr>
          <w:p w14:paraId="2D1E3368"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No evidence of any formal provincial command tables or task forces evident in the public sphere. </w:t>
            </w:r>
          </w:p>
        </w:tc>
      </w:tr>
    </w:tbl>
    <w:p w14:paraId="6F8443A2" w14:textId="30DDB767" w:rsidR="00BA21BF" w:rsidRPr="00BA7825" w:rsidRDefault="00595963" w:rsidP="00BA21BF">
      <w:pPr>
        <w:rPr>
          <w:color w:val="000000" w:themeColor="text1"/>
          <w:sz w:val="22"/>
          <w:szCs w:val="22"/>
          <w:shd w:val="clear" w:color="auto" w:fill="FFFFFF"/>
        </w:rPr>
      </w:pPr>
      <w:r w:rsidRPr="00BA7825">
        <w:rPr>
          <w:color w:val="000000" w:themeColor="text1"/>
          <w:sz w:val="22"/>
          <w:szCs w:val="22"/>
        </w:rPr>
        <w:lastRenderedPageBreak/>
        <w:t xml:space="preserve">Sources: </w:t>
      </w:r>
      <w:r w:rsidR="00BA21BF" w:rsidRPr="00BA7825">
        <w:rPr>
          <w:color w:val="000000" w:themeColor="text1"/>
          <w:sz w:val="22"/>
          <w:szCs w:val="22"/>
        </w:rPr>
        <w:t xml:space="preserve"> North American COVID-19 Policy Response Monitor. Available online: </w:t>
      </w:r>
      <w:hyperlink r:id="rId5" w:history="1">
        <w:r w:rsidR="00BA21BF" w:rsidRPr="00BA7825">
          <w:rPr>
            <w:rStyle w:val="Hyperlink"/>
            <w:sz w:val="22"/>
            <w:szCs w:val="22"/>
          </w:rPr>
          <w:t>https://ihpme.utoronto.ca/research/research-centres-initiatives/nao/covid19/</w:t>
        </w:r>
      </w:hyperlink>
      <w:r w:rsidR="00BA21BF" w:rsidRPr="00BA7825">
        <w:rPr>
          <w:color w:val="000000" w:themeColor="text1"/>
          <w:sz w:val="22"/>
          <w:szCs w:val="22"/>
        </w:rPr>
        <w:t xml:space="preserve"> Accessed: Nov 20, 2020</w:t>
      </w:r>
      <w:r w:rsidRPr="00BA7825">
        <w:rPr>
          <w:color w:val="000000" w:themeColor="text1"/>
          <w:sz w:val="22"/>
          <w:szCs w:val="22"/>
        </w:rPr>
        <w:t xml:space="preserve">; </w:t>
      </w:r>
      <w:r w:rsidR="00BA21BF" w:rsidRPr="00BA7825">
        <w:rPr>
          <w:color w:val="000000" w:themeColor="text1"/>
          <w:sz w:val="22"/>
          <w:szCs w:val="22"/>
        </w:rPr>
        <w:t xml:space="preserve">Statistics Canada (2020). Population and demography statistics. Available online: </w:t>
      </w:r>
      <w:hyperlink r:id="rId6" w:history="1">
        <w:r w:rsidR="00BA21BF" w:rsidRPr="00BA7825">
          <w:rPr>
            <w:rStyle w:val="Hyperlink"/>
            <w:sz w:val="22"/>
            <w:szCs w:val="22"/>
          </w:rPr>
          <w:t>www.statcan.gc.ca/eng/subjects-start/population_and_demography</w:t>
        </w:r>
      </w:hyperlink>
      <w:r w:rsidR="00BA21BF" w:rsidRPr="00BA7825">
        <w:rPr>
          <w:color w:val="000000" w:themeColor="text1"/>
          <w:sz w:val="22"/>
          <w:szCs w:val="22"/>
        </w:rPr>
        <w:t xml:space="preserve"> Accessed: Nov 20, 2020</w:t>
      </w:r>
      <w:r w:rsidR="00BA21BF" w:rsidRPr="00BA7825">
        <w:rPr>
          <w:color w:val="000000" w:themeColor="text1"/>
          <w:sz w:val="22"/>
          <w:szCs w:val="22"/>
          <w:shd w:val="clear" w:color="auto" w:fill="FFFFFF"/>
        </w:rPr>
        <w:br w:type="page"/>
      </w:r>
    </w:p>
    <w:p w14:paraId="40239404" w14:textId="6C2DEB8B" w:rsidR="00BA21BF" w:rsidRPr="00BA7825" w:rsidRDefault="00BA21BF" w:rsidP="00BA21BF">
      <w:pPr>
        <w:textAlignment w:val="baseline"/>
        <w:rPr>
          <w:color w:val="000000" w:themeColor="text1"/>
          <w:sz w:val="22"/>
          <w:szCs w:val="22"/>
        </w:rPr>
      </w:pPr>
      <w:r w:rsidRPr="00BA7825">
        <w:rPr>
          <w:b/>
          <w:bCs/>
          <w:color w:val="000000" w:themeColor="text1"/>
          <w:sz w:val="22"/>
          <w:szCs w:val="22"/>
        </w:rPr>
        <w:lastRenderedPageBreak/>
        <w:t>Table 2.</w:t>
      </w:r>
      <w:r w:rsidRPr="00BA7825">
        <w:rPr>
          <w:color w:val="000000" w:themeColor="text1"/>
          <w:sz w:val="22"/>
          <w:szCs w:val="22"/>
        </w:rPr>
        <w:t> Overview of relevant public health measures taken in Canada, BC, Ontario, and Quebec</w:t>
      </w:r>
    </w:p>
    <w:tbl>
      <w:tblPr>
        <w:tblW w:w="1368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062"/>
        <w:gridCol w:w="2970"/>
        <w:gridCol w:w="2880"/>
        <w:gridCol w:w="26"/>
        <w:gridCol w:w="2764"/>
        <w:gridCol w:w="2978"/>
      </w:tblGrid>
      <w:tr w:rsidR="00BA21BF" w:rsidRPr="00BA7825" w14:paraId="6ECEEFDC" w14:textId="77777777" w:rsidTr="00102E75">
        <w:tc>
          <w:tcPr>
            <w:tcW w:w="2062" w:type="dxa"/>
            <w:tcBorders>
              <w:top w:val="single" w:sz="4" w:space="0" w:color="auto"/>
              <w:bottom w:val="single" w:sz="4" w:space="0" w:color="auto"/>
            </w:tcBorders>
            <w:hideMark/>
          </w:tcPr>
          <w:p w14:paraId="2FF2222A" w14:textId="77777777" w:rsidR="00BA21BF" w:rsidRPr="00BA7825" w:rsidRDefault="00BA21BF" w:rsidP="00F7641E">
            <w:pPr>
              <w:spacing w:line="256" w:lineRule="auto"/>
              <w:textAlignment w:val="baseline"/>
              <w:rPr>
                <w:b/>
                <w:bCs/>
                <w:color w:val="000000" w:themeColor="text1"/>
                <w:sz w:val="22"/>
                <w:szCs w:val="22"/>
                <w:lang w:val="en-US"/>
              </w:rPr>
            </w:pPr>
            <w:r w:rsidRPr="00BA7825">
              <w:rPr>
                <w:b/>
                <w:bCs/>
                <w:color w:val="000000" w:themeColor="text1"/>
                <w:sz w:val="22"/>
                <w:szCs w:val="22"/>
                <w:lang w:val="en-US"/>
              </w:rPr>
              <w:t> Characteristic</w:t>
            </w:r>
          </w:p>
        </w:tc>
        <w:tc>
          <w:tcPr>
            <w:tcW w:w="2970" w:type="dxa"/>
            <w:tcBorders>
              <w:top w:val="single" w:sz="4" w:space="0" w:color="auto"/>
              <w:bottom w:val="single" w:sz="4" w:space="0" w:color="auto"/>
            </w:tcBorders>
            <w:hideMark/>
          </w:tcPr>
          <w:p w14:paraId="77156E63" w14:textId="77777777" w:rsidR="00BA21BF" w:rsidRPr="00BA7825" w:rsidRDefault="00BA21BF" w:rsidP="00F7641E">
            <w:pPr>
              <w:spacing w:line="256" w:lineRule="auto"/>
              <w:textAlignment w:val="baseline"/>
              <w:rPr>
                <w:b/>
                <w:bCs/>
                <w:color w:val="000000" w:themeColor="text1"/>
                <w:sz w:val="22"/>
                <w:szCs w:val="22"/>
                <w:lang w:val="en-US"/>
              </w:rPr>
            </w:pPr>
            <w:r w:rsidRPr="00BA7825">
              <w:rPr>
                <w:b/>
                <w:bCs/>
                <w:color w:val="000000" w:themeColor="text1"/>
                <w:sz w:val="22"/>
                <w:szCs w:val="22"/>
                <w:lang w:val="en-US"/>
              </w:rPr>
              <w:t>Canada</w:t>
            </w:r>
          </w:p>
        </w:tc>
        <w:tc>
          <w:tcPr>
            <w:tcW w:w="2906" w:type="dxa"/>
            <w:gridSpan w:val="2"/>
            <w:tcBorders>
              <w:top w:val="single" w:sz="4" w:space="0" w:color="auto"/>
              <w:bottom w:val="single" w:sz="4" w:space="0" w:color="auto"/>
            </w:tcBorders>
            <w:hideMark/>
          </w:tcPr>
          <w:p w14:paraId="0C38B099" w14:textId="77777777" w:rsidR="00BA21BF" w:rsidRPr="00BA7825" w:rsidRDefault="00BA21BF" w:rsidP="00F7641E">
            <w:pPr>
              <w:spacing w:line="256" w:lineRule="auto"/>
              <w:textAlignment w:val="baseline"/>
              <w:rPr>
                <w:b/>
                <w:bCs/>
                <w:color w:val="000000" w:themeColor="text1"/>
                <w:sz w:val="22"/>
                <w:szCs w:val="22"/>
                <w:lang w:val="en-US"/>
              </w:rPr>
            </w:pPr>
            <w:r w:rsidRPr="00BA7825">
              <w:rPr>
                <w:b/>
                <w:bCs/>
                <w:color w:val="000000" w:themeColor="text1"/>
                <w:sz w:val="22"/>
                <w:szCs w:val="22"/>
                <w:lang w:val="en-US"/>
              </w:rPr>
              <w:t>British Columbia </w:t>
            </w:r>
          </w:p>
        </w:tc>
        <w:tc>
          <w:tcPr>
            <w:tcW w:w="2764" w:type="dxa"/>
            <w:tcBorders>
              <w:top w:val="single" w:sz="4" w:space="0" w:color="auto"/>
              <w:bottom w:val="single" w:sz="4" w:space="0" w:color="auto"/>
            </w:tcBorders>
            <w:hideMark/>
          </w:tcPr>
          <w:p w14:paraId="75DB8EF5" w14:textId="77777777" w:rsidR="00BA21BF" w:rsidRPr="00BA7825" w:rsidRDefault="00BA21BF" w:rsidP="00F7641E">
            <w:pPr>
              <w:spacing w:line="256" w:lineRule="auto"/>
              <w:textAlignment w:val="baseline"/>
              <w:rPr>
                <w:b/>
                <w:bCs/>
                <w:color w:val="000000" w:themeColor="text1"/>
                <w:sz w:val="22"/>
                <w:szCs w:val="22"/>
                <w:lang w:val="en-US"/>
              </w:rPr>
            </w:pPr>
            <w:r w:rsidRPr="00BA7825">
              <w:rPr>
                <w:b/>
                <w:bCs/>
                <w:color w:val="000000" w:themeColor="text1"/>
                <w:sz w:val="22"/>
                <w:szCs w:val="22"/>
                <w:lang w:val="en-US"/>
              </w:rPr>
              <w:t>Ontario </w:t>
            </w:r>
          </w:p>
        </w:tc>
        <w:tc>
          <w:tcPr>
            <w:tcW w:w="2978" w:type="dxa"/>
            <w:tcBorders>
              <w:top w:val="single" w:sz="4" w:space="0" w:color="auto"/>
              <w:bottom w:val="single" w:sz="4" w:space="0" w:color="auto"/>
            </w:tcBorders>
            <w:hideMark/>
          </w:tcPr>
          <w:p w14:paraId="030841BF" w14:textId="77777777" w:rsidR="00BA21BF" w:rsidRPr="00BA7825" w:rsidRDefault="00BA21BF" w:rsidP="00F7641E">
            <w:pPr>
              <w:spacing w:line="256" w:lineRule="auto"/>
              <w:textAlignment w:val="baseline"/>
              <w:rPr>
                <w:b/>
                <w:bCs/>
                <w:color w:val="000000" w:themeColor="text1"/>
                <w:sz w:val="22"/>
                <w:szCs w:val="22"/>
                <w:lang w:val="en-US"/>
              </w:rPr>
            </w:pPr>
            <w:r w:rsidRPr="00BA7825">
              <w:rPr>
                <w:b/>
                <w:bCs/>
                <w:color w:val="000000" w:themeColor="text1"/>
                <w:sz w:val="22"/>
                <w:szCs w:val="22"/>
                <w:lang w:val="en-US"/>
              </w:rPr>
              <w:t>Quebec </w:t>
            </w:r>
          </w:p>
        </w:tc>
      </w:tr>
      <w:tr w:rsidR="00BA21BF" w:rsidRPr="00BA7825" w14:paraId="5440227A" w14:textId="77777777" w:rsidTr="00102E75">
        <w:tc>
          <w:tcPr>
            <w:tcW w:w="2062" w:type="dxa"/>
            <w:tcBorders>
              <w:top w:val="single" w:sz="4" w:space="0" w:color="auto"/>
            </w:tcBorders>
            <w:hideMark/>
          </w:tcPr>
          <w:p w14:paraId="13D4C2F6"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Date first confirmed case identified </w:t>
            </w:r>
          </w:p>
        </w:tc>
        <w:tc>
          <w:tcPr>
            <w:tcW w:w="2970" w:type="dxa"/>
            <w:tcBorders>
              <w:top w:val="single" w:sz="4" w:space="0" w:color="auto"/>
            </w:tcBorders>
            <w:hideMark/>
          </w:tcPr>
          <w:p w14:paraId="64482178"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January 25, 2020</w:t>
            </w:r>
          </w:p>
        </w:tc>
        <w:tc>
          <w:tcPr>
            <w:tcW w:w="2906" w:type="dxa"/>
            <w:gridSpan w:val="2"/>
            <w:tcBorders>
              <w:top w:val="single" w:sz="4" w:space="0" w:color="auto"/>
            </w:tcBorders>
            <w:hideMark/>
          </w:tcPr>
          <w:p w14:paraId="3E38EB16"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January 28, 2020 </w:t>
            </w:r>
          </w:p>
        </w:tc>
        <w:tc>
          <w:tcPr>
            <w:tcW w:w="2764" w:type="dxa"/>
            <w:tcBorders>
              <w:top w:val="single" w:sz="4" w:space="0" w:color="auto"/>
            </w:tcBorders>
            <w:hideMark/>
          </w:tcPr>
          <w:p w14:paraId="289F7373"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January 25, 2020 </w:t>
            </w:r>
          </w:p>
        </w:tc>
        <w:tc>
          <w:tcPr>
            <w:tcW w:w="2978" w:type="dxa"/>
            <w:tcBorders>
              <w:top w:val="single" w:sz="4" w:space="0" w:color="auto"/>
            </w:tcBorders>
            <w:hideMark/>
          </w:tcPr>
          <w:p w14:paraId="081CCF0F"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February 28, 2020 </w:t>
            </w:r>
          </w:p>
        </w:tc>
      </w:tr>
      <w:tr w:rsidR="00BA21BF" w:rsidRPr="00BA7825" w14:paraId="53DA9937" w14:textId="77777777" w:rsidTr="005841F8">
        <w:tc>
          <w:tcPr>
            <w:tcW w:w="2062" w:type="dxa"/>
            <w:hideMark/>
          </w:tcPr>
          <w:p w14:paraId="3B778CB8"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State of emergency </w:t>
            </w:r>
          </w:p>
        </w:tc>
        <w:tc>
          <w:tcPr>
            <w:tcW w:w="2970" w:type="dxa"/>
            <w:hideMark/>
          </w:tcPr>
          <w:p w14:paraId="745E45FC"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Not yet declared</w:t>
            </w:r>
          </w:p>
        </w:tc>
        <w:tc>
          <w:tcPr>
            <w:tcW w:w="2880" w:type="dxa"/>
            <w:hideMark/>
          </w:tcPr>
          <w:p w14:paraId="5FAFB7E6"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First declared: March 17</w:t>
            </w:r>
          </w:p>
        </w:tc>
        <w:tc>
          <w:tcPr>
            <w:tcW w:w="2790" w:type="dxa"/>
            <w:gridSpan w:val="2"/>
            <w:hideMark/>
          </w:tcPr>
          <w:p w14:paraId="732EED5C"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First declared: March 17</w:t>
            </w:r>
          </w:p>
        </w:tc>
        <w:tc>
          <w:tcPr>
            <w:tcW w:w="2978" w:type="dxa"/>
            <w:hideMark/>
          </w:tcPr>
          <w:p w14:paraId="6A54D775"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First declared: March 13</w:t>
            </w:r>
          </w:p>
        </w:tc>
      </w:tr>
      <w:tr w:rsidR="00BA21BF" w:rsidRPr="00BA7825" w14:paraId="711B7215" w14:textId="77777777" w:rsidTr="005841F8">
        <w:tc>
          <w:tcPr>
            <w:tcW w:w="2062" w:type="dxa"/>
            <w:hideMark/>
          </w:tcPr>
          <w:p w14:paraId="0434BA89"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Initial bans on public gatherings  </w:t>
            </w:r>
          </w:p>
        </w:tc>
        <w:tc>
          <w:tcPr>
            <w:tcW w:w="2970" w:type="dxa"/>
            <w:hideMark/>
          </w:tcPr>
          <w:p w14:paraId="75E4CE4B" w14:textId="0938DAA1"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March 16: PHAC recommends gatherings &gt;50 people be cancelled</w:t>
            </w:r>
            <w:r w:rsidR="00153D99">
              <w:rPr>
                <w:color w:val="000000" w:themeColor="text1"/>
                <w:sz w:val="22"/>
                <w:szCs w:val="22"/>
                <w:lang w:val="en-US"/>
              </w:rPr>
              <w:t>.</w:t>
            </w:r>
          </w:p>
        </w:tc>
        <w:tc>
          <w:tcPr>
            <w:tcW w:w="2880" w:type="dxa"/>
            <w:hideMark/>
          </w:tcPr>
          <w:p w14:paraId="65CAF9BF"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March 12: &lt;250 people </w:t>
            </w:r>
          </w:p>
          <w:p w14:paraId="36DC00CF"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March 16: &lt;50 people </w:t>
            </w:r>
          </w:p>
        </w:tc>
        <w:tc>
          <w:tcPr>
            <w:tcW w:w="2790" w:type="dxa"/>
            <w:gridSpan w:val="2"/>
            <w:hideMark/>
          </w:tcPr>
          <w:p w14:paraId="3117D8AC"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March 13: &lt;250 people </w:t>
            </w:r>
          </w:p>
          <w:p w14:paraId="7ADFFF4B"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March 16: &lt;50 people </w:t>
            </w:r>
          </w:p>
          <w:p w14:paraId="7E51E504"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March 28: &lt;5 people </w:t>
            </w:r>
          </w:p>
        </w:tc>
        <w:tc>
          <w:tcPr>
            <w:tcW w:w="2978" w:type="dxa"/>
            <w:hideMark/>
          </w:tcPr>
          <w:p w14:paraId="26CBC590"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March 13: &lt;250 people </w:t>
            </w:r>
          </w:p>
          <w:p w14:paraId="7266E992"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 xml:space="preserve">March 22: all indoor and outdoor gatherings </w:t>
            </w:r>
          </w:p>
        </w:tc>
      </w:tr>
      <w:tr w:rsidR="00BA21BF" w:rsidRPr="00BA7825" w14:paraId="44395B38" w14:textId="77777777" w:rsidTr="005841F8">
        <w:tc>
          <w:tcPr>
            <w:tcW w:w="2062" w:type="dxa"/>
            <w:hideMark/>
          </w:tcPr>
          <w:p w14:paraId="44F48D22"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Domestic travel recommendations </w:t>
            </w:r>
          </w:p>
        </w:tc>
        <w:tc>
          <w:tcPr>
            <w:tcW w:w="2970" w:type="dxa"/>
            <w:hideMark/>
          </w:tcPr>
          <w:p w14:paraId="74D734C7"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No domestic travel bans implemented federally; however, international border restrictions, recommendations and precautions first introduced on January 25, 2020</w:t>
            </w:r>
          </w:p>
          <w:p w14:paraId="7F10B7EA"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April 20: Minister of Transport requires all air travelers to wear a non-medical face mask and mandatory pre-boarding health checks, including temperature screening</w:t>
            </w:r>
          </w:p>
          <w:p w14:paraId="3F6C9580"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June 3: above order expanded to include trains, ships and transit.</w:t>
            </w:r>
          </w:p>
        </w:tc>
        <w:tc>
          <w:tcPr>
            <w:tcW w:w="2880" w:type="dxa"/>
            <w:hideMark/>
          </w:tcPr>
          <w:p w14:paraId="43B03554"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March 2020: Only essential travel recommended, especially for rural communities </w:t>
            </w:r>
          </w:p>
          <w:p w14:paraId="59FAAB95"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 xml:space="preserve">Mid-March through Mid-April 2020: Alberta, Yukon </w:t>
            </w:r>
            <w:r w:rsidRPr="00BA7825">
              <w:rPr>
                <w:sz w:val="22"/>
                <w:szCs w:val="22"/>
                <w:lang w:val="en-US"/>
              </w:rPr>
              <w:t>and</w:t>
            </w:r>
            <w:r w:rsidRPr="00BA7825">
              <w:rPr>
                <w:color w:val="000000" w:themeColor="text1"/>
                <w:sz w:val="22"/>
                <w:szCs w:val="22"/>
                <w:lang w:val="en-US"/>
              </w:rPr>
              <w:t xml:space="preserve"> Northwest Territories </w:t>
            </w:r>
            <w:r w:rsidRPr="00BA7825">
              <w:rPr>
                <w:sz w:val="22"/>
                <w:szCs w:val="22"/>
                <w:lang w:val="en-US"/>
              </w:rPr>
              <w:t>borders</w:t>
            </w:r>
            <w:r w:rsidRPr="00BA7825">
              <w:rPr>
                <w:color w:val="000000" w:themeColor="text1"/>
                <w:sz w:val="22"/>
                <w:szCs w:val="22"/>
                <w:lang w:val="en-US"/>
              </w:rPr>
              <w:t xml:space="preserve"> closed to non-essential travel </w:t>
            </w:r>
          </w:p>
          <w:p w14:paraId="00956BB1"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Mid-March through Mid-April 2020: borders closed to several remote Indigenous communities </w:t>
            </w:r>
          </w:p>
        </w:tc>
        <w:tc>
          <w:tcPr>
            <w:tcW w:w="2790" w:type="dxa"/>
            <w:gridSpan w:val="2"/>
            <w:hideMark/>
          </w:tcPr>
          <w:p w14:paraId="7F5122BD"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No official policies </w:t>
            </w:r>
          </w:p>
          <w:p w14:paraId="66AEAAC3"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Late March through May: Residents asks to avoid non-essential travel to cottages (some regions took more active approaches to deter recreational travel, such as turning off utilities to seasonal properties) </w:t>
            </w:r>
          </w:p>
        </w:tc>
        <w:tc>
          <w:tcPr>
            <w:tcW w:w="2978" w:type="dxa"/>
            <w:hideMark/>
          </w:tcPr>
          <w:p w14:paraId="55D9FB31"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March 29: provincial border restrictions and checkpoints enforced, all residents asked to avoid non-essential inter-regional and -city travel </w:t>
            </w:r>
          </w:p>
          <w:p w14:paraId="26866669"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April 1: ban on non-essential travel into certain remote and/or Indigenous regions </w:t>
            </w:r>
          </w:p>
          <w:p w14:paraId="0D139B4C"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April 4: ban on non-essential travel into certain areas of Northern Quebec, enforced with policed checkpoints (e.g., 14 CAF patrols deployed to Nunavik) </w:t>
            </w:r>
          </w:p>
        </w:tc>
      </w:tr>
      <w:tr w:rsidR="00BA21BF" w:rsidRPr="00BA7825" w14:paraId="530D09FF" w14:textId="77777777" w:rsidTr="005841F8">
        <w:tc>
          <w:tcPr>
            <w:tcW w:w="2062" w:type="dxa"/>
            <w:hideMark/>
          </w:tcPr>
          <w:p w14:paraId="676D5E6A"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 xml:space="preserve">Travel advice given to the public prior </w:t>
            </w:r>
            <w:r w:rsidRPr="00BA7825">
              <w:rPr>
                <w:color w:val="000000" w:themeColor="text1"/>
                <w:sz w:val="22"/>
                <w:szCs w:val="22"/>
                <w:lang w:val="en-US"/>
              </w:rPr>
              <w:br/>
              <w:t>to March break  </w:t>
            </w:r>
          </w:p>
        </w:tc>
        <w:tc>
          <w:tcPr>
            <w:tcW w:w="2970" w:type="dxa"/>
            <w:hideMark/>
          </w:tcPr>
          <w:p w14:paraId="69CBF800"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Travelers should check with advisories and “think carefully” about their travel plans. Since February 9, travel on cruise ships has been discouraged. Since March 13, the federal government has recommended avoiding all non-essential travel, especially to high-risk areas.</w:t>
            </w:r>
          </w:p>
        </w:tc>
        <w:tc>
          <w:tcPr>
            <w:tcW w:w="2880" w:type="dxa"/>
            <w:hideMark/>
          </w:tcPr>
          <w:p w14:paraId="50F5FCA1"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CMOH warns of travel risks and discourages “all non-essential travel.” Anyone who travels abroad must stay home from work or school for 14 days upon their return to the province. </w:t>
            </w:r>
          </w:p>
        </w:tc>
        <w:tc>
          <w:tcPr>
            <w:tcW w:w="2790" w:type="dxa"/>
            <w:gridSpan w:val="2"/>
            <w:hideMark/>
          </w:tcPr>
          <w:p w14:paraId="07E98428"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Premier tells residents to “go away and have a good time”. No travel-related quarantine measures recommended by CMOH until March 16. </w:t>
            </w:r>
          </w:p>
        </w:tc>
        <w:tc>
          <w:tcPr>
            <w:tcW w:w="2978" w:type="dxa"/>
            <w:hideMark/>
          </w:tcPr>
          <w:p w14:paraId="247FB9F1"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Health authorities advised travelers to self-monitor and, if symptomatic, contact health authorities. Only travelers from Hubei, China and Iran were asked to quarantine; travelers from other locations asked to self-monitor. </w:t>
            </w:r>
          </w:p>
        </w:tc>
      </w:tr>
      <w:tr w:rsidR="00BA21BF" w:rsidRPr="00BA7825" w14:paraId="0DED1732" w14:textId="77777777" w:rsidTr="005841F8">
        <w:tc>
          <w:tcPr>
            <w:tcW w:w="2062" w:type="dxa"/>
            <w:hideMark/>
          </w:tcPr>
          <w:p w14:paraId="3645655D"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School closures </w:t>
            </w:r>
          </w:p>
        </w:tc>
        <w:tc>
          <w:tcPr>
            <w:tcW w:w="2970" w:type="dxa"/>
            <w:hideMark/>
          </w:tcPr>
          <w:p w14:paraId="1F4E5F94"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No guidance provided</w:t>
            </w:r>
          </w:p>
        </w:tc>
        <w:tc>
          <w:tcPr>
            <w:tcW w:w="2880" w:type="dxa"/>
            <w:hideMark/>
          </w:tcPr>
          <w:p w14:paraId="1CB56C7C"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March 17; i.e., during March break </w:t>
            </w:r>
          </w:p>
        </w:tc>
        <w:tc>
          <w:tcPr>
            <w:tcW w:w="2790" w:type="dxa"/>
            <w:gridSpan w:val="2"/>
            <w:hideMark/>
          </w:tcPr>
          <w:p w14:paraId="770FA1F7"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March 23; i.e., immediately after March break </w:t>
            </w:r>
          </w:p>
        </w:tc>
        <w:tc>
          <w:tcPr>
            <w:tcW w:w="2978" w:type="dxa"/>
            <w:hideMark/>
          </w:tcPr>
          <w:p w14:paraId="2DC58787"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March 13; i.e., one week after March break  </w:t>
            </w:r>
          </w:p>
        </w:tc>
      </w:tr>
      <w:tr w:rsidR="00BA21BF" w:rsidRPr="00BA7825" w14:paraId="14E5B367" w14:textId="77777777" w:rsidTr="005841F8">
        <w:tc>
          <w:tcPr>
            <w:tcW w:w="2062" w:type="dxa"/>
            <w:hideMark/>
          </w:tcPr>
          <w:p w14:paraId="5B9F81C6"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Definition of essential businesses </w:t>
            </w:r>
          </w:p>
        </w:tc>
        <w:tc>
          <w:tcPr>
            <w:tcW w:w="2970" w:type="dxa"/>
            <w:hideMark/>
          </w:tcPr>
          <w:p w14:paraId="11427401"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No guidance provided</w:t>
            </w:r>
          </w:p>
        </w:tc>
        <w:tc>
          <w:tcPr>
            <w:tcW w:w="2880" w:type="dxa"/>
            <w:hideMark/>
          </w:tcPr>
          <w:p w14:paraId="3D69137E"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“Daily services essential to preserving life, health, public safety and basic societal functioning.”  A detailed list was provided by provincial authorities.  </w:t>
            </w:r>
          </w:p>
        </w:tc>
        <w:tc>
          <w:tcPr>
            <w:tcW w:w="2790" w:type="dxa"/>
            <w:gridSpan w:val="2"/>
            <w:hideMark/>
          </w:tcPr>
          <w:p w14:paraId="031DAD68"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No specific definition, but the province provided a detailed list including supply chains, retail, accommodations, food services, transportation, communications, etc. </w:t>
            </w:r>
          </w:p>
        </w:tc>
        <w:tc>
          <w:tcPr>
            <w:tcW w:w="2978" w:type="dxa"/>
            <w:hideMark/>
          </w:tcPr>
          <w:p w14:paraId="24922016"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“Work environments providing the priority services” and supporting the “the minimum activity needed to ensure the future resumption of the activities of enterprises providing non-priority services, excluding commercial enterprises.” A detailed list was </w:t>
            </w:r>
            <w:proofErr w:type="gramStart"/>
            <w:r w:rsidRPr="00BA7825">
              <w:rPr>
                <w:color w:val="000000" w:themeColor="text1"/>
                <w:sz w:val="22"/>
                <w:szCs w:val="22"/>
                <w:lang w:val="en-US"/>
              </w:rPr>
              <w:t>provided .</w:t>
            </w:r>
            <w:proofErr w:type="gramEnd"/>
            <w:r w:rsidRPr="00BA7825">
              <w:rPr>
                <w:color w:val="000000" w:themeColor="text1"/>
                <w:sz w:val="22"/>
                <w:szCs w:val="22"/>
                <w:lang w:val="en-US"/>
              </w:rPr>
              <w:t> </w:t>
            </w:r>
          </w:p>
        </w:tc>
      </w:tr>
      <w:tr w:rsidR="00BA21BF" w:rsidRPr="00BA7825" w14:paraId="06AA9668" w14:textId="77777777" w:rsidTr="005841F8">
        <w:tc>
          <w:tcPr>
            <w:tcW w:w="2062" w:type="dxa"/>
            <w:hideMark/>
          </w:tcPr>
          <w:p w14:paraId="4B2044DE"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Closure of non-essential businesses </w:t>
            </w:r>
          </w:p>
        </w:tc>
        <w:tc>
          <w:tcPr>
            <w:tcW w:w="2970" w:type="dxa"/>
            <w:hideMark/>
          </w:tcPr>
          <w:p w14:paraId="2FFED94F"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No guidance provided</w:t>
            </w:r>
          </w:p>
        </w:tc>
        <w:tc>
          <w:tcPr>
            <w:tcW w:w="2880" w:type="dxa"/>
            <w:hideMark/>
          </w:tcPr>
          <w:p w14:paraId="5EE36B50"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17: non-essential closed </w:t>
            </w:r>
          </w:p>
          <w:p w14:paraId="5598BE11"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20/21: dine-in eating and personal care services closed </w:t>
            </w:r>
          </w:p>
          <w:p w14:paraId="5FC0827E"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26: detailed list of essential businesses released </w:t>
            </w:r>
          </w:p>
        </w:tc>
        <w:tc>
          <w:tcPr>
            <w:tcW w:w="2790" w:type="dxa"/>
            <w:gridSpan w:val="2"/>
            <w:hideMark/>
          </w:tcPr>
          <w:p w14:paraId="775B0053"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23: initial list (74 items) </w:t>
            </w:r>
          </w:p>
          <w:p w14:paraId="79286736"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April 3: stricter list (44 items)  </w:t>
            </w:r>
          </w:p>
        </w:tc>
        <w:tc>
          <w:tcPr>
            <w:tcW w:w="2978" w:type="dxa"/>
            <w:hideMark/>
          </w:tcPr>
          <w:p w14:paraId="1E0C7496"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15: all bars and restaurants ordered to restrict done-in services to 50 per cent capacity (or take-out only) </w:t>
            </w:r>
          </w:p>
          <w:p w14:paraId="5EE15C9B"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23: only “priority” services permitted </w:t>
            </w:r>
          </w:p>
        </w:tc>
      </w:tr>
      <w:tr w:rsidR="00BA21BF" w:rsidRPr="00BA7825" w14:paraId="36248FAC" w14:textId="77777777" w:rsidTr="005841F8">
        <w:tc>
          <w:tcPr>
            <w:tcW w:w="2062" w:type="dxa"/>
            <w:hideMark/>
          </w:tcPr>
          <w:p w14:paraId="5958BD11"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Face mask recommendations </w:t>
            </w:r>
          </w:p>
        </w:tc>
        <w:tc>
          <w:tcPr>
            <w:tcW w:w="2970" w:type="dxa"/>
            <w:hideMark/>
          </w:tcPr>
          <w:p w14:paraId="3C5A123D"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May 20: Following Prime Minister’s comments on his intentions to wear a face masks, CPHO Dr. Tam first officially recommends the use of non-medical face masks when maintaining a physical distance is not possible.</w:t>
            </w:r>
          </w:p>
        </w:tc>
        <w:tc>
          <w:tcPr>
            <w:tcW w:w="2880" w:type="dxa"/>
            <w:hideMark/>
          </w:tcPr>
          <w:p w14:paraId="667A7890"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CMOH “expects” everybody able to wear a mask to do so in crowded spaces, especially where distancing cannot be maintained, but states that no mandatory mask policies will be introduced (comments made up until Nov 17, 2020)</w:t>
            </w:r>
            <w:r w:rsidRPr="00BA7825">
              <w:rPr>
                <w:color w:val="000000" w:themeColor="text1"/>
                <w:sz w:val="22"/>
                <w:szCs w:val="22"/>
                <w:vertAlign w:val="superscript"/>
                <w:lang w:val="en-US"/>
              </w:rPr>
              <w:t>2</w:t>
            </w:r>
          </w:p>
          <w:p w14:paraId="03701451"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Nov 19: Mandatory face mask policy for all public indoor and retail spaces (for persons aged 2+)</w:t>
            </w:r>
            <w:r w:rsidRPr="00BA7825">
              <w:rPr>
                <w:color w:val="000000" w:themeColor="text1"/>
                <w:sz w:val="22"/>
                <w:szCs w:val="22"/>
                <w:vertAlign w:val="superscript"/>
                <w:lang w:val="en-US"/>
              </w:rPr>
              <w:t>2</w:t>
            </w:r>
            <w:r w:rsidRPr="00BA7825">
              <w:rPr>
                <w:color w:val="000000" w:themeColor="text1"/>
                <w:sz w:val="22"/>
                <w:szCs w:val="22"/>
                <w:lang w:val="en-US"/>
              </w:rPr>
              <w:t> </w:t>
            </w:r>
          </w:p>
        </w:tc>
        <w:tc>
          <w:tcPr>
            <w:tcW w:w="2790" w:type="dxa"/>
            <w:gridSpan w:val="2"/>
            <w:hideMark/>
          </w:tcPr>
          <w:p w14:paraId="7DC81F65"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June-July: most PHUs mandate mandatory mask policies; provincial authorities state that province-wide policy is “unnecessary” </w:t>
            </w:r>
          </w:p>
          <w:p w14:paraId="016959D6"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Oct 2: Province mandates mandatory face mask policy for all indoor public spaces (for persons aged 2+) </w:t>
            </w:r>
          </w:p>
        </w:tc>
        <w:tc>
          <w:tcPr>
            <w:tcW w:w="2978" w:type="dxa"/>
            <w:hideMark/>
          </w:tcPr>
          <w:p w14:paraId="41A808D6"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July 1: A Montreal suburb, Côte Saint-Luc, enacts the province’s first mandatory face mask policy</w:t>
            </w:r>
          </w:p>
          <w:p w14:paraId="6667C605"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July 18: mandatory mask policy enacted, for all enclosed or partially enclosed public places throughout the province (for persons aged 12+). </w:t>
            </w:r>
          </w:p>
        </w:tc>
      </w:tr>
      <w:tr w:rsidR="00BA21BF" w:rsidRPr="00BA7825" w14:paraId="5E1716EC" w14:textId="77777777" w:rsidTr="005841F8">
        <w:tc>
          <w:tcPr>
            <w:tcW w:w="2062" w:type="dxa"/>
            <w:hideMark/>
          </w:tcPr>
          <w:p w14:paraId="33A89BDE"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Recommendations for travel-related quarantine (14 days)</w:t>
            </w:r>
          </w:p>
        </w:tc>
        <w:tc>
          <w:tcPr>
            <w:tcW w:w="2970" w:type="dxa"/>
            <w:hideMark/>
          </w:tcPr>
          <w:p w14:paraId="66705A14"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Feb 3</w:t>
            </w:r>
            <w:r w:rsidRPr="00BA7825">
              <w:rPr>
                <w:color w:val="000000" w:themeColor="text1"/>
                <w:sz w:val="22"/>
                <w:szCs w:val="22"/>
                <w:vertAlign w:val="superscript"/>
                <w:lang w:val="en-US"/>
              </w:rPr>
              <w:t>4</w:t>
            </w:r>
            <w:r w:rsidRPr="00BA7825">
              <w:rPr>
                <w:color w:val="000000" w:themeColor="text1"/>
                <w:sz w:val="22"/>
                <w:szCs w:val="22"/>
                <w:lang w:val="en-US"/>
              </w:rPr>
              <w:t xml:space="preserve">: Quarantine required under the </w:t>
            </w:r>
            <w:r w:rsidRPr="00BA7825">
              <w:rPr>
                <w:i/>
                <w:iCs/>
                <w:color w:val="000000" w:themeColor="text1"/>
                <w:sz w:val="22"/>
                <w:szCs w:val="22"/>
                <w:lang w:val="en-US"/>
              </w:rPr>
              <w:t>Quarantine Act</w:t>
            </w:r>
            <w:r w:rsidRPr="00BA7825">
              <w:rPr>
                <w:color w:val="000000" w:themeColor="text1"/>
                <w:sz w:val="22"/>
                <w:szCs w:val="22"/>
                <w:lang w:val="en-US"/>
              </w:rPr>
              <w:t xml:space="preserve"> for all repatriated persons from Hubei, China; returning travelers were housed at a military base near Toronto</w:t>
            </w:r>
          </w:p>
          <w:p w14:paraId="7F3CA793"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Feb 8: All travelers returning from Hubei (voluntary)</w:t>
            </w:r>
          </w:p>
          <w:p w14:paraId="54F5AB56"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 25: all international travelers required to quarantine, with the exception of essential workers</w:t>
            </w:r>
          </w:p>
          <w:p w14:paraId="6FBAE2AC"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 14: Emergency order stipulating that persons in quarantine cannot quarantine in place with vulnerable persons</w:t>
            </w:r>
          </w:p>
          <w:p w14:paraId="6F96D7EB"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 xml:space="preserve">Nov 21: All inbound international travelers are required to submit a digital quarantine plan prior to arrival through the </w:t>
            </w:r>
            <w:proofErr w:type="spellStart"/>
            <w:r w:rsidRPr="00BA7825">
              <w:rPr>
                <w:color w:val="000000" w:themeColor="text1"/>
                <w:sz w:val="22"/>
                <w:szCs w:val="22"/>
                <w:lang w:val="en-US"/>
              </w:rPr>
              <w:t>ArriveCAN</w:t>
            </w:r>
            <w:proofErr w:type="spellEnd"/>
            <w:r w:rsidRPr="00BA7825">
              <w:rPr>
                <w:color w:val="000000" w:themeColor="text1"/>
                <w:sz w:val="22"/>
                <w:szCs w:val="22"/>
                <w:lang w:val="en-US"/>
              </w:rPr>
              <w:t xml:space="preserve"> application, subject to fines up to $1,000; travelers must also confirm arrival at their final place of quarantine within 48 hours of entering Canada</w:t>
            </w:r>
          </w:p>
          <w:p w14:paraId="08E640E5"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Feb 2021 (TBD): Mandatory 3-day quarantine in a designated government hotel, at the traveler’s expense, for international air travelers</w:t>
            </w:r>
          </w:p>
          <w:p w14:paraId="045441AD"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Federal guidance uses “quarantine” and “self-isolation” interchangeably</w:t>
            </w:r>
          </w:p>
        </w:tc>
        <w:tc>
          <w:tcPr>
            <w:tcW w:w="2880" w:type="dxa"/>
            <w:hideMark/>
          </w:tcPr>
          <w:p w14:paraId="2F682AF8"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Feb 4-6: Travelers, and close contacts, from Hubei (voluntary)</w:t>
            </w:r>
          </w:p>
          <w:p w14:paraId="4A452A82"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Feb 24: all international travelers asked to self-monitor for 14 days </w:t>
            </w:r>
          </w:p>
          <w:p w14:paraId="5A7CA2D4" w14:textId="4A855165"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Mar 2: all travelers from China and Iran (voluntary)</w:t>
            </w:r>
          </w:p>
          <w:p w14:paraId="7A7F848A"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 12: all travelers (voluntary)  </w:t>
            </w:r>
          </w:p>
          <w:p w14:paraId="090CA70F"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 8: All travelers entering the province legally required to submit a quarantine plan; individuals without an adequate plan taken to a quarantine location until adequate plans provided. </w:t>
            </w:r>
          </w:p>
        </w:tc>
        <w:tc>
          <w:tcPr>
            <w:tcW w:w="2790" w:type="dxa"/>
            <w:gridSpan w:val="2"/>
            <w:hideMark/>
          </w:tcPr>
          <w:p w14:paraId="4571A6EB"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March 16: CMOH advises isolation for immune-compromised persons and those aged 70+ years.</w:t>
            </w:r>
          </w:p>
          <w:p w14:paraId="341D4F40" w14:textId="77777777" w:rsidR="00BA21BF" w:rsidRPr="00BA7825" w:rsidRDefault="00BA21BF" w:rsidP="00F7641E">
            <w:pPr>
              <w:numPr>
                <w:ilvl w:val="0"/>
                <w:numId w:val="15"/>
              </w:numPr>
              <w:spacing w:line="256" w:lineRule="auto"/>
              <w:ind w:left="288" w:hanging="144"/>
              <w:textAlignment w:val="baseline"/>
              <w:rPr>
                <w:color w:val="000000" w:themeColor="text1"/>
                <w:sz w:val="22"/>
                <w:szCs w:val="22"/>
                <w:lang w:val="en-US"/>
              </w:rPr>
            </w:pPr>
            <w:r w:rsidRPr="00BA7825">
              <w:rPr>
                <w:color w:val="000000" w:themeColor="text1"/>
                <w:sz w:val="22"/>
                <w:szCs w:val="22"/>
                <w:lang w:val="en-US"/>
              </w:rPr>
              <w:t>March 16-19: Quarantine recommended for arriving travelers.</w:t>
            </w:r>
          </w:p>
        </w:tc>
        <w:tc>
          <w:tcPr>
            <w:tcW w:w="2978" w:type="dxa"/>
            <w:hideMark/>
          </w:tcPr>
          <w:p w14:paraId="637627D5"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Feb 6: Individuals arriving from Hubei, China (voluntary)</w:t>
            </w:r>
          </w:p>
          <w:p w14:paraId="46E31190"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 8: all travelers asked to self-monitor; travelers from Hubei and Iran to quarantine (voluntary)</w:t>
            </w:r>
          </w:p>
          <w:p w14:paraId="10258C78"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 xml:space="preserve">Mar 12: all symptomatic travelers (voluntary); mandatory for all public service staff and for all individuals offering health care, education, and </w:t>
            </w:r>
            <w:proofErr w:type="gramStart"/>
            <w:r w:rsidRPr="00BA7825">
              <w:rPr>
                <w:color w:val="000000" w:themeColor="text1"/>
                <w:sz w:val="22"/>
                <w:szCs w:val="22"/>
                <w:lang w:val="en-US"/>
              </w:rPr>
              <w:t>child care</w:t>
            </w:r>
            <w:proofErr w:type="gramEnd"/>
            <w:r w:rsidRPr="00BA7825">
              <w:rPr>
                <w:color w:val="000000" w:themeColor="text1"/>
                <w:sz w:val="22"/>
                <w:szCs w:val="22"/>
                <w:lang w:val="en-US"/>
              </w:rPr>
              <w:t xml:space="preserve"> services. </w:t>
            </w:r>
          </w:p>
          <w:p w14:paraId="0B8A9231"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 25: all travelers required to quarantine </w:t>
            </w:r>
          </w:p>
        </w:tc>
      </w:tr>
      <w:tr w:rsidR="00BA21BF" w:rsidRPr="00BA7825" w14:paraId="2802F89E" w14:textId="77777777" w:rsidTr="005841F8">
        <w:tc>
          <w:tcPr>
            <w:tcW w:w="2062" w:type="dxa"/>
            <w:hideMark/>
          </w:tcPr>
          <w:p w14:paraId="36D7539F"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Travel-related testing requirements</w:t>
            </w:r>
          </w:p>
        </w:tc>
        <w:tc>
          <w:tcPr>
            <w:tcW w:w="2970" w:type="dxa"/>
            <w:hideMark/>
          </w:tcPr>
          <w:p w14:paraId="7DAFC636"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Jan 7, 2021: Mandatory proof of negative PCR test within 72 hours of boarding for all international air travelers aged 5+ years</w:t>
            </w:r>
          </w:p>
          <w:p w14:paraId="5B540272"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 xml:space="preserve">Feb 15, 2021: Mandatory proof of negative PCR test within 72 </w:t>
            </w:r>
            <w:r w:rsidRPr="00BA7825">
              <w:rPr>
                <w:color w:val="000000" w:themeColor="text1"/>
                <w:sz w:val="22"/>
                <w:szCs w:val="22"/>
                <w:lang w:val="en-US"/>
              </w:rPr>
              <w:lastRenderedPageBreak/>
              <w:t>hours of boarding for all inbound travelers crossing the US-Canada land border</w:t>
            </w:r>
          </w:p>
          <w:p w14:paraId="40EEC0EE"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Feb 22, 2021: Mandatory test required upon arrival at 1 of 4 designated airports, at the traveler’s expense; travelers must wait for their test result at a designated quarantine hotel (up to 3 days). Persons found positive for SARS-CoV-2 must spend the remainder of their 14-day quarantine in a designated government isolation center; otherwise, they can return to their normal place of quarantine. Land border travelers are exempt from the mandatory hotel quarantine but must take a diagnostic test on arrival. All travelers are required to be tested again at the end of the 14-day quarantine period.</w:t>
            </w:r>
          </w:p>
        </w:tc>
        <w:tc>
          <w:tcPr>
            <w:tcW w:w="2880" w:type="dxa"/>
            <w:hideMark/>
          </w:tcPr>
          <w:p w14:paraId="226C4B6C"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Jan 6, 2021: pilot of a free and voluntary testing program launched at Toronto’s international airport for inbound international travelers</w:t>
            </w:r>
          </w:p>
          <w:p w14:paraId="2F96235C"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 xml:space="preserve">Feb 1, 2021: Mandatory test required upon arrival at </w:t>
            </w:r>
            <w:r w:rsidRPr="00BA7825">
              <w:rPr>
                <w:color w:val="000000" w:themeColor="text1"/>
                <w:sz w:val="22"/>
                <w:szCs w:val="22"/>
                <w:lang w:val="en-US"/>
              </w:rPr>
              <w:lastRenderedPageBreak/>
              <w:t>Toronto’s international airport (i.e., the only airport in Ontario permitted to accept international flights) for all travelers aged 5+ years whose final destination is Ontario</w:t>
            </w:r>
          </w:p>
        </w:tc>
        <w:tc>
          <w:tcPr>
            <w:tcW w:w="2790" w:type="dxa"/>
            <w:gridSpan w:val="2"/>
            <w:hideMark/>
          </w:tcPr>
          <w:p w14:paraId="2DD751F2" w14:textId="0872BBF8"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N</w:t>
            </w:r>
            <w:r w:rsidR="00153D99">
              <w:rPr>
                <w:color w:val="000000" w:themeColor="text1"/>
                <w:sz w:val="22"/>
                <w:szCs w:val="22"/>
                <w:lang w:val="en-US"/>
              </w:rPr>
              <w:t>one</w:t>
            </w:r>
          </w:p>
        </w:tc>
        <w:tc>
          <w:tcPr>
            <w:tcW w:w="2978" w:type="dxa"/>
            <w:hideMark/>
          </w:tcPr>
          <w:p w14:paraId="386F7C5E" w14:textId="0F05F7B7" w:rsidR="00BA21BF" w:rsidRPr="00BA7825" w:rsidRDefault="00BA21BF" w:rsidP="00153D99">
            <w:pPr>
              <w:spacing w:line="256" w:lineRule="auto"/>
              <w:ind w:left="144"/>
              <w:textAlignment w:val="baseline"/>
              <w:rPr>
                <w:color w:val="000000" w:themeColor="text1"/>
                <w:sz w:val="22"/>
                <w:szCs w:val="22"/>
                <w:lang w:val="en-US"/>
              </w:rPr>
            </w:pPr>
            <w:r w:rsidRPr="00BA7825">
              <w:rPr>
                <w:color w:val="000000" w:themeColor="text1"/>
                <w:sz w:val="22"/>
                <w:szCs w:val="22"/>
                <w:lang w:val="en-US"/>
              </w:rPr>
              <w:t>N</w:t>
            </w:r>
            <w:r w:rsidR="00153D99">
              <w:rPr>
                <w:color w:val="000000" w:themeColor="text1"/>
                <w:sz w:val="22"/>
                <w:szCs w:val="22"/>
                <w:lang w:val="en-US"/>
              </w:rPr>
              <w:t>one</w:t>
            </w:r>
          </w:p>
        </w:tc>
      </w:tr>
    </w:tbl>
    <w:p w14:paraId="15089068" w14:textId="61CDFCF6" w:rsidR="00BA21BF" w:rsidRPr="00BA7825" w:rsidRDefault="00595963" w:rsidP="00BA21BF">
      <w:pPr>
        <w:rPr>
          <w:color w:val="000000" w:themeColor="text1"/>
          <w:sz w:val="22"/>
          <w:szCs w:val="22"/>
        </w:rPr>
      </w:pPr>
      <w:r w:rsidRPr="00BA7825">
        <w:rPr>
          <w:color w:val="000000" w:themeColor="text1"/>
          <w:sz w:val="22"/>
          <w:szCs w:val="22"/>
        </w:rPr>
        <w:t xml:space="preserve">Sources: </w:t>
      </w:r>
      <w:r w:rsidR="00BA21BF" w:rsidRPr="00BA7825">
        <w:rPr>
          <w:color w:val="000000" w:themeColor="text1"/>
          <w:sz w:val="22"/>
          <w:szCs w:val="22"/>
        </w:rPr>
        <w:t xml:space="preserve"> North American Observatory on Health Systems and Policies (NAO) (2020). North American COVID-19 Policy Response Monitor. Available online: </w:t>
      </w:r>
      <w:hyperlink r:id="rId7" w:history="1">
        <w:r w:rsidR="00BA21BF" w:rsidRPr="00BA7825">
          <w:rPr>
            <w:rStyle w:val="Hyperlink"/>
            <w:sz w:val="22"/>
            <w:szCs w:val="22"/>
          </w:rPr>
          <w:t>https://ihpme.utoronto.ca/research/research-centres-initiatives/nao/covid19/</w:t>
        </w:r>
      </w:hyperlink>
      <w:r w:rsidR="00BA21BF" w:rsidRPr="00BA7825">
        <w:rPr>
          <w:color w:val="000000" w:themeColor="text1"/>
          <w:sz w:val="22"/>
          <w:szCs w:val="22"/>
        </w:rPr>
        <w:t xml:space="preserve"> Accessed: Nov 20, 2020</w:t>
      </w:r>
      <w:r w:rsidRPr="00BA7825">
        <w:rPr>
          <w:color w:val="000000" w:themeColor="text1"/>
          <w:sz w:val="22"/>
          <w:szCs w:val="22"/>
        </w:rPr>
        <w:t xml:space="preserve">; </w:t>
      </w:r>
      <w:r w:rsidR="00BA21BF" w:rsidRPr="00BA7825">
        <w:rPr>
          <w:color w:val="000000" w:themeColor="text1"/>
          <w:sz w:val="22"/>
          <w:szCs w:val="22"/>
        </w:rPr>
        <w:t>Government of BC (2020). Daily COVID-19 update</w:t>
      </w:r>
      <w:r w:rsidRPr="00BA7825">
        <w:rPr>
          <w:color w:val="000000" w:themeColor="text1"/>
          <w:sz w:val="22"/>
          <w:szCs w:val="22"/>
        </w:rPr>
        <w:t xml:space="preserve">; </w:t>
      </w:r>
      <w:r w:rsidR="00BA21BF" w:rsidRPr="00BA7825">
        <w:rPr>
          <w:color w:val="000000" w:themeColor="text1"/>
          <w:sz w:val="22"/>
          <w:szCs w:val="22"/>
        </w:rPr>
        <w:t xml:space="preserve">Government of BC (2020). Province-wide restrictions. Available online: </w:t>
      </w:r>
      <w:hyperlink r:id="rId8" w:history="1">
        <w:r w:rsidR="00BA21BF" w:rsidRPr="00BA7825">
          <w:rPr>
            <w:rStyle w:val="Hyperlink"/>
            <w:sz w:val="22"/>
            <w:szCs w:val="22"/>
          </w:rPr>
          <w:t>https://www2.gov.bc.ca/gov/content/safety/emergency-preparedness-response-recovery/covid-19-provincial-support/restrictions</w:t>
        </w:r>
      </w:hyperlink>
      <w:r w:rsidR="00BA21BF" w:rsidRPr="00BA7825">
        <w:rPr>
          <w:color w:val="000000" w:themeColor="text1"/>
          <w:sz w:val="22"/>
          <w:szCs w:val="22"/>
        </w:rPr>
        <w:t xml:space="preserve"> Accessed: Nov 20, 202</w:t>
      </w:r>
      <w:r w:rsidRPr="00BA7825">
        <w:rPr>
          <w:color w:val="000000" w:themeColor="text1"/>
          <w:sz w:val="22"/>
          <w:szCs w:val="22"/>
        </w:rPr>
        <w:t>0;</w:t>
      </w:r>
      <w:r w:rsidR="00BA21BF" w:rsidRPr="00BA7825">
        <w:rPr>
          <w:color w:val="000000" w:themeColor="text1"/>
          <w:sz w:val="22"/>
          <w:szCs w:val="22"/>
        </w:rPr>
        <w:t xml:space="preserve"> Timeline of Canadian Border Services Agency’s COVID-19 border measures: Public Safety Canada (2020). Timeline – CBSA Border Measures. Available online: </w:t>
      </w:r>
      <w:hyperlink r:id="rId9" w:history="1">
        <w:r w:rsidR="00BA21BF" w:rsidRPr="00BA7825">
          <w:rPr>
            <w:rStyle w:val="Hyperlink"/>
            <w:sz w:val="22"/>
            <w:szCs w:val="22"/>
          </w:rPr>
          <w:t>https://www.publicsafety.gc.ca/cnt/trnsprnc/brfng-mtrls/prlmntry-bndrs/20201119/015/index-en.aspx</w:t>
        </w:r>
      </w:hyperlink>
      <w:r w:rsidR="00BA21BF" w:rsidRPr="00BA7825">
        <w:rPr>
          <w:color w:val="000000" w:themeColor="text1"/>
          <w:sz w:val="22"/>
          <w:szCs w:val="22"/>
        </w:rPr>
        <w:t xml:space="preserve"> Accessed: Feb 8, 2021</w:t>
      </w:r>
      <w:r w:rsidR="00BA21BF" w:rsidRPr="00BA7825">
        <w:rPr>
          <w:color w:val="000000" w:themeColor="text1"/>
          <w:sz w:val="22"/>
          <w:szCs w:val="22"/>
        </w:rPr>
        <w:br w:type="page"/>
      </w:r>
    </w:p>
    <w:p w14:paraId="04989271" w14:textId="366E5710" w:rsidR="00BA21BF" w:rsidRPr="00BA7825" w:rsidRDefault="00BA21BF" w:rsidP="00BA21BF">
      <w:pPr>
        <w:textAlignment w:val="baseline"/>
        <w:rPr>
          <w:color w:val="000000" w:themeColor="text1"/>
          <w:sz w:val="22"/>
          <w:szCs w:val="22"/>
          <w:vertAlign w:val="superscript"/>
        </w:rPr>
      </w:pPr>
      <w:r w:rsidRPr="00BA7825">
        <w:rPr>
          <w:color w:val="000000" w:themeColor="text1"/>
          <w:sz w:val="22"/>
          <w:szCs w:val="22"/>
        </w:rPr>
        <w:lastRenderedPageBreak/>
        <w:t> </w:t>
      </w:r>
      <w:r w:rsidRPr="00BA7825">
        <w:rPr>
          <w:b/>
          <w:bCs/>
          <w:color w:val="000000" w:themeColor="text1"/>
          <w:sz w:val="22"/>
          <w:szCs w:val="22"/>
        </w:rPr>
        <w:t>Table 3. </w:t>
      </w:r>
      <w:r w:rsidRPr="00BA7825">
        <w:rPr>
          <w:color w:val="000000" w:themeColor="text1"/>
          <w:sz w:val="22"/>
          <w:szCs w:val="22"/>
        </w:rPr>
        <w:t>Measures taken to mitigate the impact of COVID-19 in Long-term Care (LTC) facilities in Canada, BC, Ontario, and Quebec</w:t>
      </w:r>
    </w:p>
    <w:tbl>
      <w:tblPr>
        <w:tblW w:w="1389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243"/>
        <w:gridCol w:w="2575"/>
        <w:gridCol w:w="3024"/>
        <w:gridCol w:w="3024"/>
        <w:gridCol w:w="3024"/>
      </w:tblGrid>
      <w:tr w:rsidR="00BA21BF" w:rsidRPr="00BA7825" w14:paraId="18C1F20B" w14:textId="77777777" w:rsidTr="005841F8">
        <w:tc>
          <w:tcPr>
            <w:tcW w:w="2242" w:type="dxa"/>
            <w:tcBorders>
              <w:top w:val="single" w:sz="4" w:space="0" w:color="auto"/>
              <w:bottom w:val="single" w:sz="4" w:space="0" w:color="auto"/>
            </w:tcBorders>
            <w:hideMark/>
          </w:tcPr>
          <w:p w14:paraId="6C36B66A" w14:textId="77777777" w:rsidR="00BA21BF" w:rsidRPr="00BA7825" w:rsidRDefault="00BA21BF" w:rsidP="00F7641E">
            <w:pPr>
              <w:spacing w:line="256" w:lineRule="auto"/>
              <w:textAlignment w:val="baseline"/>
              <w:rPr>
                <w:color w:val="000000" w:themeColor="text1"/>
                <w:sz w:val="22"/>
                <w:szCs w:val="22"/>
                <w:lang w:val="en-US"/>
              </w:rPr>
            </w:pPr>
            <w:r w:rsidRPr="00BA7825">
              <w:rPr>
                <w:b/>
                <w:bCs/>
                <w:color w:val="000000" w:themeColor="text1"/>
                <w:sz w:val="22"/>
                <w:szCs w:val="22"/>
                <w:lang w:val="en-US"/>
              </w:rPr>
              <w:t>Characteristic</w:t>
            </w:r>
            <w:r w:rsidRPr="00BA7825">
              <w:rPr>
                <w:color w:val="000000" w:themeColor="text1"/>
                <w:sz w:val="22"/>
                <w:szCs w:val="22"/>
                <w:lang w:val="en-US"/>
              </w:rPr>
              <w:t> </w:t>
            </w:r>
          </w:p>
        </w:tc>
        <w:tc>
          <w:tcPr>
            <w:tcW w:w="2574" w:type="dxa"/>
            <w:tcBorders>
              <w:top w:val="single" w:sz="4" w:space="0" w:color="auto"/>
              <w:bottom w:val="single" w:sz="4" w:space="0" w:color="auto"/>
            </w:tcBorders>
            <w:hideMark/>
          </w:tcPr>
          <w:p w14:paraId="0A00F7A6" w14:textId="77777777" w:rsidR="00BA21BF" w:rsidRPr="00BA7825" w:rsidRDefault="00BA21BF" w:rsidP="00F7641E">
            <w:pPr>
              <w:spacing w:line="256" w:lineRule="auto"/>
              <w:textAlignment w:val="baseline"/>
              <w:rPr>
                <w:b/>
                <w:bCs/>
                <w:color w:val="000000" w:themeColor="text1"/>
                <w:sz w:val="22"/>
                <w:szCs w:val="22"/>
                <w:lang w:val="en-US"/>
              </w:rPr>
            </w:pPr>
            <w:r w:rsidRPr="00BA7825">
              <w:rPr>
                <w:b/>
                <w:bCs/>
                <w:color w:val="000000" w:themeColor="text1"/>
                <w:sz w:val="22"/>
                <w:szCs w:val="22"/>
                <w:lang w:val="en-US"/>
              </w:rPr>
              <w:t>Canada</w:t>
            </w:r>
          </w:p>
        </w:tc>
        <w:tc>
          <w:tcPr>
            <w:tcW w:w="3024" w:type="dxa"/>
            <w:tcBorders>
              <w:top w:val="single" w:sz="4" w:space="0" w:color="auto"/>
              <w:bottom w:val="single" w:sz="4" w:space="0" w:color="auto"/>
            </w:tcBorders>
            <w:hideMark/>
          </w:tcPr>
          <w:p w14:paraId="62294796" w14:textId="77777777" w:rsidR="00BA21BF" w:rsidRPr="00BA7825" w:rsidRDefault="00BA21BF" w:rsidP="00F7641E">
            <w:pPr>
              <w:spacing w:line="256" w:lineRule="auto"/>
              <w:textAlignment w:val="baseline"/>
              <w:rPr>
                <w:color w:val="000000" w:themeColor="text1"/>
                <w:sz w:val="22"/>
                <w:szCs w:val="22"/>
                <w:lang w:val="en-US"/>
              </w:rPr>
            </w:pPr>
            <w:r w:rsidRPr="00BA7825">
              <w:rPr>
                <w:b/>
                <w:bCs/>
                <w:color w:val="000000" w:themeColor="text1"/>
                <w:sz w:val="22"/>
                <w:szCs w:val="22"/>
                <w:lang w:val="en-US"/>
              </w:rPr>
              <w:t>British Columbia </w:t>
            </w:r>
            <w:r w:rsidRPr="00BA7825">
              <w:rPr>
                <w:color w:val="000000" w:themeColor="text1"/>
                <w:sz w:val="22"/>
                <w:szCs w:val="22"/>
                <w:lang w:val="en-US"/>
              </w:rPr>
              <w:t> </w:t>
            </w:r>
          </w:p>
        </w:tc>
        <w:tc>
          <w:tcPr>
            <w:tcW w:w="3024" w:type="dxa"/>
            <w:tcBorders>
              <w:top w:val="single" w:sz="4" w:space="0" w:color="auto"/>
              <w:bottom w:val="single" w:sz="4" w:space="0" w:color="auto"/>
            </w:tcBorders>
            <w:hideMark/>
          </w:tcPr>
          <w:p w14:paraId="64AC2CBE" w14:textId="77777777" w:rsidR="00BA21BF" w:rsidRPr="00BA7825" w:rsidRDefault="00BA21BF" w:rsidP="00F7641E">
            <w:pPr>
              <w:spacing w:line="256" w:lineRule="auto"/>
              <w:textAlignment w:val="baseline"/>
              <w:rPr>
                <w:color w:val="000000" w:themeColor="text1"/>
                <w:sz w:val="22"/>
                <w:szCs w:val="22"/>
                <w:lang w:val="en-US"/>
              </w:rPr>
            </w:pPr>
            <w:r w:rsidRPr="00BA7825">
              <w:rPr>
                <w:b/>
                <w:bCs/>
                <w:color w:val="000000" w:themeColor="text1"/>
                <w:sz w:val="22"/>
                <w:szCs w:val="22"/>
                <w:lang w:val="en-US"/>
              </w:rPr>
              <w:t>Ontario </w:t>
            </w:r>
            <w:r w:rsidRPr="00BA7825">
              <w:rPr>
                <w:color w:val="000000" w:themeColor="text1"/>
                <w:sz w:val="22"/>
                <w:szCs w:val="22"/>
                <w:lang w:val="en-US"/>
              </w:rPr>
              <w:t> </w:t>
            </w:r>
          </w:p>
        </w:tc>
        <w:tc>
          <w:tcPr>
            <w:tcW w:w="3024" w:type="dxa"/>
            <w:tcBorders>
              <w:top w:val="single" w:sz="4" w:space="0" w:color="auto"/>
              <w:bottom w:val="single" w:sz="4" w:space="0" w:color="auto"/>
            </w:tcBorders>
            <w:hideMark/>
          </w:tcPr>
          <w:p w14:paraId="3C3D5A67" w14:textId="77777777" w:rsidR="00BA21BF" w:rsidRPr="00BA7825" w:rsidRDefault="00BA21BF" w:rsidP="00F7641E">
            <w:pPr>
              <w:spacing w:line="256" w:lineRule="auto"/>
              <w:textAlignment w:val="baseline"/>
              <w:rPr>
                <w:color w:val="000000" w:themeColor="text1"/>
                <w:sz w:val="22"/>
                <w:szCs w:val="22"/>
                <w:lang w:val="en-US"/>
              </w:rPr>
            </w:pPr>
            <w:r w:rsidRPr="00BA7825">
              <w:rPr>
                <w:b/>
                <w:bCs/>
                <w:color w:val="000000" w:themeColor="text1"/>
                <w:sz w:val="22"/>
                <w:szCs w:val="22"/>
                <w:lang w:val="en-US"/>
              </w:rPr>
              <w:t>Quebec </w:t>
            </w:r>
            <w:r w:rsidRPr="00BA7825">
              <w:rPr>
                <w:color w:val="000000" w:themeColor="text1"/>
                <w:sz w:val="22"/>
                <w:szCs w:val="22"/>
                <w:lang w:val="en-US"/>
              </w:rPr>
              <w:t> </w:t>
            </w:r>
          </w:p>
        </w:tc>
      </w:tr>
      <w:tr w:rsidR="00BA21BF" w:rsidRPr="00BA7825" w14:paraId="410BAD25" w14:textId="77777777" w:rsidTr="005841F8">
        <w:tc>
          <w:tcPr>
            <w:tcW w:w="13888" w:type="dxa"/>
            <w:gridSpan w:val="5"/>
            <w:tcBorders>
              <w:top w:val="single" w:sz="4" w:space="0" w:color="auto"/>
              <w:bottom w:val="single" w:sz="4" w:space="0" w:color="auto"/>
            </w:tcBorders>
            <w:hideMark/>
          </w:tcPr>
          <w:p w14:paraId="636F548E" w14:textId="760ABB71" w:rsidR="00BA21BF" w:rsidRPr="00BA7825" w:rsidRDefault="00595963" w:rsidP="00F7641E">
            <w:pPr>
              <w:spacing w:line="256" w:lineRule="auto"/>
              <w:textAlignment w:val="baseline"/>
              <w:rPr>
                <w:b/>
                <w:bCs/>
                <w:color w:val="000000" w:themeColor="text1"/>
                <w:sz w:val="22"/>
                <w:szCs w:val="22"/>
                <w:lang w:val="en-US"/>
              </w:rPr>
            </w:pPr>
            <w:r w:rsidRPr="00BA7825">
              <w:rPr>
                <w:b/>
                <w:bCs/>
                <w:color w:val="000000" w:themeColor="text1"/>
                <w:sz w:val="22"/>
                <w:szCs w:val="22"/>
                <w:lang w:val="en-US"/>
              </w:rPr>
              <w:t>ORGANIZATION</w:t>
            </w:r>
          </w:p>
        </w:tc>
      </w:tr>
      <w:tr w:rsidR="00BA21BF" w:rsidRPr="00BA7825" w14:paraId="3DA25990" w14:textId="77777777" w:rsidTr="005841F8">
        <w:tc>
          <w:tcPr>
            <w:tcW w:w="2242" w:type="dxa"/>
            <w:tcBorders>
              <w:top w:val="single" w:sz="4" w:space="0" w:color="auto"/>
            </w:tcBorders>
            <w:hideMark/>
          </w:tcPr>
          <w:p w14:paraId="77FE2AF2"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Authority </w:t>
            </w:r>
          </w:p>
        </w:tc>
        <w:tc>
          <w:tcPr>
            <w:tcW w:w="2574" w:type="dxa"/>
            <w:tcBorders>
              <w:top w:val="single" w:sz="4" w:space="0" w:color="auto"/>
            </w:tcBorders>
            <w:hideMark/>
          </w:tcPr>
          <w:p w14:paraId="6CC28331"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Under PT authority but Health Canada provides guidance, and federal government may provide support by invitation</w:t>
            </w:r>
          </w:p>
        </w:tc>
        <w:tc>
          <w:tcPr>
            <w:tcW w:w="3024" w:type="dxa"/>
            <w:tcBorders>
              <w:top w:val="single" w:sz="4" w:space="0" w:color="auto"/>
            </w:tcBorders>
            <w:hideMark/>
          </w:tcPr>
          <w:p w14:paraId="7D2FE39C"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MOH  </w:t>
            </w:r>
          </w:p>
        </w:tc>
        <w:tc>
          <w:tcPr>
            <w:tcW w:w="3024" w:type="dxa"/>
            <w:tcBorders>
              <w:top w:val="single" w:sz="4" w:space="0" w:color="auto"/>
            </w:tcBorders>
            <w:hideMark/>
          </w:tcPr>
          <w:p w14:paraId="313BDEC5"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Ministry of Long-Term Care (MLTC) </w:t>
            </w:r>
          </w:p>
        </w:tc>
        <w:tc>
          <w:tcPr>
            <w:tcW w:w="3024" w:type="dxa"/>
            <w:tcBorders>
              <w:top w:val="single" w:sz="4" w:space="0" w:color="auto"/>
            </w:tcBorders>
            <w:hideMark/>
          </w:tcPr>
          <w:p w14:paraId="60DDF239"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MSSS </w:t>
            </w:r>
          </w:p>
        </w:tc>
      </w:tr>
      <w:tr w:rsidR="00BA21BF" w:rsidRPr="00BA7825" w14:paraId="1C24CAA0" w14:textId="77777777" w:rsidTr="005841F8">
        <w:tc>
          <w:tcPr>
            <w:tcW w:w="2242" w:type="dxa"/>
            <w:tcBorders>
              <w:bottom w:val="nil"/>
            </w:tcBorders>
            <w:hideMark/>
          </w:tcPr>
          <w:p w14:paraId="1852AF86" w14:textId="5B864FCE"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Public/Private mix </w:t>
            </w:r>
            <w:r w:rsidRPr="00BA7825">
              <w:rPr>
                <w:sz w:val="22"/>
                <w:szCs w:val="22"/>
                <w:lang w:val="en-US"/>
              </w:rPr>
              <w:br/>
            </w:r>
            <w:r w:rsidRPr="00BA7825">
              <w:rPr>
                <w:color w:val="000000" w:themeColor="text1"/>
                <w:sz w:val="22"/>
                <w:szCs w:val="22"/>
                <w:lang w:val="en-US"/>
              </w:rPr>
              <w:t>(2020) </w:t>
            </w:r>
          </w:p>
        </w:tc>
        <w:tc>
          <w:tcPr>
            <w:tcW w:w="2574" w:type="dxa"/>
            <w:tcBorders>
              <w:bottom w:val="nil"/>
            </w:tcBorders>
            <w:hideMark/>
          </w:tcPr>
          <w:p w14:paraId="372462B9"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28 per cent private, 23 per cent non-profit, 46 per cent publicly owned</w:t>
            </w:r>
          </w:p>
        </w:tc>
        <w:tc>
          <w:tcPr>
            <w:tcW w:w="3024" w:type="dxa"/>
            <w:tcBorders>
              <w:bottom w:val="nil"/>
            </w:tcBorders>
            <w:hideMark/>
          </w:tcPr>
          <w:p w14:paraId="09EC3225"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34 per cent private, 28 per cent non-profit, 38 per cent publicly owned </w:t>
            </w:r>
          </w:p>
        </w:tc>
        <w:tc>
          <w:tcPr>
            <w:tcW w:w="3024" w:type="dxa"/>
            <w:tcBorders>
              <w:bottom w:val="nil"/>
            </w:tcBorders>
            <w:hideMark/>
          </w:tcPr>
          <w:p w14:paraId="454C6E3D"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57 per cent private, 27 per cent non-profit, 16 per cent publicly owned </w:t>
            </w:r>
          </w:p>
        </w:tc>
        <w:tc>
          <w:tcPr>
            <w:tcW w:w="3024" w:type="dxa"/>
            <w:tcBorders>
              <w:bottom w:val="nil"/>
            </w:tcBorders>
            <w:hideMark/>
          </w:tcPr>
          <w:p w14:paraId="202DE7DD"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14 per cent private, 86 per cent publicly owned. Breakdown of private for profit and not-for-profit not currently available.</w:t>
            </w:r>
          </w:p>
        </w:tc>
      </w:tr>
      <w:tr w:rsidR="00BA21BF" w:rsidRPr="00BA7825" w14:paraId="63683EC0" w14:textId="77777777" w:rsidTr="005841F8">
        <w:tc>
          <w:tcPr>
            <w:tcW w:w="13888" w:type="dxa"/>
            <w:gridSpan w:val="5"/>
            <w:tcBorders>
              <w:top w:val="nil"/>
              <w:bottom w:val="single" w:sz="4" w:space="0" w:color="auto"/>
            </w:tcBorders>
            <w:hideMark/>
          </w:tcPr>
          <w:p w14:paraId="4A7E1E96" w14:textId="131303D2" w:rsidR="00BA21BF" w:rsidRPr="00BA7825" w:rsidRDefault="00BA21BF" w:rsidP="00F7641E">
            <w:pPr>
              <w:spacing w:line="256" w:lineRule="auto"/>
              <w:textAlignment w:val="baseline"/>
              <w:rPr>
                <w:b/>
                <w:bCs/>
                <w:color w:val="000000" w:themeColor="text1"/>
                <w:sz w:val="22"/>
                <w:szCs w:val="22"/>
                <w:lang w:val="en-US"/>
              </w:rPr>
            </w:pPr>
            <w:r w:rsidRPr="00BA7825">
              <w:rPr>
                <w:b/>
                <w:bCs/>
                <w:color w:val="000000" w:themeColor="text1"/>
                <w:sz w:val="22"/>
                <w:szCs w:val="22"/>
                <w:lang w:val="en-US"/>
              </w:rPr>
              <w:t>COVID-19 IMPACT IN LTC FACILITIES, AS OF NOVEMBER 24</w:t>
            </w:r>
          </w:p>
        </w:tc>
      </w:tr>
      <w:tr w:rsidR="00BA21BF" w:rsidRPr="00BA7825" w14:paraId="669D7D8C" w14:textId="77777777" w:rsidTr="005841F8">
        <w:tc>
          <w:tcPr>
            <w:tcW w:w="2242" w:type="dxa"/>
            <w:tcBorders>
              <w:top w:val="single" w:sz="4" w:space="0" w:color="auto"/>
            </w:tcBorders>
            <w:hideMark/>
          </w:tcPr>
          <w:p w14:paraId="313C38EC"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Per cent of total cases</w:t>
            </w:r>
          </w:p>
        </w:tc>
        <w:tc>
          <w:tcPr>
            <w:tcW w:w="2574" w:type="dxa"/>
            <w:tcBorders>
              <w:top w:val="single" w:sz="4" w:space="0" w:color="auto"/>
            </w:tcBorders>
            <w:hideMark/>
          </w:tcPr>
          <w:p w14:paraId="6E608229"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12 per cent</w:t>
            </w:r>
          </w:p>
        </w:tc>
        <w:tc>
          <w:tcPr>
            <w:tcW w:w="3024" w:type="dxa"/>
            <w:tcBorders>
              <w:top w:val="single" w:sz="4" w:space="0" w:color="auto"/>
            </w:tcBorders>
            <w:hideMark/>
          </w:tcPr>
          <w:p w14:paraId="076E433A"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4 per cent</w:t>
            </w:r>
          </w:p>
        </w:tc>
        <w:tc>
          <w:tcPr>
            <w:tcW w:w="3024" w:type="dxa"/>
            <w:tcBorders>
              <w:top w:val="single" w:sz="4" w:space="0" w:color="auto"/>
            </w:tcBorders>
            <w:hideMark/>
          </w:tcPr>
          <w:p w14:paraId="2C15C3F1"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13 per cent</w:t>
            </w:r>
          </w:p>
        </w:tc>
        <w:tc>
          <w:tcPr>
            <w:tcW w:w="3024" w:type="dxa"/>
            <w:tcBorders>
              <w:top w:val="single" w:sz="4" w:space="0" w:color="auto"/>
            </w:tcBorders>
            <w:hideMark/>
          </w:tcPr>
          <w:p w14:paraId="5A0AAD0C"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16 per cent</w:t>
            </w:r>
          </w:p>
        </w:tc>
      </w:tr>
      <w:tr w:rsidR="00BA21BF" w:rsidRPr="00BA7825" w14:paraId="4E4460D4" w14:textId="77777777" w:rsidTr="005841F8">
        <w:tc>
          <w:tcPr>
            <w:tcW w:w="2242" w:type="dxa"/>
            <w:hideMark/>
          </w:tcPr>
          <w:p w14:paraId="42E65C0B"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Per cent of total deaths</w:t>
            </w:r>
          </w:p>
        </w:tc>
        <w:tc>
          <w:tcPr>
            <w:tcW w:w="2574" w:type="dxa"/>
            <w:hideMark/>
          </w:tcPr>
          <w:p w14:paraId="1A65F953"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75 per cent</w:t>
            </w:r>
          </w:p>
        </w:tc>
        <w:tc>
          <w:tcPr>
            <w:tcW w:w="3024" w:type="dxa"/>
            <w:hideMark/>
          </w:tcPr>
          <w:p w14:paraId="551AAB22"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44 per cent</w:t>
            </w:r>
          </w:p>
        </w:tc>
        <w:tc>
          <w:tcPr>
            <w:tcW w:w="3024" w:type="dxa"/>
            <w:hideMark/>
          </w:tcPr>
          <w:p w14:paraId="7B242A37"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70 per cent</w:t>
            </w:r>
          </w:p>
        </w:tc>
        <w:tc>
          <w:tcPr>
            <w:tcW w:w="3024" w:type="dxa"/>
            <w:hideMark/>
          </w:tcPr>
          <w:p w14:paraId="35746B47"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81 per cent</w:t>
            </w:r>
          </w:p>
        </w:tc>
      </w:tr>
      <w:tr w:rsidR="00BA21BF" w:rsidRPr="00BA7825" w14:paraId="007A9C97" w14:textId="77777777" w:rsidTr="005841F8">
        <w:tc>
          <w:tcPr>
            <w:tcW w:w="2242" w:type="dxa"/>
            <w:hideMark/>
          </w:tcPr>
          <w:p w14:paraId="30437D48"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LTC homes affected</w:t>
            </w:r>
          </w:p>
        </w:tc>
        <w:tc>
          <w:tcPr>
            <w:tcW w:w="2574" w:type="dxa"/>
            <w:hideMark/>
          </w:tcPr>
          <w:p w14:paraId="282A0BF3"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31 per cent</w:t>
            </w:r>
          </w:p>
        </w:tc>
        <w:tc>
          <w:tcPr>
            <w:tcW w:w="3024" w:type="dxa"/>
            <w:hideMark/>
          </w:tcPr>
          <w:p w14:paraId="7019261E"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30 per cent</w:t>
            </w:r>
          </w:p>
        </w:tc>
        <w:tc>
          <w:tcPr>
            <w:tcW w:w="3024" w:type="dxa"/>
            <w:hideMark/>
          </w:tcPr>
          <w:p w14:paraId="0FD8399F"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45 per cent</w:t>
            </w:r>
          </w:p>
        </w:tc>
        <w:tc>
          <w:tcPr>
            <w:tcW w:w="3024" w:type="dxa"/>
            <w:hideMark/>
          </w:tcPr>
          <w:p w14:paraId="752751D0"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36 per cent</w:t>
            </w:r>
          </w:p>
        </w:tc>
      </w:tr>
      <w:tr w:rsidR="00BA21BF" w:rsidRPr="00BA7825" w14:paraId="277BF4C8" w14:textId="77777777" w:rsidTr="005841F8">
        <w:tc>
          <w:tcPr>
            <w:tcW w:w="2242" w:type="dxa"/>
            <w:tcBorders>
              <w:bottom w:val="nil"/>
            </w:tcBorders>
            <w:hideMark/>
          </w:tcPr>
          <w:p w14:paraId="7AD6026D"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Military deployment </w:t>
            </w:r>
          </w:p>
        </w:tc>
        <w:tc>
          <w:tcPr>
            <w:tcW w:w="2574" w:type="dxa"/>
            <w:tcBorders>
              <w:bottom w:val="nil"/>
            </w:tcBorders>
            <w:hideMark/>
          </w:tcPr>
          <w:p w14:paraId="7F280AED"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April 17: Deployment of</w:t>
            </w:r>
            <w:r w:rsidRPr="00153D99">
              <w:rPr>
                <w:sz w:val="22"/>
                <w:szCs w:val="22"/>
                <w:lang w:val="en-US"/>
              </w:rPr>
              <w:t xml:space="preserve"> </w:t>
            </w:r>
            <w:r w:rsidRPr="00153D99">
              <w:rPr>
                <w:color w:val="000000" w:themeColor="text1"/>
                <w:sz w:val="22"/>
                <w:szCs w:val="22"/>
                <w:lang w:val="en-US"/>
              </w:rPr>
              <w:t>Canadian Armed Forces (CAF) personnel and resources to LTC facilities in need of support.</w:t>
            </w:r>
          </w:p>
          <w:p w14:paraId="3E383117"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June 26: Announcement CAF would be recalled, and the Canadian Red Cross would be deployed to assist homes in further need of support</w:t>
            </w:r>
          </w:p>
        </w:tc>
        <w:tc>
          <w:tcPr>
            <w:tcW w:w="3024" w:type="dxa"/>
            <w:tcBorders>
              <w:bottom w:val="nil"/>
            </w:tcBorders>
            <w:hideMark/>
          </w:tcPr>
          <w:p w14:paraId="0CC0171A"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No support from CAF requested thus far. </w:t>
            </w:r>
          </w:p>
        </w:tc>
        <w:tc>
          <w:tcPr>
            <w:tcW w:w="3024" w:type="dxa"/>
            <w:tcBorders>
              <w:bottom w:val="nil"/>
            </w:tcBorders>
            <w:hideMark/>
          </w:tcPr>
          <w:p w14:paraId="4042E875"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April 22: CAF deployed to 5 LTC facilities </w:t>
            </w:r>
          </w:p>
          <w:p w14:paraId="61DCAA31"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May 26: CAF deployed to 7 LTC facilities </w:t>
            </w:r>
          </w:p>
          <w:p w14:paraId="697A03E6"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June 2 and 4: Mandatory management orders appointing 2 hospitals to manage 2 LTC facilities  </w:t>
            </w:r>
          </w:p>
          <w:p w14:paraId="08F47031"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July 3: Final CAF team leaves </w:t>
            </w:r>
          </w:p>
          <w:p w14:paraId="2480AEEA"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October 10: Red Cross deployed to 7+ homes </w:t>
            </w:r>
          </w:p>
        </w:tc>
        <w:tc>
          <w:tcPr>
            <w:tcW w:w="3024" w:type="dxa"/>
            <w:tcBorders>
              <w:bottom w:val="nil"/>
            </w:tcBorders>
            <w:hideMark/>
          </w:tcPr>
          <w:p w14:paraId="77C319CD"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April 20: CAF personnel deployed </w:t>
            </w:r>
          </w:p>
          <w:p w14:paraId="12C1C2AA"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April 22: An additional 1,000 CAF personnel deployed across 47 affected facilities </w:t>
            </w:r>
          </w:p>
          <w:p w14:paraId="2E55AA88"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July 6: CAF leaves, Red Cross deploys 900+ personnel to provide support until homes are designated “green”, according to Quebec’s classification system. </w:t>
            </w:r>
          </w:p>
        </w:tc>
      </w:tr>
      <w:tr w:rsidR="00BA21BF" w:rsidRPr="00BA7825" w14:paraId="601228B1" w14:textId="77777777" w:rsidTr="005841F8">
        <w:tc>
          <w:tcPr>
            <w:tcW w:w="13888" w:type="dxa"/>
            <w:gridSpan w:val="5"/>
            <w:tcBorders>
              <w:top w:val="nil"/>
              <w:bottom w:val="single" w:sz="4" w:space="0" w:color="auto"/>
            </w:tcBorders>
            <w:hideMark/>
          </w:tcPr>
          <w:p w14:paraId="596A5A2C" w14:textId="1B592615" w:rsidR="00BA21BF" w:rsidRPr="00BA7825" w:rsidRDefault="00BA21BF" w:rsidP="00F7641E">
            <w:pPr>
              <w:spacing w:line="256" w:lineRule="auto"/>
              <w:textAlignment w:val="baseline"/>
              <w:rPr>
                <w:b/>
                <w:bCs/>
                <w:color w:val="000000" w:themeColor="text1"/>
                <w:sz w:val="22"/>
                <w:szCs w:val="22"/>
                <w:vertAlign w:val="superscript"/>
                <w:lang w:val="en-US"/>
              </w:rPr>
            </w:pPr>
            <w:r w:rsidRPr="00BA7825">
              <w:rPr>
                <w:b/>
                <w:bCs/>
                <w:color w:val="000000" w:themeColor="text1"/>
                <w:sz w:val="22"/>
                <w:szCs w:val="22"/>
                <w:lang w:val="en-US"/>
              </w:rPr>
              <w:t>KEY COVID-19 RESPONSE MEASURES, AS RECOMMENDED BY PHAC</w:t>
            </w:r>
          </w:p>
        </w:tc>
      </w:tr>
      <w:tr w:rsidR="00BA21BF" w:rsidRPr="00BA7825" w14:paraId="60556B42" w14:textId="77777777" w:rsidTr="005841F8">
        <w:tc>
          <w:tcPr>
            <w:tcW w:w="2242" w:type="dxa"/>
            <w:tcBorders>
              <w:top w:val="single" w:sz="4" w:space="0" w:color="auto"/>
            </w:tcBorders>
            <w:hideMark/>
          </w:tcPr>
          <w:p w14:paraId="33AFFEEB"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Visitation restrictions </w:t>
            </w:r>
          </w:p>
        </w:tc>
        <w:tc>
          <w:tcPr>
            <w:tcW w:w="2574" w:type="dxa"/>
            <w:tcBorders>
              <w:top w:val="single" w:sz="4" w:space="0" w:color="auto"/>
            </w:tcBorders>
            <w:hideMark/>
          </w:tcPr>
          <w:p w14:paraId="01D35770"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April 17: Federal guidance recommends limiting to essential visits only</w:t>
            </w:r>
          </w:p>
        </w:tc>
        <w:tc>
          <w:tcPr>
            <w:tcW w:w="3024" w:type="dxa"/>
            <w:tcBorders>
              <w:top w:val="single" w:sz="4" w:space="0" w:color="auto"/>
            </w:tcBorders>
            <w:hideMark/>
          </w:tcPr>
          <w:p w14:paraId="23CE23E7"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11: Advised extra caution to be taken  </w:t>
            </w:r>
          </w:p>
          <w:p w14:paraId="364421F3"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17: Restricted to essential visits </w:t>
            </w:r>
          </w:p>
        </w:tc>
        <w:tc>
          <w:tcPr>
            <w:tcW w:w="3024" w:type="dxa"/>
            <w:tcBorders>
              <w:top w:val="single" w:sz="4" w:space="0" w:color="auto"/>
            </w:tcBorders>
            <w:hideMark/>
          </w:tcPr>
          <w:p w14:paraId="6ED72743"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11: Screening required for visitors and only essential visits recommended </w:t>
            </w:r>
          </w:p>
          <w:p w14:paraId="4F0A3A30"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23: Residents prohibited from leaving the facility for short visits </w:t>
            </w:r>
          </w:p>
        </w:tc>
        <w:tc>
          <w:tcPr>
            <w:tcW w:w="3024" w:type="dxa"/>
            <w:tcBorders>
              <w:top w:val="single" w:sz="4" w:space="0" w:color="auto"/>
            </w:tcBorders>
            <w:hideMark/>
          </w:tcPr>
          <w:p w14:paraId="56671F39"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8: Travelers asked to not visit for 14 days </w:t>
            </w:r>
          </w:p>
          <w:p w14:paraId="4D25BB1A"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 xml:space="preserve">March 14: Limited to essential </w:t>
            </w:r>
          </w:p>
          <w:p w14:paraId="3B87B5C7"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March 23: “Lockdown” prohibiting residents from having any visitors or outside access </w:t>
            </w:r>
          </w:p>
        </w:tc>
      </w:tr>
      <w:tr w:rsidR="00BA21BF" w:rsidRPr="00BA7825" w14:paraId="42798CB4" w14:textId="77777777" w:rsidTr="005841F8">
        <w:tc>
          <w:tcPr>
            <w:tcW w:w="2242" w:type="dxa"/>
            <w:hideMark/>
          </w:tcPr>
          <w:p w14:paraId="4800A642"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lastRenderedPageBreak/>
              <w:t>Zoning for COVID-19 patients </w:t>
            </w:r>
          </w:p>
        </w:tc>
        <w:tc>
          <w:tcPr>
            <w:tcW w:w="2574" w:type="dxa"/>
            <w:hideMark/>
          </w:tcPr>
          <w:p w14:paraId="5BF6FF4D" w14:textId="77777777" w:rsidR="00BA21BF" w:rsidRPr="00BA7825" w:rsidRDefault="00BA21BF" w:rsidP="00F7641E">
            <w:pPr>
              <w:spacing w:line="256" w:lineRule="auto"/>
              <w:textAlignment w:val="baseline"/>
              <w:rPr>
                <w:color w:val="000000" w:themeColor="text1"/>
                <w:sz w:val="22"/>
                <w:szCs w:val="22"/>
                <w:lang w:val="en-US"/>
              </w:rPr>
            </w:pPr>
            <w:proofErr w:type="spellStart"/>
            <w:r w:rsidRPr="00BA7825">
              <w:rPr>
                <w:color w:val="000000" w:themeColor="text1"/>
                <w:sz w:val="22"/>
                <w:szCs w:val="22"/>
                <w:lang w:val="en-US"/>
              </w:rPr>
              <w:t>Cohorting</w:t>
            </w:r>
            <w:proofErr w:type="spellEnd"/>
            <w:r w:rsidRPr="00BA7825">
              <w:rPr>
                <w:color w:val="000000" w:themeColor="text1"/>
                <w:sz w:val="22"/>
                <w:szCs w:val="22"/>
                <w:lang w:val="en-US"/>
              </w:rPr>
              <w:t xml:space="preserve"> recommended, with exclusive staffing, particularly where single rooms are not available.</w:t>
            </w:r>
          </w:p>
        </w:tc>
        <w:tc>
          <w:tcPr>
            <w:tcW w:w="3024" w:type="dxa"/>
            <w:hideMark/>
          </w:tcPr>
          <w:p w14:paraId="2DAD1832"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Confirmed/suspected cases are isolated in private room. </w:t>
            </w:r>
          </w:p>
        </w:tc>
        <w:tc>
          <w:tcPr>
            <w:tcW w:w="3024" w:type="dxa"/>
            <w:hideMark/>
          </w:tcPr>
          <w:p w14:paraId="64860D3B"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 xml:space="preserve">Confirmed/suspected cases are isolated in private or </w:t>
            </w:r>
            <w:proofErr w:type="spellStart"/>
            <w:r w:rsidRPr="00BA7825">
              <w:rPr>
                <w:color w:val="000000" w:themeColor="text1"/>
                <w:sz w:val="22"/>
                <w:szCs w:val="22"/>
                <w:lang w:val="en-US"/>
              </w:rPr>
              <w:t>cohorted</w:t>
            </w:r>
            <w:proofErr w:type="spellEnd"/>
            <w:r w:rsidRPr="00BA7825">
              <w:rPr>
                <w:color w:val="000000" w:themeColor="text1"/>
                <w:sz w:val="22"/>
                <w:szCs w:val="22"/>
                <w:lang w:val="en-US"/>
              </w:rPr>
              <w:t xml:space="preserve"> room. </w:t>
            </w:r>
          </w:p>
        </w:tc>
        <w:tc>
          <w:tcPr>
            <w:tcW w:w="3024" w:type="dxa"/>
            <w:hideMark/>
          </w:tcPr>
          <w:p w14:paraId="05B66CD3"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Buffer zones created within existing facilities. Symptomatic and positive residents placed in designated “hot zones”.</w:t>
            </w:r>
          </w:p>
        </w:tc>
      </w:tr>
      <w:tr w:rsidR="00BA21BF" w:rsidRPr="00BA7825" w14:paraId="65FCF118" w14:textId="77777777" w:rsidTr="005841F8">
        <w:tc>
          <w:tcPr>
            <w:tcW w:w="2242" w:type="dxa"/>
            <w:hideMark/>
          </w:tcPr>
          <w:p w14:paraId="4C17BC1E"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One staff to one facility policies </w:t>
            </w:r>
          </w:p>
        </w:tc>
        <w:tc>
          <w:tcPr>
            <w:tcW w:w="2574" w:type="dxa"/>
            <w:hideMark/>
          </w:tcPr>
          <w:p w14:paraId="4598A5DD" w14:textId="77777777" w:rsidR="00BA21BF" w:rsidRPr="00153D99" w:rsidRDefault="00BA21BF" w:rsidP="00153D99">
            <w:pPr>
              <w:spacing w:line="256" w:lineRule="auto"/>
              <w:textAlignment w:val="baseline"/>
              <w:rPr>
                <w:color w:val="000000" w:themeColor="text1"/>
                <w:sz w:val="22"/>
                <w:szCs w:val="22"/>
                <w:vertAlign w:val="superscript"/>
                <w:lang w:val="en-US"/>
              </w:rPr>
            </w:pPr>
            <w:r w:rsidRPr="00153D99">
              <w:rPr>
                <w:color w:val="000000" w:themeColor="text1"/>
                <w:sz w:val="22"/>
                <w:szCs w:val="22"/>
                <w:lang w:val="en-US"/>
              </w:rPr>
              <w:t>April 13: Measures recommended to promote staff to limit their work to one facility, e.g., increasing full-time positions.</w:t>
            </w:r>
            <w:r w:rsidRPr="00153D99">
              <w:rPr>
                <w:color w:val="000000" w:themeColor="text1"/>
                <w:sz w:val="22"/>
                <w:szCs w:val="22"/>
                <w:vertAlign w:val="superscript"/>
                <w:lang w:val="en-US"/>
              </w:rPr>
              <w:t>4</w:t>
            </w:r>
          </w:p>
        </w:tc>
        <w:tc>
          <w:tcPr>
            <w:tcW w:w="3024" w:type="dxa"/>
            <w:hideMark/>
          </w:tcPr>
          <w:p w14:paraId="0C1FD665"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Introduced on March 27.</w:t>
            </w:r>
          </w:p>
          <w:p w14:paraId="3C70A2A1"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Two RHAs implemented policies earlier: March 21/22. </w:t>
            </w:r>
          </w:p>
        </w:tc>
        <w:tc>
          <w:tcPr>
            <w:tcW w:w="3024" w:type="dxa"/>
            <w:hideMark/>
          </w:tcPr>
          <w:p w14:paraId="481BCE55"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Introduced on April 14. </w:t>
            </w:r>
          </w:p>
        </w:tc>
        <w:tc>
          <w:tcPr>
            <w:tcW w:w="3024" w:type="dxa"/>
            <w:hideMark/>
          </w:tcPr>
          <w:p w14:paraId="6DC77688"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April 10: employees assigned to hot zones must limit their movement between units.</w:t>
            </w:r>
          </w:p>
          <w:p w14:paraId="181B2F94" w14:textId="77777777" w:rsidR="00BA21BF" w:rsidRPr="00153D99" w:rsidRDefault="00BA21BF" w:rsidP="00153D99">
            <w:pPr>
              <w:spacing w:line="256" w:lineRule="auto"/>
              <w:textAlignment w:val="baseline"/>
              <w:rPr>
                <w:color w:val="000000" w:themeColor="text1"/>
                <w:sz w:val="22"/>
                <w:szCs w:val="22"/>
                <w:lang w:val="en-US"/>
              </w:rPr>
            </w:pPr>
            <w:r w:rsidRPr="00153D99">
              <w:rPr>
                <w:color w:val="000000" w:themeColor="text1"/>
                <w:sz w:val="22"/>
                <w:szCs w:val="22"/>
                <w:lang w:val="en-US"/>
              </w:rPr>
              <w:t>October 28: General directive issued requiring staff to limit work to one facility. </w:t>
            </w:r>
          </w:p>
        </w:tc>
      </w:tr>
      <w:tr w:rsidR="00BA21BF" w:rsidRPr="00BA7825" w14:paraId="25CD2125" w14:textId="77777777" w:rsidTr="005841F8">
        <w:tc>
          <w:tcPr>
            <w:tcW w:w="2242" w:type="dxa"/>
            <w:hideMark/>
          </w:tcPr>
          <w:p w14:paraId="33BA05A1" w14:textId="77777777" w:rsidR="00BA21BF" w:rsidRPr="00BA7825" w:rsidRDefault="00BA21BF" w:rsidP="00F7641E">
            <w:pPr>
              <w:spacing w:line="256" w:lineRule="auto"/>
              <w:textAlignment w:val="baseline"/>
              <w:rPr>
                <w:color w:val="000000" w:themeColor="text1"/>
                <w:sz w:val="22"/>
                <w:szCs w:val="22"/>
                <w:lang w:val="en-US"/>
              </w:rPr>
            </w:pPr>
            <w:r w:rsidRPr="00BA7825">
              <w:rPr>
                <w:color w:val="000000" w:themeColor="text1"/>
                <w:sz w:val="22"/>
                <w:szCs w:val="22"/>
                <w:lang w:val="en-US"/>
              </w:rPr>
              <w:t>Screening of staff and residents</w:t>
            </w:r>
          </w:p>
        </w:tc>
        <w:tc>
          <w:tcPr>
            <w:tcW w:w="2574" w:type="dxa"/>
            <w:hideMark/>
          </w:tcPr>
          <w:p w14:paraId="0276B826"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Testing and screening of all staff and residents recommended for facilities experiencing an outbreak.</w:t>
            </w:r>
          </w:p>
        </w:tc>
        <w:tc>
          <w:tcPr>
            <w:tcW w:w="3024" w:type="dxa"/>
            <w:hideMark/>
          </w:tcPr>
          <w:p w14:paraId="1F83484C"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March 21-27: Active screening of staff recommended </w:t>
            </w:r>
          </w:p>
          <w:p w14:paraId="0A7951D3"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April 5: symptomatic staff of LTC included in testing eligibility </w:t>
            </w:r>
          </w:p>
        </w:tc>
        <w:tc>
          <w:tcPr>
            <w:tcW w:w="3024" w:type="dxa"/>
            <w:hideMark/>
          </w:tcPr>
          <w:p w14:paraId="6B44B755"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March 30: recommended screening and temperature checks for all staff </w:t>
            </w:r>
          </w:p>
          <w:p w14:paraId="463A341C"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April 10: Prioritized testing of symptomatic frontline healthcare staff </w:t>
            </w:r>
          </w:p>
          <w:p w14:paraId="41EDF64E"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April 15: the above expanded to include asymptomatic LTC staff </w:t>
            </w:r>
          </w:p>
        </w:tc>
        <w:tc>
          <w:tcPr>
            <w:tcW w:w="3024" w:type="dxa"/>
            <w:hideMark/>
          </w:tcPr>
          <w:p w14:paraId="610EE9E6"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April 2: Screening prioritizes symptomatic health staff in direct contact with patients. </w:t>
            </w:r>
          </w:p>
          <w:p w14:paraId="142FF50C"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April 8: “Systematic” testing of all LTC residents and staff </w:t>
            </w:r>
          </w:p>
          <w:p w14:paraId="0ED894B2" w14:textId="77777777" w:rsidR="00BA21BF" w:rsidRPr="00BA7825" w:rsidRDefault="00BA21BF" w:rsidP="00153D99">
            <w:pPr>
              <w:spacing w:line="256" w:lineRule="auto"/>
              <w:textAlignment w:val="baseline"/>
              <w:rPr>
                <w:color w:val="000000" w:themeColor="text1"/>
                <w:sz w:val="22"/>
                <w:szCs w:val="22"/>
                <w:lang w:val="en-US"/>
              </w:rPr>
            </w:pPr>
            <w:r w:rsidRPr="00BA7825">
              <w:rPr>
                <w:color w:val="000000" w:themeColor="text1"/>
                <w:sz w:val="22"/>
                <w:szCs w:val="22"/>
                <w:lang w:val="en-US"/>
              </w:rPr>
              <w:t>May 4: MOH spokesperson stated asymptomatic LTC staff can be tested (however, conflicting reports have been published by media sources) </w:t>
            </w:r>
          </w:p>
        </w:tc>
      </w:tr>
    </w:tbl>
    <w:p w14:paraId="497D4FEC" w14:textId="023A5672" w:rsidR="00BA21BF" w:rsidRPr="00BA7825" w:rsidRDefault="00BA21BF" w:rsidP="00BA21BF">
      <w:pPr>
        <w:textAlignment w:val="baseline"/>
        <w:rPr>
          <w:color w:val="000000" w:themeColor="text1"/>
          <w:sz w:val="22"/>
          <w:szCs w:val="22"/>
        </w:rPr>
      </w:pPr>
      <w:r w:rsidRPr="00BA7825">
        <w:rPr>
          <w:color w:val="000000" w:themeColor="text1"/>
          <w:sz w:val="22"/>
          <w:szCs w:val="22"/>
        </w:rPr>
        <w:t> </w:t>
      </w:r>
      <w:r w:rsidR="00595963" w:rsidRPr="00BA7825">
        <w:rPr>
          <w:color w:val="000000" w:themeColor="text1"/>
          <w:sz w:val="22"/>
          <w:szCs w:val="22"/>
        </w:rPr>
        <w:t xml:space="preserve">Sources: </w:t>
      </w:r>
      <w:r w:rsidRPr="00BA7825">
        <w:rPr>
          <w:color w:val="000000" w:themeColor="text1"/>
          <w:sz w:val="22"/>
          <w:szCs w:val="22"/>
        </w:rPr>
        <w:t xml:space="preserve">North American Observatory on Health Systems and Policies (2020). North American COVID-19 Policy Response Monitor. Available online: </w:t>
      </w:r>
      <w:hyperlink r:id="rId10" w:history="1">
        <w:r w:rsidRPr="00BA7825">
          <w:rPr>
            <w:rStyle w:val="Hyperlink"/>
            <w:sz w:val="22"/>
            <w:szCs w:val="22"/>
          </w:rPr>
          <w:t>https://ihpme.utoronto.ca/research/research-centres-initiatives/nao/covid19/</w:t>
        </w:r>
      </w:hyperlink>
      <w:r w:rsidRPr="00BA7825">
        <w:rPr>
          <w:color w:val="000000" w:themeColor="text1"/>
          <w:sz w:val="22"/>
          <w:szCs w:val="22"/>
        </w:rPr>
        <w:t xml:space="preserve"> Accessed: Nov 20, 2020</w:t>
      </w:r>
      <w:r w:rsidR="00595963" w:rsidRPr="00BA7825">
        <w:rPr>
          <w:color w:val="000000" w:themeColor="text1"/>
          <w:sz w:val="22"/>
          <w:szCs w:val="22"/>
        </w:rPr>
        <w:t xml:space="preserve">; </w:t>
      </w:r>
      <w:r w:rsidRPr="00BA7825">
        <w:rPr>
          <w:color w:val="000000" w:themeColor="text1"/>
          <w:sz w:val="22"/>
          <w:szCs w:val="22"/>
        </w:rPr>
        <w:t xml:space="preserve">Canadian Institute for Health Information (2020). Long-term care homes in Canada: How many and who owns them? Available online: </w:t>
      </w:r>
      <w:hyperlink r:id="rId11" w:history="1">
        <w:r w:rsidRPr="00BA7825">
          <w:rPr>
            <w:rStyle w:val="Hyperlink"/>
            <w:sz w:val="22"/>
            <w:szCs w:val="22"/>
          </w:rPr>
          <w:t>www.cihi.ca/en/long-term-care-homes-in-canada-how-many-and-who-owns-them</w:t>
        </w:r>
      </w:hyperlink>
      <w:r w:rsidRPr="00BA7825">
        <w:rPr>
          <w:color w:val="000000" w:themeColor="text1"/>
          <w:sz w:val="22"/>
          <w:szCs w:val="22"/>
        </w:rPr>
        <w:t xml:space="preserve"> Accessed: Nov 20, 2020</w:t>
      </w:r>
      <w:r w:rsidR="00595963" w:rsidRPr="00BA7825">
        <w:rPr>
          <w:color w:val="000000" w:themeColor="text1"/>
          <w:sz w:val="22"/>
          <w:szCs w:val="22"/>
        </w:rPr>
        <w:t xml:space="preserve">; </w:t>
      </w:r>
      <w:r w:rsidRPr="00BA7825">
        <w:rPr>
          <w:color w:val="000000" w:themeColor="text1"/>
          <w:sz w:val="22"/>
          <w:szCs w:val="22"/>
        </w:rPr>
        <w:br/>
        <w:t xml:space="preserve">National Institute on Ageing (2020). LTC COVID-19 Tracker. Available online: </w:t>
      </w:r>
      <w:hyperlink r:id="rId12" w:history="1">
        <w:r w:rsidRPr="00BA7825">
          <w:rPr>
            <w:rStyle w:val="Hyperlink"/>
            <w:sz w:val="22"/>
            <w:szCs w:val="22"/>
          </w:rPr>
          <w:t>https://ltc-covid19-tracker.ca/</w:t>
        </w:r>
      </w:hyperlink>
      <w:r w:rsidRPr="00BA7825">
        <w:rPr>
          <w:color w:val="000000" w:themeColor="text1"/>
          <w:sz w:val="22"/>
          <w:szCs w:val="22"/>
        </w:rPr>
        <w:t xml:space="preserve"> Accessed: Nov 20, 2020</w:t>
      </w:r>
      <w:r w:rsidR="00595963" w:rsidRPr="00BA7825">
        <w:rPr>
          <w:color w:val="000000" w:themeColor="text1"/>
          <w:sz w:val="22"/>
          <w:szCs w:val="22"/>
        </w:rPr>
        <w:t xml:space="preserve">; </w:t>
      </w:r>
      <w:r w:rsidRPr="00BA7825">
        <w:rPr>
          <w:color w:val="000000" w:themeColor="text1"/>
          <w:sz w:val="22"/>
          <w:szCs w:val="22"/>
        </w:rPr>
        <w:t xml:space="preserve">PHAC (2020). Public Health Agency of Canada releases interim guidance for infection prevention and control of COVID-19 for long-term care homes. Available online: </w:t>
      </w:r>
      <w:hyperlink r:id="rId13" w:history="1">
        <w:r w:rsidRPr="00BA7825">
          <w:rPr>
            <w:rStyle w:val="Hyperlink"/>
            <w:sz w:val="22"/>
            <w:szCs w:val="22"/>
          </w:rPr>
          <w:t>www.canada.ca/en/public-health/news/2020/04/public-health-agency-of-canada-releases-interim-guidance-for-infection-prevention-and-control-of-covid-19-for-long-term-care-homes.html</w:t>
        </w:r>
      </w:hyperlink>
      <w:r w:rsidRPr="00BA7825">
        <w:rPr>
          <w:color w:val="000000" w:themeColor="text1"/>
          <w:sz w:val="22"/>
          <w:szCs w:val="22"/>
        </w:rPr>
        <w:t>. Accessed: Feb 7, 2021</w:t>
      </w:r>
    </w:p>
    <w:p w14:paraId="59BBF209" w14:textId="5C646D94" w:rsidR="006540B2" w:rsidRPr="00BA7825" w:rsidRDefault="00102E75" w:rsidP="00BA21BF">
      <w:pPr>
        <w:spacing w:after="160" w:line="256" w:lineRule="auto"/>
        <w:rPr>
          <w:color w:val="000000" w:themeColor="text1"/>
          <w:sz w:val="22"/>
          <w:szCs w:val="22"/>
        </w:rPr>
      </w:pPr>
    </w:p>
    <w:sectPr w:rsidR="006540B2" w:rsidRPr="00BA7825" w:rsidSect="00BA21B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5DE6"/>
    <w:multiLevelType w:val="multilevel"/>
    <w:tmpl w:val="FD484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54EF0"/>
    <w:multiLevelType w:val="hybridMultilevel"/>
    <w:tmpl w:val="14A08588"/>
    <w:lvl w:ilvl="0" w:tplc="36468166">
      <w:start w:val="1"/>
      <w:numFmt w:val="bullet"/>
      <w:lvlText w:val=""/>
      <w:lvlJc w:val="left"/>
      <w:pPr>
        <w:tabs>
          <w:tab w:val="num" w:pos="720"/>
        </w:tabs>
        <w:ind w:left="720" w:hanging="360"/>
      </w:pPr>
      <w:rPr>
        <w:rFonts w:ascii="Symbol" w:hAnsi="Symbol" w:hint="default"/>
        <w:sz w:val="20"/>
      </w:rPr>
    </w:lvl>
    <w:lvl w:ilvl="1" w:tplc="9AF2BACC">
      <w:start w:val="1"/>
      <w:numFmt w:val="bullet"/>
      <w:lvlText w:val=""/>
      <w:lvlJc w:val="left"/>
      <w:pPr>
        <w:tabs>
          <w:tab w:val="num" w:pos="1440"/>
        </w:tabs>
        <w:ind w:left="1440" w:hanging="360"/>
      </w:pPr>
      <w:rPr>
        <w:rFonts w:ascii="Symbol" w:hAnsi="Symbol" w:hint="default"/>
        <w:sz w:val="20"/>
      </w:rPr>
    </w:lvl>
    <w:lvl w:ilvl="2" w:tplc="D81C5A8C">
      <w:start w:val="1"/>
      <w:numFmt w:val="bullet"/>
      <w:lvlText w:val=""/>
      <w:lvlJc w:val="left"/>
      <w:pPr>
        <w:tabs>
          <w:tab w:val="num" w:pos="2160"/>
        </w:tabs>
        <w:ind w:left="2160" w:hanging="360"/>
      </w:pPr>
      <w:rPr>
        <w:rFonts w:ascii="Symbol" w:hAnsi="Symbol" w:hint="default"/>
        <w:sz w:val="20"/>
      </w:rPr>
    </w:lvl>
    <w:lvl w:ilvl="3" w:tplc="22149A26">
      <w:start w:val="1"/>
      <w:numFmt w:val="bullet"/>
      <w:lvlText w:val=""/>
      <w:lvlJc w:val="left"/>
      <w:pPr>
        <w:tabs>
          <w:tab w:val="num" w:pos="2880"/>
        </w:tabs>
        <w:ind w:left="2880" w:hanging="360"/>
      </w:pPr>
      <w:rPr>
        <w:rFonts w:ascii="Symbol" w:hAnsi="Symbol" w:hint="default"/>
        <w:sz w:val="20"/>
      </w:rPr>
    </w:lvl>
    <w:lvl w:ilvl="4" w:tplc="2AC64DDA">
      <w:start w:val="1"/>
      <w:numFmt w:val="bullet"/>
      <w:lvlText w:val=""/>
      <w:lvlJc w:val="left"/>
      <w:pPr>
        <w:tabs>
          <w:tab w:val="num" w:pos="3600"/>
        </w:tabs>
        <w:ind w:left="3600" w:hanging="360"/>
      </w:pPr>
      <w:rPr>
        <w:rFonts w:ascii="Symbol" w:hAnsi="Symbol" w:hint="default"/>
        <w:sz w:val="20"/>
      </w:rPr>
    </w:lvl>
    <w:lvl w:ilvl="5" w:tplc="0BBEDDE2">
      <w:start w:val="1"/>
      <w:numFmt w:val="bullet"/>
      <w:lvlText w:val=""/>
      <w:lvlJc w:val="left"/>
      <w:pPr>
        <w:tabs>
          <w:tab w:val="num" w:pos="4320"/>
        </w:tabs>
        <w:ind w:left="4320" w:hanging="360"/>
      </w:pPr>
      <w:rPr>
        <w:rFonts w:ascii="Symbol" w:hAnsi="Symbol" w:hint="default"/>
        <w:sz w:val="20"/>
      </w:rPr>
    </w:lvl>
    <w:lvl w:ilvl="6" w:tplc="BA5628A6">
      <w:start w:val="1"/>
      <w:numFmt w:val="bullet"/>
      <w:lvlText w:val=""/>
      <w:lvlJc w:val="left"/>
      <w:pPr>
        <w:tabs>
          <w:tab w:val="num" w:pos="5040"/>
        </w:tabs>
        <w:ind w:left="5040" w:hanging="360"/>
      </w:pPr>
      <w:rPr>
        <w:rFonts w:ascii="Symbol" w:hAnsi="Symbol" w:hint="default"/>
        <w:sz w:val="20"/>
      </w:rPr>
    </w:lvl>
    <w:lvl w:ilvl="7" w:tplc="C13E0472">
      <w:start w:val="1"/>
      <w:numFmt w:val="bullet"/>
      <w:lvlText w:val=""/>
      <w:lvlJc w:val="left"/>
      <w:pPr>
        <w:tabs>
          <w:tab w:val="num" w:pos="5760"/>
        </w:tabs>
        <w:ind w:left="5760" w:hanging="360"/>
      </w:pPr>
      <w:rPr>
        <w:rFonts w:ascii="Symbol" w:hAnsi="Symbol" w:hint="default"/>
        <w:sz w:val="20"/>
      </w:rPr>
    </w:lvl>
    <w:lvl w:ilvl="8" w:tplc="E2EE6D00">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A611D"/>
    <w:multiLevelType w:val="hybridMultilevel"/>
    <w:tmpl w:val="D74E8E64"/>
    <w:lvl w:ilvl="0" w:tplc="4F7CBCD0">
      <w:start w:val="1"/>
      <w:numFmt w:val="bullet"/>
      <w:lvlText w:val=""/>
      <w:lvlJc w:val="left"/>
      <w:pPr>
        <w:tabs>
          <w:tab w:val="num" w:pos="720"/>
        </w:tabs>
        <w:ind w:left="720" w:hanging="360"/>
      </w:pPr>
      <w:rPr>
        <w:rFonts w:ascii="Symbol" w:hAnsi="Symbol" w:hint="default"/>
        <w:sz w:val="20"/>
      </w:rPr>
    </w:lvl>
    <w:lvl w:ilvl="1" w:tplc="EC62011A">
      <w:start w:val="1"/>
      <w:numFmt w:val="bullet"/>
      <w:lvlText w:val=""/>
      <w:lvlJc w:val="left"/>
      <w:pPr>
        <w:tabs>
          <w:tab w:val="num" w:pos="1440"/>
        </w:tabs>
        <w:ind w:left="1440" w:hanging="360"/>
      </w:pPr>
      <w:rPr>
        <w:rFonts w:ascii="Symbol" w:hAnsi="Symbol" w:hint="default"/>
        <w:sz w:val="20"/>
      </w:rPr>
    </w:lvl>
    <w:lvl w:ilvl="2" w:tplc="7C7C4238">
      <w:start w:val="1"/>
      <w:numFmt w:val="bullet"/>
      <w:lvlText w:val=""/>
      <w:lvlJc w:val="left"/>
      <w:pPr>
        <w:tabs>
          <w:tab w:val="num" w:pos="2160"/>
        </w:tabs>
        <w:ind w:left="2160" w:hanging="360"/>
      </w:pPr>
      <w:rPr>
        <w:rFonts w:ascii="Symbol" w:hAnsi="Symbol" w:hint="default"/>
        <w:sz w:val="20"/>
      </w:rPr>
    </w:lvl>
    <w:lvl w:ilvl="3" w:tplc="D2024A04">
      <w:start w:val="1"/>
      <w:numFmt w:val="bullet"/>
      <w:lvlText w:val=""/>
      <w:lvlJc w:val="left"/>
      <w:pPr>
        <w:tabs>
          <w:tab w:val="num" w:pos="2880"/>
        </w:tabs>
        <w:ind w:left="2880" w:hanging="360"/>
      </w:pPr>
      <w:rPr>
        <w:rFonts w:ascii="Symbol" w:hAnsi="Symbol" w:hint="default"/>
        <w:sz w:val="20"/>
      </w:rPr>
    </w:lvl>
    <w:lvl w:ilvl="4" w:tplc="044C3FC6">
      <w:start w:val="1"/>
      <w:numFmt w:val="bullet"/>
      <w:lvlText w:val=""/>
      <w:lvlJc w:val="left"/>
      <w:pPr>
        <w:tabs>
          <w:tab w:val="num" w:pos="3600"/>
        </w:tabs>
        <w:ind w:left="3600" w:hanging="360"/>
      </w:pPr>
      <w:rPr>
        <w:rFonts w:ascii="Symbol" w:hAnsi="Symbol" w:hint="default"/>
        <w:sz w:val="20"/>
      </w:rPr>
    </w:lvl>
    <w:lvl w:ilvl="5" w:tplc="DF82416C">
      <w:start w:val="1"/>
      <w:numFmt w:val="bullet"/>
      <w:lvlText w:val=""/>
      <w:lvlJc w:val="left"/>
      <w:pPr>
        <w:tabs>
          <w:tab w:val="num" w:pos="4320"/>
        </w:tabs>
        <w:ind w:left="4320" w:hanging="360"/>
      </w:pPr>
      <w:rPr>
        <w:rFonts w:ascii="Symbol" w:hAnsi="Symbol" w:hint="default"/>
        <w:sz w:val="20"/>
      </w:rPr>
    </w:lvl>
    <w:lvl w:ilvl="6" w:tplc="3C4CC26C">
      <w:start w:val="1"/>
      <w:numFmt w:val="bullet"/>
      <w:lvlText w:val=""/>
      <w:lvlJc w:val="left"/>
      <w:pPr>
        <w:tabs>
          <w:tab w:val="num" w:pos="5040"/>
        </w:tabs>
        <w:ind w:left="5040" w:hanging="360"/>
      </w:pPr>
      <w:rPr>
        <w:rFonts w:ascii="Symbol" w:hAnsi="Symbol" w:hint="default"/>
        <w:sz w:val="20"/>
      </w:rPr>
    </w:lvl>
    <w:lvl w:ilvl="7" w:tplc="21ECD24E">
      <w:start w:val="1"/>
      <w:numFmt w:val="bullet"/>
      <w:lvlText w:val=""/>
      <w:lvlJc w:val="left"/>
      <w:pPr>
        <w:tabs>
          <w:tab w:val="num" w:pos="5760"/>
        </w:tabs>
        <w:ind w:left="5760" w:hanging="360"/>
      </w:pPr>
      <w:rPr>
        <w:rFonts w:ascii="Symbol" w:hAnsi="Symbol" w:hint="default"/>
        <w:sz w:val="20"/>
      </w:rPr>
    </w:lvl>
    <w:lvl w:ilvl="8" w:tplc="B54CD9EC">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2843"/>
    <w:multiLevelType w:val="hybridMultilevel"/>
    <w:tmpl w:val="A65E0816"/>
    <w:lvl w:ilvl="0" w:tplc="EE7CC170">
      <w:start w:val="1"/>
      <w:numFmt w:val="bullet"/>
      <w:lvlText w:val=""/>
      <w:lvlJc w:val="left"/>
      <w:pPr>
        <w:tabs>
          <w:tab w:val="num" w:pos="720"/>
        </w:tabs>
        <w:ind w:left="720" w:hanging="360"/>
      </w:pPr>
      <w:rPr>
        <w:rFonts w:ascii="Symbol" w:hAnsi="Symbol" w:hint="default"/>
        <w:sz w:val="20"/>
      </w:rPr>
    </w:lvl>
    <w:lvl w:ilvl="1" w:tplc="62605F94">
      <w:start w:val="1"/>
      <w:numFmt w:val="bullet"/>
      <w:lvlText w:val=""/>
      <w:lvlJc w:val="left"/>
      <w:pPr>
        <w:tabs>
          <w:tab w:val="num" w:pos="1440"/>
        </w:tabs>
        <w:ind w:left="1440" w:hanging="360"/>
      </w:pPr>
      <w:rPr>
        <w:rFonts w:ascii="Symbol" w:hAnsi="Symbol" w:hint="default"/>
        <w:sz w:val="20"/>
      </w:rPr>
    </w:lvl>
    <w:lvl w:ilvl="2" w:tplc="4622DA2E">
      <w:start w:val="1"/>
      <w:numFmt w:val="bullet"/>
      <w:lvlText w:val=""/>
      <w:lvlJc w:val="left"/>
      <w:pPr>
        <w:tabs>
          <w:tab w:val="num" w:pos="2160"/>
        </w:tabs>
        <w:ind w:left="2160" w:hanging="360"/>
      </w:pPr>
      <w:rPr>
        <w:rFonts w:ascii="Symbol" w:hAnsi="Symbol" w:hint="default"/>
        <w:sz w:val="20"/>
      </w:rPr>
    </w:lvl>
    <w:lvl w:ilvl="3" w:tplc="92682360">
      <w:start w:val="1"/>
      <w:numFmt w:val="bullet"/>
      <w:lvlText w:val=""/>
      <w:lvlJc w:val="left"/>
      <w:pPr>
        <w:tabs>
          <w:tab w:val="num" w:pos="2880"/>
        </w:tabs>
        <w:ind w:left="2880" w:hanging="360"/>
      </w:pPr>
      <w:rPr>
        <w:rFonts w:ascii="Symbol" w:hAnsi="Symbol" w:hint="default"/>
        <w:sz w:val="20"/>
      </w:rPr>
    </w:lvl>
    <w:lvl w:ilvl="4" w:tplc="5F98D5C6">
      <w:start w:val="1"/>
      <w:numFmt w:val="bullet"/>
      <w:lvlText w:val=""/>
      <w:lvlJc w:val="left"/>
      <w:pPr>
        <w:tabs>
          <w:tab w:val="num" w:pos="3600"/>
        </w:tabs>
        <w:ind w:left="3600" w:hanging="360"/>
      </w:pPr>
      <w:rPr>
        <w:rFonts w:ascii="Symbol" w:hAnsi="Symbol" w:hint="default"/>
        <w:sz w:val="20"/>
      </w:rPr>
    </w:lvl>
    <w:lvl w:ilvl="5" w:tplc="93A6AC64">
      <w:start w:val="1"/>
      <w:numFmt w:val="bullet"/>
      <w:lvlText w:val=""/>
      <w:lvlJc w:val="left"/>
      <w:pPr>
        <w:tabs>
          <w:tab w:val="num" w:pos="4320"/>
        </w:tabs>
        <w:ind w:left="4320" w:hanging="360"/>
      </w:pPr>
      <w:rPr>
        <w:rFonts w:ascii="Symbol" w:hAnsi="Symbol" w:hint="default"/>
        <w:sz w:val="20"/>
      </w:rPr>
    </w:lvl>
    <w:lvl w:ilvl="6" w:tplc="18B2C7C0">
      <w:start w:val="1"/>
      <w:numFmt w:val="bullet"/>
      <w:lvlText w:val=""/>
      <w:lvlJc w:val="left"/>
      <w:pPr>
        <w:tabs>
          <w:tab w:val="num" w:pos="5040"/>
        </w:tabs>
        <w:ind w:left="5040" w:hanging="360"/>
      </w:pPr>
      <w:rPr>
        <w:rFonts w:ascii="Symbol" w:hAnsi="Symbol" w:hint="default"/>
        <w:sz w:val="20"/>
      </w:rPr>
    </w:lvl>
    <w:lvl w:ilvl="7" w:tplc="CC2430A6">
      <w:start w:val="1"/>
      <w:numFmt w:val="bullet"/>
      <w:lvlText w:val=""/>
      <w:lvlJc w:val="left"/>
      <w:pPr>
        <w:tabs>
          <w:tab w:val="num" w:pos="5760"/>
        </w:tabs>
        <w:ind w:left="5760" w:hanging="360"/>
      </w:pPr>
      <w:rPr>
        <w:rFonts w:ascii="Symbol" w:hAnsi="Symbol" w:hint="default"/>
        <w:sz w:val="20"/>
      </w:rPr>
    </w:lvl>
    <w:lvl w:ilvl="8" w:tplc="B08A1880">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1206AF"/>
    <w:multiLevelType w:val="hybridMultilevel"/>
    <w:tmpl w:val="4796CEC4"/>
    <w:lvl w:ilvl="0" w:tplc="3C029494">
      <w:start w:val="1"/>
      <w:numFmt w:val="bullet"/>
      <w:lvlText w:val=""/>
      <w:lvlJc w:val="left"/>
      <w:pPr>
        <w:tabs>
          <w:tab w:val="num" w:pos="720"/>
        </w:tabs>
        <w:ind w:left="720" w:hanging="360"/>
      </w:pPr>
      <w:rPr>
        <w:rFonts w:ascii="Symbol" w:hAnsi="Symbol" w:hint="default"/>
        <w:sz w:val="20"/>
      </w:rPr>
    </w:lvl>
    <w:lvl w:ilvl="1" w:tplc="6E4250C2">
      <w:start w:val="1"/>
      <w:numFmt w:val="bullet"/>
      <w:lvlText w:val=""/>
      <w:lvlJc w:val="left"/>
      <w:pPr>
        <w:tabs>
          <w:tab w:val="num" w:pos="1440"/>
        </w:tabs>
        <w:ind w:left="1440" w:hanging="360"/>
      </w:pPr>
      <w:rPr>
        <w:rFonts w:ascii="Symbol" w:hAnsi="Symbol" w:hint="default"/>
        <w:sz w:val="20"/>
      </w:rPr>
    </w:lvl>
    <w:lvl w:ilvl="2" w:tplc="AA46E95A">
      <w:start w:val="1"/>
      <w:numFmt w:val="bullet"/>
      <w:lvlText w:val=""/>
      <w:lvlJc w:val="left"/>
      <w:pPr>
        <w:tabs>
          <w:tab w:val="num" w:pos="2160"/>
        </w:tabs>
        <w:ind w:left="2160" w:hanging="360"/>
      </w:pPr>
      <w:rPr>
        <w:rFonts w:ascii="Symbol" w:hAnsi="Symbol" w:hint="default"/>
        <w:sz w:val="20"/>
      </w:rPr>
    </w:lvl>
    <w:lvl w:ilvl="3" w:tplc="AFF82CA4">
      <w:start w:val="1"/>
      <w:numFmt w:val="bullet"/>
      <w:lvlText w:val=""/>
      <w:lvlJc w:val="left"/>
      <w:pPr>
        <w:tabs>
          <w:tab w:val="num" w:pos="2880"/>
        </w:tabs>
        <w:ind w:left="2880" w:hanging="360"/>
      </w:pPr>
      <w:rPr>
        <w:rFonts w:ascii="Symbol" w:hAnsi="Symbol" w:hint="default"/>
        <w:sz w:val="20"/>
      </w:rPr>
    </w:lvl>
    <w:lvl w:ilvl="4" w:tplc="E1866720">
      <w:start w:val="1"/>
      <w:numFmt w:val="bullet"/>
      <w:lvlText w:val=""/>
      <w:lvlJc w:val="left"/>
      <w:pPr>
        <w:tabs>
          <w:tab w:val="num" w:pos="3600"/>
        </w:tabs>
        <w:ind w:left="3600" w:hanging="360"/>
      </w:pPr>
      <w:rPr>
        <w:rFonts w:ascii="Symbol" w:hAnsi="Symbol" w:hint="default"/>
        <w:sz w:val="20"/>
      </w:rPr>
    </w:lvl>
    <w:lvl w:ilvl="5" w:tplc="C49E57E0">
      <w:start w:val="1"/>
      <w:numFmt w:val="bullet"/>
      <w:lvlText w:val=""/>
      <w:lvlJc w:val="left"/>
      <w:pPr>
        <w:tabs>
          <w:tab w:val="num" w:pos="4320"/>
        </w:tabs>
        <w:ind w:left="4320" w:hanging="360"/>
      </w:pPr>
      <w:rPr>
        <w:rFonts w:ascii="Symbol" w:hAnsi="Symbol" w:hint="default"/>
        <w:sz w:val="20"/>
      </w:rPr>
    </w:lvl>
    <w:lvl w:ilvl="6" w:tplc="8654C5CA">
      <w:start w:val="1"/>
      <w:numFmt w:val="bullet"/>
      <w:lvlText w:val=""/>
      <w:lvlJc w:val="left"/>
      <w:pPr>
        <w:tabs>
          <w:tab w:val="num" w:pos="5040"/>
        </w:tabs>
        <w:ind w:left="5040" w:hanging="360"/>
      </w:pPr>
      <w:rPr>
        <w:rFonts w:ascii="Symbol" w:hAnsi="Symbol" w:hint="default"/>
        <w:sz w:val="20"/>
      </w:rPr>
    </w:lvl>
    <w:lvl w:ilvl="7" w:tplc="4C1AF35C">
      <w:start w:val="1"/>
      <w:numFmt w:val="bullet"/>
      <w:lvlText w:val=""/>
      <w:lvlJc w:val="left"/>
      <w:pPr>
        <w:tabs>
          <w:tab w:val="num" w:pos="5760"/>
        </w:tabs>
        <w:ind w:left="5760" w:hanging="360"/>
      </w:pPr>
      <w:rPr>
        <w:rFonts w:ascii="Symbol" w:hAnsi="Symbol" w:hint="default"/>
        <w:sz w:val="20"/>
      </w:rPr>
    </w:lvl>
    <w:lvl w:ilvl="8" w:tplc="CBCE3552">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52C38"/>
    <w:multiLevelType w:val="hybridMultilevel"/>
    <w:tmpl w:val="1F00A062"/>
    <w:lvl w:ilvl="0" w:tplc="092EA912">
      <w:start w:val="1"/>
      <w:numFmt w:val="bullet"/>
      <w:lvlText w:val=""/>
      <w:lvlJc w:val="left"/>
      <w:pPr>
        <w:tabs>
          <w:tab w:val="num" w:pos="720"/>
        </w:tabs>
        <w:ind w:left="720" w:hanging="360"/>
      </w:pPr>
      <w:rPr>
        <w:rFonts w:ascii="Symbol" w:hAnsi="Symbol" w:hint="default"/>
        <w:sz w:val="20"/>
      </w:rPr>
    </w:lvl>
    <w:lvl w:ilvl="1" w:tplc="BD4491BA">
      <w:start w:val="1"/>
      <w:numFmt w:val="bullet"/>
      <w:lvlText w:val=""/>
      <w:lvlJc w:val="left"/>
      <w:pPr>
        <w:tabs>
          <w:tab w:val="num" w:pos="1440"/>
        </w:tabs>
        <w:ind w:left="1440" w:hanging="360"/>
      </w:pPr>
      <w:rPr>
        <w:rFonts w:ascii="Symbol" w:hAnsi="Symbol" w:hint="default"/>
        <w:sz w:val="20"/>
      </w:rPr>
    </w:lvl>
    <w:lvl w:ilvl="2" w:tplc="3920E848">
      <w:start w:val="1"/>
      <w:numFmt w:val="bullet"/>
      <w:lvlText w:val=""/>
      <w:lvlJc w:val="left"/>
      <w:pPr>
        <w:tabs>
          <w:tab w:val="num" w:pos="2160"/>
        </w:tabs>
        <w:ind w:left="2160" w:hanging="360"/>
      </w:pPr>
      <w:rPr>
        <w:rFonts w:ascii="Symbol" w:hAnsi="Symbol" w:hint="default"/>
        <w:sz w:val="20"/>
      </w:rPr>
    </w:lvl>
    <w:lvl w:ilvl="3" w:tplc="C19E7EA8">
      <w:start w:val="1"/>
      <w:numFmt w:val="bullet"/>
      <w:lvlText w:val=""/>
      <w:lvlJc w:val="left"/>
      <w:pPr>
        <w:tabs>
          <w:tab w:val="num" w:pos="2880"/>
        </w:tabs>
        <w:ind w:left="2880" w:hanging="360"/>
      </w:pPr>
      <w:rPr>
        <w:rFonts w:ascii="Symbol" w:hAnsi="Symbol" w:hint="default"/>
        <w:sz w:val="20"/>
      </w:rPr>
    </w:lvl>
    <w:lvl w:ilvl="4" w:tplc="5274A072">
      <w:start w:val="1"/>
      <w:numFmt w:val="bullet"/>
      <w:lvlText w:val=""/>
      <w:lvlJc w:val="left"/>
      <w:pPr>
        <w:tabs>
          <w:tab w:val="num" w:pos="3600"/>
        </w:tabs>
        <w:ind w:left="3600" w:hanging="360"/>
      </w:pPr>
      <w:rPr>
        <w:rFonts w:ascii="Symbol" w:hAnsi="Symbol" w:hint="default"/>
        <w:sz w:val="20"/>
      </w:rPr>
    </w:lvl>
    <w:lvl w:ilvl="5" w:tplc="E25CA4BA">
      <w:start w:val="1"/>
      <w:numFmt w:val="bullet"/>
      <w:lvlText w:val=""/>
      <w:lvlJc w:val="left"/>
      <w:pPr>
        <w:tabs>
          <w:tab w:val="num" w:pos="4320"/>
        </w:tabs>
        <w:ind w:left="4320" w:hanging="360"/>
      </w:pPr>
      <w:rPr>
        <w:rFonts w:ascii="Symbol" w:hAnsi="Symbol" w:hint="default"/>
        <w:sz w:val="20"/>
      </w:rPr>
    </w:lvl>
    <w:lvl w:ilvl="6" w:tplc="1DF2135A">
      <w:start w:val="1"/>
      <w:numFmt w:val="bullet"/>
      <w:lvlText w:val=""/>
      <w:lvlJc w:val="left"/>
      <w:pPr>
        <w:tabs>
          <w:tab w:val="num" w:pos="5040"/>
        </w:tabs>
        <w:ind w:left="5040" w:hanging="360"/>
      </w:pPr>
      <w:rPr>
        <w:rFonts w:ascii="Symbol" w:hAnsi="Symbol" w:hint="default"/>
        <w:sz w:val="20"/>
      </w:rPr>
    </w:lvl>
    <w:lvl w:ilvl="7" w:tplc="D3DE8B40">
      <w:start w:val="1"/>
      <w:numFmt w:val="bullet"/>
      <w:lvlText w:val=""/>
      <w:lvlJc w:val="left"/>
      <w:pPr>
        <w:tabs>
          <w:tab w:val="num" w:pos="5760"/>
        </w:tabs>
        <w:ind w:left="5760" w:hanging="360"/>
      </w:pPr>
      <w:rPr>
        <w:rFonts w:ascii="Symbol" w:hAnsi="Symbol" w:hint="default"/>
        <w:sz w:val="20"/>
      </w:rPr>
    </w:lvl>
    <w:lvl w:ilvl="8" w:tplc="A5D21CC6">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EB3441"/>
    <w:multiLevelType w:val="hybridMultilevel"/>
    <w:tmpl w:val="D5E2D47C"/>
    <w:lvl w:ilvl="0" w:tplc="4344E756">
      <w:start w:val="1"/>
      <w:numFmt w:val="bullet"/>
      <w:lvlText w:val=""/>
      <w:lvlJc w:val="left"/>
      <w:pPr>
        <w:tabs>
          <w:tab w:val="num" w:pos="720"/>
        </w:tabs>
        <w:ind w:left="720" w:hanging="360"/>
      </w:pPr>
      <w:rPr>
        <w:rFonts w:ascii="Symbol" w:hAnsi="Symbol" w:hint="default"/>
        <w:sz w:val="20"/>
      </w:rPr>
    </w:lvl>
    <w:lvl w:ilvl="1" w:tplc="772423FE">
      <w:start w:val="1"/>
      <w:numFmt w:val="bullet"/>
      <w:lvlText w:val=""/>
      <w:lvlJc w:val="left"/>
      <w:pPr>
        <w:tabs>
          <w:tab w:val="num" w:pos="1440"/>
        </w:tabs>
        <w:ind w:left="1440" w:hanging="360"/>
      </w:pPr>
      <w:rPr>
        <w:rFonts w:ascii="Symbol" w:hAnsi="Symbol" w:hint="default"/>
        <w:sz w:val="20"/>
      </w:rPr>
    </w:lvl>
    <w:lvl w:ilvl="2" w:tplc="2A72C21C">
      <w:start w:val="1"/>
      <w:numFmt w:val="bullet"/>
      <w:lvlText w:val=""/>
      <w:lvlJc w:val="left"/>
      <w:pPr>
        <w:tabs>
          <w:tab w:val="num" w:pos="2160"/>
        </w:tabs>
        <w:ind w:left="2160" w:hanging="360"/>
      </w:pPr>
      <w:rPr>
        <w:rFonts w:ascii="Symbol" w:hAnsi="Symbol" w:hint="default"/>
        <w:sz w:val="20"/>
      </w:rPr>
    </w:lvl>
    <w:lvl w:ilvl="3" w:tplc="1EB443C0">
      <w:start w:val="1"/>
      <w:numFmt w:val="bullet"/>
      <w:lvlText w:val=""/>
      <w:lvlJc w:val="left"/>
      <w:pPr>
        <w:tabs>
          <w:tab w:val="num" w:pos="2880"/>
        </w:tabs>
        <w:ind w:left="2880" w:hanging="360"/>
      </w:pPr>
      <w:rPr>
        <w:rFonts w:ascii="Symbol" w:hAnsi="Symbol" w:hint="default"/>
        <w:sz w:val="20"/>
      </w:rPr>
    </w:lvl>
    <w:lvl w:ilvl="4" w:tplc="6F80F8D0">
      <w:start w:val="1"/>
      <w:numFmt w:val="bullet"/>
      <w:lvlText w:val=""/>
      <w:lvlJc w:val="left"/>
      <w:pPr>
        <w:tabs>
          <w:tab w:val="num" w:pos="3600"/>
        </w:tabs>
        <w:ind w:left="3600" w:hanging="360"/>
      </w:pPr>
      <w:rPr>
        <w:rFonts w:ascii="Symbol" w:hAnsi="Symbol" w:hint="default"/>
        <w:sz w:val="20"/>
      </w:rPr>
    </w:lvl>
    <w:lvl w:ilvl="5" w:tplc="C9E85982">
      <w:start w:val="1"/>
      <w:numFmt w:val="bullet"/>
      <w:lvlText w:val=""/>
      <w:lvlJc w:val="left"/>
      <w:pPr>
        <w:tabs>
          <w:tab w:val="num" w:pos="4320"/>
        </w:tabs>
        <w:ind w:left="4320" w:hanging="360"/>
      </w:pPr>
      <w:rPr>
        <w:rFonts w:ascii="Symbol" w:hAnsi="Symbol" w:hint="default"/>
        <w:sz w:val="20"/>
      </w:rPr>
    </w:lvl>
    <w:lvl w:ilvl="6" w:tplc="40D24B9A">
      <w:start w:val="1"/>
      <w:numFmt w:val="bullet"/>
      <w:lvlText w:val=""/>
      <w:lvlJc w:val="left"/>
      <w:pPr>
        <w:tabs>
          <w:tab w:val="num" w:pos="5040"/>
        </w:tabs>
        <w:ind w:left="5040" w:hanging="360"/>
      </w:pPr>
      <w:rPr>
        <w:rFonts w:ascii="Symbol" w:hAnsi="Symbol" w:hint="default"/>
        <w:sz w:val="20"/>
      </w:rPr>
    </w:lvl>
    <w:lvl w:ilvl="7" w:tplc="B8262F62">
      <w:start w:val="1"/>
      <w:numFmt w:val="bullet"/>
      <w:lvlText w:val=""/>
      <w:lvlJc w:val="left"/>
      <w:pPr>
        <w:tabs>
          <w:tab w:val="num" w:pos="5760"/>
        </w:tabs>
        <w:ind w:left="5760" w:hanging="360"/>
      </w:pPr>
      <w:rPr>
        <w:rFonts w:ascii="Symbol" w:hAnsi="Symbol" w:hint="default"/>
        <w:sz w:val="20"/>
      </w:rPr>
    </w:lvl>
    <w:lvl w:ilvl="8" w:tplc="1B8EA132">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816B60"/>
    <w:multiLevelType w:val="hybridMultilevel"/>
    <w:tmpl w:val="10828D36"/>
    <w:lvl w:ilvl="0" w:tplc="8B26A066">
      <w:start w:val="1"/>
      <w:numFmt w:val="bullet"/>
      <w:lvlText w:val=""/>
      <w:lvlJc w:val="left"/>
      <w:pPr>
        <w:tabs>
          <w:tab w:val="num" w:pos="720"/>
        </w:tabs>
        <w:ind w:left="720" w:hanging="360"/>
      </w:pPr>
      <w:rPr>
        <w:rFonts w:ascii="Symbol" w:hAnsi="Symbol" w:hint="default"/>
        <w:sz w:val="20"/>
      </w:rPr>
    </w:lvl>
    <w:lvl w:ilvl="1" w:tplc="1B501312">
      <w:start w:val="1"/>
      <w:numFmt w:val="bullet"/>
      <w:lvlText w:val=""/>
      <w:lvlJc w:val="left"/>
      <w:pPr>
        <w:tabs>
          <w:tab w:val="num" w:pos="1440"/>
        </w:tabs>
        <w:ind w:left="1440" w:hanging="360"/>
      </w:pPr>
      <w:rPr>
        <w:rFonts w:ascii="Symbol" w:hAnsi="Symbol" w:hint="default"/>
        <w:sz w:val="20"/>
      </w:rPr>
    </w:lvl>
    <w:lvl w:ilvl="2" w:tplc="E9B6A55A">
      <w:start w:val="1"/>
      <w:numFmt w:val="bullet"/>
      <w:lvlText w:val=""/>
      <w:lvlJc w:val="left"/>
      <w:pPr>
        <w:tabs>
          <w:tab w:val="num" w:pos="2160"/>
        </w:tabs>
        <w:ind w:left="2160" w:hanging="360"/>
      </w:pPr>
      <w:rPr>
        <w:rFonts w:ascii="Symbol" w:hAnsi="Symbol" w:hint="default"/>
        <w:sz w:val="20"/>
      </w:rPr>
    </w:lvl>
    <w:lvl w:ilvl="3" w:tplc="0CD2567A">
      <w:start w:val="1"/>
      <w:numFmt w:val="bullet"/>
      <w:lvlText w:val=""/>
      <w:lvlJc w:val="left"/>
      <w:pPr>
        <w:tabs>
          <w:tab w:val="num" w:pos="2880"/>
        </w:tabs>
        <w:ind w:left="2880" w:hanging="360"/>
      </w:pPr>
      <w:rPr>
        <w:rFonts w:ascii="Symbol" w:hAnsi="Symbol" w:hint="default"/>
        <w:sz w:val="20"/>
      </w:rPr>
    </w:lvl>
    <w:lvl w:ilvl="4" w:tplc="D6FAC4D4">
      <w:start w:val="1"/>
      <w:numFmt w:val="bullet"/>
      <w:lvlText w:val=""/>
      <w:lvlJc w:val="left"/>
      <w:pPr>
        <w:tabs>
          <w:tab w:val="num" w:pos="3600"/>
        </w:tabs>
        <w:ind w:left="3600" w:hanging="360"/>
      </w:pPr>
      <w:rPr>
        <w:rFonts w:ascii="Symbol" w:hAnsi="Symbol" w:hint="default"/>
        <w:sz w:val="20"/>
      </w:rPr>
    </w:lvl>
    <w:lvl w:ilvl="5" w:tplc="B02AD770">
      <w:start w:val="1"/>
      <w:numFmt w:val="bullet"/>
      <w:lvlText w:val=""/>
      <w:lvlJc w:val="left"/>
      <w:pPr>
        <w:tabs>
          <w:tab w:val="num" w:pos="4320"/>
        </w:tabs>
        <w:ind w:left="4320" w:hanging="360"/>
      </w:pPr>
      <w:rPr>
        <w:rFonts w:ascii="Symbol" w:hAnsi="Symbol" w:hint="default"/>
        <w:sz w:val="20"/>
      </w:rPr>
    </w:lvl>
    <w:lvl w:ilvl="6" w:tplc="A5DC572E">
      <w:start w:val="1"/>
      <w:numFmt w:val="bullet"/>
      <w:lvlText w:val=""/>
      <w:lvlJc w:val="left"/>
      <w:pPr>
        <w:tabs>
          <w:tab w:val="num" w:pos="5040"/>
        </w:tabs>
        <w:ind w:left="5040" w:hanging="360"/>
      </w:pPr>
      <w:rPr>
        <w:rFonts w:ascii="Symbol" w:hAnsi="Symbol" w:hint="default"/>
        <w:sz w:val="20"/>
      </w:rPr>
    </w:lvl>
    <w:lvl w:ilvl="7" w:tplc="1428B4F0">
      <w:start w:val="1"/>
      <w:numFmt w:val="bullet"/>
      <w:lvlText w:val=""/>
      <w:lvlJc w:val="left"/>
      <w:pPr>
        <w:tabs>
          <w:tab w:val="num" w:pos="5760"/>
        </w:tabs>
        <w:ind w:left="5760" w:hanging="360"/>
      </w:pPr>
      <w:rPr>
        <w:rFonts w:ascii="Symbol" w:hAnsi="Symbol" w:hint="default"/>
        <w:sz w:val="20"/>
      </w:rPr>
    </w:lvl>
    <w:lvl w:ilvl="8" w:tplc="054461B2">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A66595"/>
    <w:multiLevelType w:val="hybridMultilevel"/>
    <w:tmpl w:val="BED69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160724E"/>
    <w:multiLevelType w:val="hybridMultilevel"/>
    <w:tmpl w:val="B33E0248"/>
    <w:lvl w:ilvl="0" w:tplc="B2C6C7BA">
      <w:start w:val="1"/>
      <w:numFmt w:val="bullet"/>
      <w:lvlText w:val=""/>
      <w:lvlJc w:val="left"/>
      <w:pPr>
        <w:tabs>
          <w:tab w:val="num" w:pos="720"/>
        </w:tabs>
        <w:ind w:left="720" w:hanging="360"/>
      </w:pPr>
      <w:rPr>
        <w:rFonts w:ascii="Symbol" w:hAnsi="Symbol" w:hint="default"/>
        <w:sz w:val="20"/>
      </w:rPr>
    </w:lvl>
    <w:lvl w:ilvl="1" w:tplc="C278251A">
      <w:start w:val="1"/>
      <w:numFmt w:val="bullet"/>
      <w:lvlText w:val=""/>
      <w:lvlJc w:val="left"/>
      <w:pPr>
        <w:tabs>
          <w:tab w:val="num" w:pos="1440"/>
        </w:tabs>
        <w:ind w:left="1440" w:hanging="360"/>
      </w:pPr>
      <w:rPr>
        <w:rFonts w:ascii="Symbol" w:hAnsi="Symbol" w:hint="default"/>
        <w:sz w:val="20"/>
      </w:rPr>
    </w:lvl>
    <w:lvl w:ilvl="2" w:tplc="D90E7E4A">
      <w:start w:val="1"/>
      <w:numFmt w:val="bullet"/>
      <w:lvlText w:val=""/>
      <w:lvlJc w:val="left"/>
      <w:pPr>
        <w:tabs>
          <w:tab w:val="num" w:pos="2160"/>
        </w:tabs>
        <w:ind w:left="2160" w:hanging="360"/>
      </w:pPr>
      <w:rPr>
        <w:rFonts w:ascii="Symbol" w:hAnsi="Symbol" w:hint="default"/>
        <w:sz w:val="20"/>
      </w:rPr>
    </w:lvl>
    <w:lvl w:ilvl="3" w:tplc="4F803248">
      <w:start w:val="1"/>
      <w:numFmt w:val="bullet"/>
      <w:lvlText w:val=""/>
      <w:lvlJc w:val="left"/>
      <w:pPr>
        <w:tabs>
          <w:tab w:val="num" w:pos="2880"/>
        </w:tabs>
        <w:ind w:left="2880" w:hanging="360"/>
      </w:pPr>
      <w:rPr>
        <w:rFonts w:ascii="Symbol" w:hAnsi="Symbol" w:hint="default"/>
        <w:sz w:val="20"/>
      </w:rPr>
    </w:lvl>
    <w:lvl w:ilvl="4" w:tplc="735C0562">
      <w:start w:val="1"/>
      <w:numFmt w:val="bullet"/>
      <w:lvlText w:val=""/>
      <w:lvlJc w:val="left"/>
      <w:pPr>
        <w:tabs>
          <w:tab w:val="num" w:pos="3600"/>
        </w:tabs>
        <w:ind w:left="3600" w:hanging="360"/>
      </w:pPr>
      <w:rPr>
        <w:rFonts w:ascii="Symbol" w:hAnsi="Symbol" w:hint="default"/>
        <w:sz w:val="20"/>
      </w:rPr>
    </w:lvl>
    <w:lvl w:ilvl="5" w:tplc="CE869B08">
      <w:start w:val="1"/>
      <w:numFmt w:val="bullet"/>
      <w:lvlText w:val=""/>
      <w:lvlJc w:val="left"/>
      <w:pPr>
        <w:tabs>
          <w:tab w:val="num" w:pos="4320"/>
        </w:tabs>
        <w:ind w:left="4320" w:hanging="360"/>
      </w:pPr>
      <w:rPr>
        <w:rFonts w:ascii="Symbol" w:hAnsi="Symbol" w:hint="default"/>
        <w:sz w:val="20"/>
      </w:rPr>
    </w:lvl>
    <w:lvl w:ilvl="6" w:tplc="1BF8653A">
      <w:start w:val="1"/>
      <w:numFmt w:val="bullet"/>
      <w:lvlText w:val=""/>
      <w:lvlJc w:val="left"/>
      <w:pPr>
        <w:tabs>
          <w:tab w:val="num" w:pos="5040"/>
        </w:tabs>
        <w:ind w:left="5040" w:hanging="360"/>
      </w:pPr>
      <w:rPr>
        <w:rFonts w:ascii="Symbol" w:hAnsi="Symbol" w:hint="default"/>
        <w:sz w:val="20"/>
      </w:rPr>
    </w:lvl>
    <w:lvl w:ilvl="7" w:tplc="CAFA5A96">
      <w:start w:val="1"/>
      <w:numFmt w:val="bullet"/>
      <w:lvlText w:val=""/>
      <w:lvlJc w:val="left"/>
      <w:pPr>
        <w:tabs>
          <w:tab w:val="num" w:pos="5760"/>
        </w:tabs>
        <w:ind w:left="5760" w:hanging="360"/>
      </w:pPr>
      <w:rPr>
        <w:rFonts w:ascii="Symbol" w:hAnsi="Symbol" w:hint="default"/>
        <w:sz w:val="20"/>
      </w:rPr>
    </w:lvl>
    <w:lvl w:ilvl="8" w:tplc="A6BAB56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3620D"/>
    <w:multiLevelType w:val="hybridMultilevel"/>
    <w:tmpl w:val="A8E4C34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C3170A7"/>
    <w:multiLevelType w:val="hybridMultilevel"/>
    <w:tmpl w:val="21BA4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41B501FA"/>
    <w:multiLevelType w:val="hybridMultilevel"/>
    <w:tmpl w:val="1D3CC72A"/>
    <w:lvl w:ilvl="0" w:tplc="D36A1F8E">
      <w:start w:val="1"/>
      <w:numFmt w:val="bullet"/>
      <w:lvlText w:val=""/>
      <w:lvlJc w:val="left"/>
      <w:pPr>
        <w:tabs>
          <w:tab w:val="num" w:pos="720"/>
        </w:tabs>
        <w:ind w:left="720" w:hanging="360"/>
      </w:pPr>
      <w:rPr>
        <w:rFonts w:ascii="Symbol" w:hAnsi="Symbol" w:hint="default"/>
        <w:sz w:val="20"/>
      </w:rPr>
    </w:lvl>
    <w:lvl w:ilvl="1" w:tplc="FBE4FFBC">
      <w:start w:val="1"/>
      <w:numFmt w:val="bullet"/>
      <w:lvlText w:val=""/>
      <w:lvlJc w:val="left"/>
      <w:pPr>
        <w:tabs>
          <w:tab w:val="num" w:pos="1440"/>
        </w:tabs>
        <w:ind w:left="1440" w:hanging="360"/>
      </w:pPr>
      <w:rPr>
        <w:rFonts w:ascii="Symbol" w:hAnsi="Symbol" w:hint="default"/>
        <w:sz w:val="20"/>
      </w:rPr>
    </w:lvl>
    <w:lvl w:ilvl="2" w:tplc="8C0C1738">
      <w:start w:val="1"/>
      <w:numFmt w:val="bullet"/>
      <w:lvlText w:val=""/>
      <w:lvlJc w:val="left"/>
      <w:pPr>
        <w:tabs>
          <w:tab w:val="num" w:pos="2160"/>
        </w:tabs>
        <w:ind w:left="2160" w:hanging="360"/>
      </w:pPr>
      <w:rPr>
        <w:rFonts w:ascii="Symbol" w:hAnsi="Symbol" w:hint="default"/>
        <w:sz w:val="20"/>
      </w:rPr>
    </w:lvl>
    <w:lvl w:ilvl="3" w:tplc="335CA272">
      <w:start w:val="1"/>
      <w:numFmt w:val="bullet"/>
      <w:lvlText w:val=""/>
      <w:lvlJc w:val="left"/>
      <w:pPr>
        <w:tabs>
          <w:tab w:val="num" w:pos="2880"/>
        </w:tabs>
        <w:ind w:left="2880" w:hanging="360"/>
      </w:pPr>
      <w:rPr>
        <w:rFonts w:ascii="Symbol" w:hAnsi="Symbol" w:hint="default"/>
        <w:sz w:val="20"/>
      </w:rPr>
    </w:lvl>
    <w:lvl w:ilvl="4" w:tplc="A0020E3C">
      <w:start w:val="1"/>
      <w:numFmt w:val="bullet"/>
      <w:lvlText w:val=""/>
      <w:lvlJc w:val="left"/>
      <w:pPr>
        <w:tabs>
          <w:tab w:val="num" w:pos="3600"/>
        </w:tabs>
        <w:ind w:left="3600" w:hanging="360"/>
      </w:pPr>
      <w:rPr>
        <w:rFonts w:ascii="Symbol" w:hAnsi="Symbol" w:hint="default"/>
        <w:sz w:val="20"/>
      </w:rPr>
    </w:lvl>
    <w:lvl w:ilvl="5" w:tplc="588ED960">
      <w:start w:val="1"/>
      <w:numFmt w:val="bullet"/>
      <w:lvlText w:val=""/>
      <w:lvlJc w:val="left"/>
      <w:pPr>
        <w:tabs>
          <w:tab w:val="num" w:pos="4320"/>
        </w:tabs>
        <w:ind w:left="4320" w:hanging="360"/>
      </w:pPr>
      <w:rPr>
        <w:rFonts w:ascii="Symbol" w:hAnsi="Symbol" w:hint="default"/>
        <w:sz w:val="20"/>
      </w:rPr>
    </w:lvl>
    <w:lvl w:ilvl="6" w:tplc="BCD824BA">
      <w:start w:val="1"/>
      <w:numFmt w:val="bullet"/>
      <w:lvlText w:val=""/>
      <w:lvlJc w:val="left"/>
      <w:pPr>
        <w:tabs>
          <w:tab w:val="num" w:pos="5040"/>
        </w:tabs>
        <w:ind w:left="5040" w:hanging="360"/>
      </w:pPr>
      <w:rPr>
        <w:rFonts w:ascii="Symbol" w:hAnsi="Symbol" w:hint="default"/>
        <w:sz w:val="20"/>
      </w:rPr>
    </w:lvl>
    <w:lvl w:ilvl="7" w:tplc="527A775A">
      <w:start w:val="1"/>
      <w:numFmt w:val="bullet"/>
      <w:lvlText w:val=""/>
      <w:lvlJc w:val="left"/>
      <w:pPr>
        <w:tabs>
          <w:tab w:val="num" w:pos="5760"/>
        </w:tabs>
        <w:ind w:left="5760" w:hanging="360"/>
      </w:pPr>
      <w:rPr>
        <w:rFonts w:ascii="Symbol" w:hAnsi="Symbol" w:hint="default"/>
        <w:sz w:val="20"/>
      </w:rPr>
    </w:lvl>
    <w:lvl w:ilvl="8" w:tplc="2BD4B9D6">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C11520"/>
    <w:multiLevelType w:val="hybridMultilevel"/>
    <w:tmpl w:val="26168A38"/>
    <w:lvl w:ilvl="0" w:tplc="E60C1346">
      <w:start w:val="1"/>
      <w:numFmt w:val="bullet"/>
      <w:lvlText w:val=""/>
      <w:lvlJc w:val="left"/>
      <w:pPr>
        <w:tabs>
          <w:tab w:val="num" w:pos="720"/>
        </w:tabs>
        <w:ind w:left="720" w:hanging="360"/>
      </w:pPr>
      <w:rPr>
        <w:rFonts w:ascii="Symbol" w:hAnsi="Symbol" w:hint="default"/>
        <w:sz w:val="20"/>
      </w:rPr>
    </w:lvl>
    <w:lvl w:ilvl="1" w:tplc="EA7AF36C">
      <w:start w:val="1"/>
      <w:numFmt w:val="bullet"/>
      <w:lvlText w:val=""/>
      <w:lvlJc w:val="left"/>
      <w:pPr>
        <w:tabs>
          <w:tab w:val="num" w:pos="1440"/>
        </w:tabs>
        <w:ind w:left="1440" w:hanging="360"/>
      </w:pPr>
      <w:rPr>
        <w:rFonts w:ascii="Symbol" w:hAnsi="Symbol" w:hint="default"/>
        <w:sz w:val="20"/>
      </w:rPr>
    </w:lvl>
    <w:lvl w:ilvl="2" w:tplc="05C4A598">
      <w:start w:val="1"/>
      <w:numFmt w:val="bullet"/>
      <w:lvlText w:val=""/>
      <w:lvlJc w:val="left"/>
      <w:pPr>
        <w:tabs>
          <w:tab w:val="num" w:pos="2160"/>
        </w:tabs>
        <w:ind w:left="2160" w:hanging="360"/>
      </w:pPr>
      <w:rPr>
        <w:rFonts w:ascii="Symbol" w:hAnsi="Symbol" w:hint="default"/>
        <w:sz w:val="20"/>
      </w:rPr>
    </w:lvl>
    <w:lvl w:ilvl="3" w:tplc="25A21A7C">
      <w:start w:val="1"/>
      <w:numFmt w:val="bullet"/>
      <w:lvlText w:val=""/>
      <w:lvlJc w:val="left"/>
      <w:pPr>
        <w:tabs>
          <w:tab w:val="num" w:pos="2880"/>
        </w:tabs>
        <w:ind w:left="2880" w:hanging="360"/>
      </w:pPr>
      <w:rPr>
        <w:rFonts w:ascii="Symbol" w:hAnsi="Symbol" w:hint="default"/>
        <w:sz w:val="20"/>
      </w:rPr>
    </w:lvl>
    <w:lvl w:ilvl="4" w:tplc="78EA2986">
      <w:start w:val="1"/>
      <w:numFmt w:val="bullet"/>
      <w:lvlText w:val=""/>
      <w:lvlJc w:val="left"/>
      <w:pPr>
        <w:tabs>
          <w:tab w:val="num" w:pos="3600"/>
        </w:tabs>
        <w:ind w:left="3600" w:hanging="360"/>
      </w:pPr>
      <w:rPr>
        <w:rFonts w:ascii="Symbol" w:hAnsi="Symbol" w:hint="default"/>
        <w:sz w:val="20"/>
      </w:rPr>
    </w:lvl>
    <w:lvl w:ilvl="5" w:tplc="8238367C">
      <w:start w:val="1"/>
      <w:numFmt w:val="bullet"/>
      <w:lvlText w:val=""/>
      <w:lvlJc w:val="left"/>
      <w:pPr>
        <w:tabs>
          <w:tab w:val="num" w:pos="4320"/>
        </w:tabs>
        <w:ind w:left="4320" w:hanging="360"/>
      </w:pPr>
      <w:rPr>
        <w:rFonts w:ascii="Symbol" w:hAnsi="Symbol" w:hint="default"/>
        <w:sz w:val="20"/>
      </w:rPr>
    </w:lvl>
    <w:lvl w:ilvl="6" w:tplc="8C0AC67C">
      <w:start w:val="1"/>
      <w:numFmt w:val="bullet"/>
      <w:lvlText w:val=""/>
      <w:lvlJc w:val="left"/>
      <w:pPr>
        <w:tabs>
          <w:tab w:val="num" w:pos="5040"/>
        </w:tabs>
        <w:ind w:left="5040" w:hanging="360"/>
      </w:pPr>
      <w:rPr>
        <w:rFonts w:ascii="Symbol" w:hAnsi="Symbol" w:hint="default"/>
        <w:sz w:val="20"/>
      </w:rPr>
    </w:lvl>
    <w:lvl w:ilvl="7" w:tplc="36469E72">
      <w:start w:val="1"/>
      <w:numFmt w:val="bullet"/>
      <w:lvlText w:val=""/>
      <w:lvlJc w:val="left"/>
      <w:pPr>
        <w:tabs>
          <w:tab w:val="num" w:pos="5760"/>
        </w:tabs>
        <w:ind w:left="5760" w:hanging="360"/>
      </w:pPr>
      <w:rPr>
        <w:rFonts w:ascii="Symbol" w:hAnsi="Symbol" w:hint="default"/>
        <w:sz w:val="20"/>
      </w:rPr>
    </w:lvl>
    <w:lvl w:ilvl="8" w:tplc="2B9E9AD4">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B27519"/>
    <w:multiLevelType w:val="hybridMultilevel"/>
    <w:tmpl w:val="305EDB0C"/>
    <w:lvl w:ilvl="0" w:tplc="5A1428CA">
      <w:start w:val="1"/>
      <w:numFmt w:val="bullet"/>
      <w:lvlText w:val=""/>
      <w:lvlJc w:val="left"/>
      <w:pPr>
        <w:tabs>
          <w:tab w:val="num" w:pos="720"/>
        </w:tabs>
        <w:ind w:left="720" w:hanging="360"/>
      </w:pPr>
      <w:rPr>
        <w:rFonts w:ascii="Symbol" w:hAnsi="Symbol" w:hint="default"/>
        <w:sz w:val="20"/>
      </w:rPr>
    </w:lvl>
    <w:lvl w:ilvl="1" w:tplc="19DA4300">
      <w:start w:val="1"/>
      <w:numFmt w:val="bullet"/>
      <w:lvlText w:val=""/>
      <w:lvlJc w:val="left"/>
      <w:pPr>
        <w:tabs>
          <w:tab w:val="num" w:pos="1440"/>
        </w:tabs>
        <w:ind w:left="1440" w:hanging="360"/>
      </w:pPr>
      <w:rPr>
        <w:rFonts w:ascii="Symbol" w:hAnsi="Symbol" w:hint="default"/>
        <w:sz w:val="20"/>
      </w:rPr>
    </w:lvl>
    <w:lvl w:ilvl="2" w:tplc="CF48A0BA">
      <w:start w:val="1"/>
      <w:numFmt w:val="bullet"/>
      <w:lvlText w:val=""/>
      <w:lvlJc w:val="left"/>
      <w:pPr>
        <w:tabs>
          <w:tab w:val="num" w:pos="2160"/>
        </w:tabs>
        <w:ind w:left="2160" w:hanging="360"/>
      </w:pPr>
      <w:rPr>
        <w:rFonts w:ascii="Symbol" w:hAnsi="Symbol" w:hint="default"/>
        <w:sz w:val="20"/>
      </w:rPr>
    </w:lvl>
    <w:lvl w:ilvl="3" w:tplc="A8461C74">
      <w:start w:val="1"/>
      <w:numFmt w:val="bullet"/>
      <w:lvlText w:val=""/>
      <w:lvlJc w:val="left"/>
      <w:pPr>
        <w:tabs>
          <w:tab w:val="num" w:pos="2880"/>
        </w:tabs>
        <w:ind w:left="2880" w:hanging="360"/>
      </w:pPr>
      <w:rPr>
        <w:rFonts w:ascii="Symbol" w:hAnsi="Symbol" w:hint="default"/>
        <w:sz w:val="20"/>
      </w:rPr>
    </w:lvl>
    <w:lvl w:ilvl="4" w:tplc="022C9358">
      <w:start w:val="1"/>
      <w:numFmt w:val="bullet"/>
      <w:lvlText w:val=""/>
      <w:lvlJc w:val="left"/>
      <w:pPr>
        <w:tabs>
          <w:tab w:val="num" w:pos="3600"/>
        </w:tabs>
        <w:ind w:left="3600" w:hanging="360"/>
      </w:pPr>
      <w:rPr>
        <w:rFonts w:ascii="Symbol" w:hAnsi="Symbol" w:hint="default"/>
        <w:sz w:val="20"/>
      </w:rPr>
    </w:lvl>
    <w:lvl w:ilvl="5" w:tplc="24E269A8">
      <w:start w:val="1"/>
      <w:numFmt w:val="bullet"/>
      <w:lvlText w:val=""/>
      <w:lvlJc w:val="left"/>
      <w:pPr>
        <w:tabs>
          <w:tab w:val="num" w:pos="4320"/>
        </w:tabs>
        <w:ind w:left="4320" w:hanging="360"/>
      </w:pPr>
      <w:rPr>
        <w:rFonts w:ascii="Symbol" w:hAnsi="Symbol" w:hint="default"/>
        <w:sz w:val="20"/>
      </w:rPr>
    </w:lvl>
    <w:lvl w:ilvl="6" w:tplc="AE521E9C">
      <w:start w:val="1"/>
      <w:numFmt w:val="bullet"/>
      <w:lvlText w:val=""/>
      <w:lvlJc w:val="left"/>
      <w:pPr>
        <w:tabs>
          <w:tab w:val="num" w:pos="5040"/>
        </w:tabs>
        <w:ind w:left="5040" w:hanging="360"/>
      </w:pPr>
      <w:rPr>
        <w:rFonts w:ascii="Symbol" w:hAnsi="Symbol" w:hint="default"/>
        <w:sz w:val="20"/>
      </w:rPr>
    </w:lvl>
    <w:lvl w:ilvl="7" w:tplc="8D6CD7A4">
      <w:start w:val="1"/>
      <w:numFmt w:val="bullet"/>
      <w:lvlText w:val=""/>
      <w:lvlJc w:val="left"/>
      <w:pPr>
        <w:tabs>
          <w:tab w:val="num" w:pos="5760"/>
        </w:tabs>
        <w:ind w:left="5760" w:hanging="360"/>
      </w:pPr>
      <w:rPr>
        <w:rFonts w:ascii="Symbol" w:hAnsi="Symbol" w:hint="default"/>
        <w:sz w:val="20"/>
      </w:rPr>
    </w:lvl>
    <w:lvl w:ilvl="8" w:tplc="5FA00D1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6A753A"/>
    <w:multiLevelType w:val="hybridMultilevel"/>
    <w:tmpl w:val="0FACB902"/>
    <w:lvl w:ilvl="0" w:tplc="A69EAA0E">
      <w:start w:val="1"/>
      <w:numFmt w:val="bullet"/>
      <w:lvlText w:val=""/>
      <w:lvlJc w:val="left"/>
      <w:pPr>
        <w:tabs>
          <w:tab w:val="num" w:pos="720"/>
        </w:tabs>
        <w:ind w:left="720" w:hanging="360"/>
      </w:pPr>
      <w:rPr>
        <w:rFonts w:ascii="Symbol" w:hAnsi="Symbol" w:hint="default"/>
        <w:sz w:val="20"/>
      </w:rPr>
    </w:lvl>
    <w:lvl w:ilvl="1" w:tplc="79F8A0BA">
      <w:start w:val="1"/>
      <w:numFmt w:val="bullet"/>
      <w:lvlText w:val=""/>
      <w:lvlJc w:val="left"/>
      <w:pPr>
        <w:tabs>
          <w:tab w:val="num" w:pos="1440"/>
        </w:tabs>
        <w:ind w:left="1440" w:hanging="360"/>
      </w:pPr>
      <w:rPr>
        <w:rFonts w:ascii="Symbol" w:hAnsi="Symbol" w:hint="default"/>
        <w:sz w:val="20"/>
      </w:rPr>
    </w:lvl>
    <w:lvl w:ilvl="2" w:tplc="94C25D36">
      <w:start w:val="1"/>
      <w:numFmt w:val="bullet"/>
      <w:lvlText w:val=""/>
      <w:lvlJc w:val="left"/>
      <w:pPr>
        <w:tabs>
          <w:tab w:val="num" w:pos="2160"/>
        </w:tabs>
        <w:ind w:left="2160" w:hanging="360"/>
      </w:pPr>
      <w:rPr>
        <w:rFonts w:ascii="Symbol" w:hAnsi="Symbol" w:hint="default"/>
        <w:sz w:val="20"/>
      </w:rPr>
    </w:lvl>
    <w:lvl w:ilvl="3" w:tplc="56C64094">
      <w:start w:val="1"/>
      <w:numFmt w:val="bullet"/>
      <w:lvlText w:val=""/>
      <w:lvlJc w:val="left"/>
      <w:pPr>
        <w:tabs>
          <w:tab w:val="num" w:pos="2880"/>
        </w:tabs>
        <w:ind w:left="2880" w:hanging="360"/>
      </w:pPr>
      <w:rPr>
        <w:rFonts w:ascii="Symbol" w:hAnsi="Symbol" w:hint="default"/>
        <w:sz w:val="20"/>
      </w:rPr>
    </w:lvl>
    <w:lvl w:ilvl="4" w:tplc="BC6ADC98">
      <w:start w:val="1"/>
      <w:numFmt w:val="bullet"/>
      <w:lvlText w:val=""/>
      <w:lvlJc w:val="left"/>
      <w:pPr>
        <w:tabs>
          <w:tab w:val="num" w:pos="3600"/>
        </w:tabs>
        <w:ind w:left="3600" w:hanging="360"/>
      </w:pPr>
      <w:rPr>
        <w:rFonts w:ascii="Symbol" w:hAnsi="Symbol" w:hint="default"/>
        <w:sz w:val="20"/>
      </w:rPr>
    </w:lvl>
    <w:lvl w:ilvl="5" w:tplc="596E5424">
      <w:start w:val="1"/>
      <w:numFmt w:val="bullet"/>
      <w:lvlText w:val=""/>
      <w:lvlJc w:val="left"/>
      <w:pPr>
        <w:tabs>
          <w:tab w:val="num" w:pos="4320"/>
        </w:tabs>
        <w:ind w:left="4320" w:hanging="360"/>
      </w:pPr>
      <w:rPr>
        <w:rFonts w:ascii="Symbol" w:hAnsi="Symbol" w:hint="default"/>
        <w:sz w:val="20"/>
      </w:rPr>
    </w:lvl>
    <w:lvl w:ilvl="6" w:tplc="7CDA53C6">
      <w:start w:val="1"/>
      <w:numFmt w:val="bullet"/>
      <w:lvlText w:val=""/>
      <w:lvlJc w:val="left"/>
      <w:pPr>
        <w:tabs>
          <w:tab w:val="num" w:pos="5040"/>
        </w:tabs>
        <w:ind w:left="5040" w:hanging="360"/>
      </w:pPr>
      <w:rPr>
        <w:rFonts w:ascii="Symbol" w:hAnsi="Symbol" w:hint="default"/>
        <w:sz w:val="20"/>
      </w:rPr>
    </w:lvl>
    <w:lvl w:ilvl="7" w:tplc="427860A4">
      <w:start w:val="1"/>
      <w:numFmt w:val="bullet"/>
      <w:lvlText w:val=""/>
      <w:lvlJc w:val="left"/>
      <w:pPr>
        <w:tabs>
          <w:tab w:val="num" w:pos="5760"/>
        </w:tabs>
        <w:ind w:left="5760" w:hanging="360"/>
      </w:pPr>
      <w:rPr>
        <w:rFonts w:ascii="Symbol" w:hAnsi="Symbol" w:hint="default"/>
        <w:sz w:val="20"/>
      </w:rPr>
    </w:lvl>
    <w:lvl w:ilvl="8" w:tplc="E5742524">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325AC1"/>
    <w:multiLevelType w:val="hybridMultilevel"/>
    <w:tmpl w:val="CA628660"/>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17" w15:restartNumberingAfterBreak="0">
    <w:nsid w:val="580620A5"/>
    <w:multiLevelType w:val="hybridMultilevel"/>
    <w:tmpl w:val="27789AFC"/>
    <w:lvl w:ilvl="0" w:tplc="20026D24">
      <w:start w:val="1"/>
      <w:numFmt w:val="bullet"/>
      <w:lvlText w:val=""/>
      <w:lvlJc w:val="left"/>
      <w:pPr>
        <w:tabs>
          <w:tab w:val="num" w:pos="720"/>
        </w:tabs>
        <w:ind w:left="720" w:hanging="360"/>
      </w:pPr>
      <w:rPr>
        <w:rFonts w:ascii="Symbol" w:hAnsi="Symbol" w:hint="default"/>
        <w:sz w:val="20"/>
      </w:rPr>
    </w:lvl>
    <w:lvl w:ilvl="1" w:tplc="72CEEB38">
      <w:start w:val="1"/>
      <w:numFmt w:val="bullet"/>
      <w:lvlText w:val=""/>
      <w:lvlJc w:val="left"/>
      <w:pPr>
        <w:tabs>
          <w:tab w:val="num" w:pos="1440"/>
        </w:tabs>
        <w:ind w:left="1440" w:hanging="360"/>
      </w:pPr>
      <w:rPr>
        <w:rFonts w:ascii="Symbol" w:hAnsi="Symbol" w:hint="default"/>
        <w:sz w:val="20"/>
      </w:rPr>
    </w:lvl>
    <w:lvl w:ilvl="2" w:tplc="7412677C">
      <w:start w:val="1"/>
      <w:numFmt w:val="bullet"/>
      <w:lvlText w:val=""/>
      <w:lvlJc w:val="left"/>
      <w:pPr>
        <w:tabs>
          <w:tab w:val="num" w:pos="2160"/>
        </w:tabs>
        <w:ind w:left="2160" w:hanging="360"/>
      </w:pPr>
      <w:rPr>
        <w:rFonts w:ascii="Symbol" w:hAnsi="Symbol" w:hint="default"/>
        <w:sz w:val="20"/>
      </w:rPr>
    </w:lvl>
    <w:lvl w:ilvl="3" w:tplc="8A4E5C86">
      <w:start w:val="1"/>
      <w:numFmt w:val="bullet"/>
      <w:lvlText w:val=""/>
      <w:lvlJc w:val="left"/>
      <w:pPr>
        <w:tabs>
          <w:tab w:val="num" w:pos="2880"/>
        </w:tabs>
        <w:ind w:left="2880" w:hanging="360"/>
      </w:pPr>
      <w:rPr>
        <w:rFonts w:ascii="Symbol" w:hAnsi="Symbol" w:hint="default"/>
        <w:sz w:val="20"/>
      </w:rPr>
    </w:lvl>
    <w:lvl w:ilvl="4" w:tplc="10E6B332">
      <w:start w:val="1"/>
      <w:numFmt w:val="bullet"/>
      <w:lvlText w:val=""/>
      <w:lvlJc w:val="left"/>
      <w:pPr>
        <w:tabs>
          <w:tab w:val="num" w:pos="3600"/>
        </w:tabs>
        <w:ind w:left="3600" w:hanging="360"/>
      </w:pPr>
      <w:rPr>
        <w:rFonts w:ascii="Symbol" w:hAnsi="Symbol" w:hint="default"/>
        <w:sz w:val="20"/>
      </w:rPr>
    </w:lvl>
    <w:lvl w:ilvl="5" w:tplc="3BF246C6">
      <w:start w:val="1"/>
      <w:numFmt w:val="bullet"/>
      <w:lvlText w:val=""/>
      <w:lvlJc w:val="left"/>
      <w:pPr>
        <w:tabs>
          <w:tab w:val="num" w:pos="4320"/>
        </w:tabs>
        <w:ind w:left="4320" w:hanging="360"/>
      </w:pPr>
      <w:rPr>
        <w:rFonts w:ascii="Symbol" w:hAnsi="Symbol" w:hint="default"/>
        <w:sz w:val="20"/>
      </w:rPr>
    </w:lvl>
    <w:lvl w:ilvl="6" w:tplc="9D80A352">
      <w:start w:val="1"/>
      <w:numFmt w:val="bullet"/>
      <w:lvlText w:val=""/>
      <w:lvlJc w:val="left"/>
      <w:pPr>
        <w:tabs>
          <w:tab w:val="num" w:pos="5040"/>
        </w:tabs>
        <w:ind w:left="5040" w:hanging="360"/>
      </w:pPr>
      <w:rPr>
        <w:rFonts w:ascii="Symbol" w:hAnsi="Symbol" w:hint="default"/>
        <w:sz w:val="20"/>
      </w:rPr>
    </w:lvl>
    <w:lvl w:ilvl="7" w:tplc="2E8E451C">
      <w:start w:val="1"/>
      <w:numFmt w:val="bullet"/>
      <w:lvlText w:val=""/>
      <w:lvlJc w:val="left"/>
      <w:pPr>
        <w:tabs>
          <w:tab w:val="num" w:pos="5760"/>
        </w:tabs>
        <w:ind w:left="5760" w:hanging="360"/>
      </w:pPr>
      <w:rPr>
        <w:rFonts w:ascii="Symbol" w:hAnsi="Symbol" w:hint="default"/>
        <w:sz w:val="20"/>
      </w:rPr>
    </w:lvl>
    <w:lvl w:ilvl="8" w:tplc="C7F454BC">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797FCC"/>
    <w:multiLevelType w:val="hybridMultilevel"/>
    <w:tmpl w:val="1CB6D3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5D1D6CFF"/>
    <w:multiLevelType w:val="hybridMultilevel"/>
    <w:tmpl w:val="A80C78CE"/>
    <w:lvl w:ilvl="0" w:tplc="3A72773C">
      <w:start w:val="1"/>
      <w:numFmt w:val="bullet"/>
      <w:lvlText w:val=""/>
      <w:lvlJc w:val="left"/>
      <w:pPr>
        <w:tabs>
          <w:tab w:val="num" w:pos="720"/>
        </w:tabs>
        <w:ind w:left="720" w:hanging="360"/>
      </w:pPr>
      <w:rPr>
        <w:rFonts w:ascii="Symbol" w:hAnsi="Symbol" w:hint="default"/>
        <w:sz w:val="20"/>
      </w:rPr>
    </w:lvl>
    <w:lvl w:ilvl="1" w:tplc="C122CE20">
      <w:start w:val="1"/>
      <w:numFmt w:val="bullet"/>
      <w:lvlText w:val=""/>
      <w:lvlJc w:val="left"/>
      <w:pPr>
        <w:tabs>
          <w:tab w:val="num" w:pos="1440"/>
        </w:tabs>
        <w:ind w:left="1440" w:hanging="360"/>
      </w:pPr>
      <w:rPr>
        <w:rFonts w:ascii="Symbol" w:hAnsi="Symbol" w:hint="default"/>
        <w:sz w:val="20"/>
      </w:rPr>
    </w:lvl>
    <w:lvl w:ilvl="2" w:tplc="597C4FF2">
      <w:start w:val="1"/>
      <w:numFmt w:val="bullet"/>
      <w:lvlText w:val=""/>
      <w:lvlJc w:val="left"/>
      <w:pPr>
        <w:tabs>
          <w:tab w:val="num" w:pos="2160"/>
        </w:tabs>
        <w:ind w:left="2160" w:hanging="360"/>
      </w:pPr>
      <w:rPr>
        <w:rFonts w:ascii="Symbol" w:hAnsi="Symbol" w:hint="default"/>
        <w:sz w:val="20"/>
      </w:rPr>
    </w:lvl>
    <w:lvl w:ilvl="3" w:tplc="485C4304">
      <w:start w:val="1"/>
      <w:numFmt w:val="bullet"/>
      <w:lvlText w:val=""/>
      <w:lvlJc w:val="left"/>
      <w:pPr>
        <w:tabs>
          <w:tab w:val="num" w:pos="2880"/>
        </w:tabs>
        <w:ind w:left="2880" w:hanging="360"/>
      </w:pPr>
      <w:rPr>
        <w:rFonts w:ascii="Symbol" w:hAnsi="Symbol" w:hint="default"/>
        <w:sz w:val="20"/>
      </w:rPr>
    </w:lvl>
    <w:lvl w:ilvl="4" w:tplc="57548D10">
      <w:start w:val="1"/>
      <w:numFmt w:val="bullet"/>
      <w:lvlText w:val=""/>
      <w:lvlJc w:val="left"/>
      <w:pPr>
        <w:tabs>
          <w:tab w:val="num" w:pos="3600"/>
        </w:tabs>
        <w:ind w:left="3600" w:hanging="360"/>
      </w:pPr>
      <w:rPr>
        <w:rFonts w:ascii="Symbol" w:hAnsi="Symbol" w:hint="default"/>
        <w:sz w:val="20"/>
      </w:rPr>
    </w:lvl>
    <w:lvl w:ilvl="5" w:tplc="0EF87EBC">
      <w:start w:val="1"/>
      <w:numFmt w:val="bullet"/>
      <w:lvlText w:val=""/>
      <w:lvlJc w:val="left"/>
      <w:pPr>
        <w:tabs>
          <w:tab w:val="num" w:pos="4320"/>
        </w:tabs>
        <w:ind w:left="4320" w:hanging="360"/>
      </w:pPr>
      <w:rPr>
        <w:rFonts w:ascii="Symbol" w:hAnsi="Symbol" w:hint="default"/>
        <w:sz w:val="20"/>
      </w:rPr>
    </w:lvl>
    <w:lvl w:ilvl="6" w:tplc="5C246228">
      <w:start w:val="1"/>
      <w:numFmt w:val="bullet"/>
      <w:lvlText w:val=""/>
      <w:lvlJc w:val="left"/>
      <w:pPr>
        <w:tabs>
          <w:tab w:val="num" w:pos="5040"/>
        </w:tabs>
        <w:ind w:left="5040" w:hanging="360"/>
      </w:pPr>
      <w:rPr>
        <w:rFonts w:ascii="Symbol" w:hAnsi="Symbol" w:hint="default"/>
        <w:sz w:val="20"/>
      </w:rPr>
    </w:lvl>
    <w:lvl w:ilvl="7" w:tplc="28B86D64">
      <w:start w:val="1"/>
      <w:numFmt w:val="bullet"/>
      <w:lvlText w:val=""/>
      <w:lvlJc w:val="left"/>
      <w:pPr>
        <w:tabs>
          <w:tab w:val="num" w:pos="5760"/>
        </w:tabs>
        <w:ind w:left="5760" w:hanging="360"/>
      </w:pPr>
      <w:rPr>
        <w:rFonts w:ascii="Symbol" w:hAnsi="Symbol" w:hint="default"/>
        <w:sz w:val="20"/>
      </w:rPr>
    </w:lvl>
    <w:lvl w:ilvl="8" w:tplc="23561FDA">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99147E"/>
    <w:multiLevelType w:val="hybridMultilevel"/>
    <w:tmpl w:val="BABAE92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633D647F"/>
    <w:multiLevelType w:val="hybridMultilevel"/>
    <w:tmpl w:val="3BA6B00E"/>
    <w:lvl w:ilvl="0" w:tplc="7A324CCC">
      <w:start w:val="1"/>
      <w:numFmt w:val="bullet"/>
      <w:lvlText w:val=""/>
      <w:lvlJc w:val="left"/>
      <w:pPr>
        <w:tabs>
          <w:tab w:val="num" w:pos="720"/>
        </w:tabs>
        <w:ind w:left="720" w:hanging="360"/>
      </w:pPr>
      <w:rPr>
        <w:rFonts w:ascii="Symbol" w:hAnsi="Symbol" w:hint="default"/>
        <w:sz w:val="20"/>
      </w:rPr>
    </w:lvl>
    <w:lvl w:ilvl="1" w:tplc="A906F694">
      <w:start w:val="1"/>
      <w:numFmt w:val="bullet"/>
      <w:lvlText w:val=""/>
      <w:lvlJc w:val="left"/>
      <w:pPr>
        <w:tabs>
          <w:tab w:val="num" w:pos="1440"/>
        </w:tabs>
        <w:ind w:left="1440" w:hanging="360"/>
      </w:pPr>
      <w:rPr>
        <w:rFonts w:ascii="Symbol" w:hAnsi="Symbol" w:hint="default"/>
        <w:sz w:val="20"/>
      </w:rPr>
    </w:lvl>
    <w:lvl w:ilvl="2" w:tplc="4A9A7468">
      <w:start w:val="1"/>
      <w:numFmt w:val="bullet"/>
      <w:lvlText w:val=""/>
      <w:lvlJc w:val="left"/>
      <w:pPr>
        <w:tabs>
          <w:tab w:val="num" w:pos="2160"/>
        </w:tabs>
        <w:ind w:left="2160" w:hanging="360"/>
      </w:pPr>
      <w:rPr>
        <w:rFonts w:ascii="Symbol" w:hAnsi="Symbol" w:hint="default"/>
        <w:sz w:val="20"/>
      </w:rPr>
    </w:lvl>
    <w:lvl w:ilvl="3" w:tplc="28B4C43A">
      <w:start w:val="1"/>
      <w:numFmt w:val="bullet"/>
      <w:lvlText w:val=""/>
      <w:lvlJc w:val="left"/>
      <w:pPr>
        <w:tabs>
          <w:tab w:val="num" w:pos="2880"/>
        </w:tabs>
        <w:ind w:left="2880" w:hanging="360"/>
      </w:pPr>
      <w:rPr>
        <w:rFonts w:ascii="Symbol" w:hAnsi="Symbol" w:hint="default"/>
        <w:sz w:val="20"/>
      </w:rPr>
    </w:lvl>
    <w:lvl w:ilvl="4" w:tplc="57942F52">
      <w:start w:val="1"/>
      <w:numFmt w:val="bullet"/>
      <w:lvlText w:val=""/>
      <w:lvlJc w:val="left"/>
      <w:pPr>
        <w:tabs>
          <w:tab w:val="num" w:pos="3600"/>
        </w:tabs>
        <w:ind w:left="3600" w:hanging="360"/>
      </w:pPr>
      <w:rPr>
        <w:rFonts w:ascii="Symbol" w:hAnsi="Symbol" w:hint="default"/>
        <w:sz w:val="20"/>
      </w:rPr>
    </w:lvl>
    <w:lvl w:ilvl="5" w:tplc="B96630B6">
      <w:start w:val="1"/>
      <w:numFmt w:val="bullet"/>
      <w:lvlText w:val=""/>
      <w:lvlJc w:val="left"/>
      <w:pPr>
        <w:tabs>
          <w:tab w:val="num" w:pos="4320"/>
        </w:tabs>
        <w:ind w:left="4320" w:hanging="360"/>
      </w:pPr>
      <w:rPr>
        <w:rFonts w:ascii="Symbol" w:hAnsi="Symbol" w:hint="default"/>
        <w:sz w:val="20"/>
      </w:rPr>
    </w:lvl>
    <w:lvl w:ilvl="6" w:tplc="12F6BFD4">
      <w:start w:val="1"/>
      <w:numFmt w:val="bullet"/>
      <w:lvlText w:val=""/>
      <w:lvlJc w:val="left"/>
      <w:pPr>
        <w:tabs>
          <w:tab w:val="num" w:pos="5040"/>
        </w:tabs>
        <w:ind w:left="5040" w:hanging="360"/>
      </w:pPr>
      <w:rPr>
        <w:rFonts w:ascii="Symbol" w:hAnsi="Symbol" w:hint="default"/>
        <w:sz w:val="20"/>
      </w:rPr>
    </w:lvl>
    <w:lvl w:ilvl="7" w:tplc="D180A534">
      <w:start w:val="1"/>
      <w:numFmt w:val="bullet"/>
      <w:lvlText w:val=""/>
      <w:lvlJc w:val="left"/>
      <w:pPr>
        <w:tabs>
          <w:tab w:val="num" w:pos="5760"/>
        </w:tabs>
        <w:ind w:left="5760" w:hanging="360"/>
      </w:pPr>
      <w:rPr>
        <w:rFonts w:ascii="Symbol" w:hAnsi="Symbol" w:hint="default"/>
        <w:sz w:val="20"/>
      </w:rPr>
    </w:lvl>
    <w:lvl w:ilvl="8" w:tplc="48DC7EE6">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8813ED"/>
    <w:multiLevelType w:val="hybridMultilevel"/>
    <w:tmpl w:val="30D249FA"/>
    <w:lvl w:ilvl="0" w:tplc="AB60275C">
      <w:start w:val="1"/>
      <w:numFmt w:val="bullet"/>
      <w:lvlText w:val=""/>
      <w:lvlJc w:val="left"/>
      <w:pPr>
        <w:tabs>
          <w:tab w:val="num" w:pos="720"/>
        </w:tabs>
        <w:ind w:left="720" w:hanging="360"/>
      </w:pPr>
      <w:rPr>
        <w:rFonts w:ascii="Symbol" w:hAnsi="Symbol" w:hint="default"/>
        <w:sz w:val="20"/>
      </w:rPr>
    </w:lvl>
    <w:lvl w:ilvl="1" w:tplc="4BCAE874">
      <w:start w:val="1"/>
      <w:numFmt w:val="bullet"/>
      <w:lvlText w:val=""/>
      <w:lvlJc w:val="left"/>
      <w:pPr>
        <w:tabs>
          <w:tab w:val="num" w:pos="1440"/>
        </w:tabs>
        <w:ind w:left="1440" w:hanging="360"/>
      </w:pPr>
      <w:rPr>
        <w:rFonts w:ascii="Symbol" w:hAnsi="Symbol" w:hint="default"/>
        <w:sz w:val="20"/>
      </w:rPr>
    </w:lvl>
    <w:lvl w:ilvl="2" w:tplc="39AAA5AA">
      <w:start w:val="1"/>
      <w:numFmt w:val="bullet"/>
      <w:lvlText w:val=""/>
      <w:lvlJc w:val="left"/>
      <w:pPr>
        <w:tabs>
          <w:tab w:val="num" w:pos="2160"/>
        </w:tabs>
        <w:ind w:left="2160" w:hanging="360"/>
      </w:pPr>
      <w:rPr>
        <w:rFonts w:ascii="Symbol" w:hAnsi="Symbol" w:hint="default"/>
        <w:sz w:val="20"/>
      </w:rPr>
    </w:lvl>
    <w:lvl w:ilvl="3" w:tplc="F080EFE4">
      <w:start w:val="1"/>
      <w:numFmt w:val="bullet"/>
      <w:lvlText w:val=""/>
      <w:lvlJc w:val="left"/>
      <w:pPr>
        <w:tabs>
          <w:tab w:val="num" w:pos="2880"/>
        </w:tabs>
        <w:ind w:left="2880" w:hanging="360"/>
      </w:pPr>
      <w:rPr>
        <w:rFonts w:ascii="Symbol" w:hAnsi="Symbol" w:hint="default"/>
        <w:sz w:val="20"/>
      </w:rPr>
    </w:lvl>
    <w:lvl w:ilvl="4" w:tplc="C4C2E420">
      <w:start w:val="1"/>
      <w:numFmt w:val="bullet"/>
      <w:lvlText w:val=""/>
      <w:lvlJc w:val="left"/>
      <w:pPr>
        <w:tabs>
          <w:tab w:val="num" w:pos="3600"/>
        </w:tabs>
        <w:ind w:left="3600" w:hanging="360"/>
      </w:pPr>
      <w:rPr>
        <w:rFonts w:ascii="Symbol" w:hAnsi="Symbol" w:hint="default"/>
        <w:sz w:val="20"/>
      </w:rPr>
    </w:lvl>
    <w:lvl w:ilvl="5" w:tplc="4B4C1BEC">
      <w:start w:val="1"/>
      <w:numFmt w:val="bullet"/>
      <w:lvlText w:val=""/>
      <w:lvlJc w:val="left"/>
      <w:pPr>
        <w:tabs>
          <w:tab w:val="num" w:pos="4320"/>
        </w:tabs>
        <w:ind w:left="4320" w:hanging="360"/>
      </w:pPr>
      <w:rPr>
        <w:rFonts w:ascii="Symbol" w:hAnsi="Symbol" w:hint="default"/>
        <w:sz w:val="20"/>
      </w:rPr>
    </w:lvl>
    <w:lvl w:ilvl="6" w:tplc="871244F4">
      <w:start w:val="1"/>
      <w:numFmt w:val="bullet"/>
      <w:lvlText w:val=""/>
      <w:lvlJc w:val="left"/>
      <w:pPr>
        <w:tabs>
          <w:tab w:val="num" w:pos="5040"/>
        </w:tabs>
        <w:ind w:left="5040" w:hanging="360"/>
      </w:pPr>
      <w:rPr>
        <w:rFonts w:ascii="Symbol" w:hAnsi="Symbol" w:hint="default"/>
        <w:sz w:val="20"/>
      </w:rPr>
    </w:lvl>
    <w:lvl w:ilvl="7" w:tplc="DA0C85C0">
      <w:start w:val="1"/>
      <w:numFmt w:val="bullet"/>
      <w:lvlText w:val=""/>
      <w:lvlJc w:val="left"/>
      <w:pPr>
        <w:tabs>
          <w:tab w:val="num" w:pos="5760"/>
        </w:tabs>
        <w:ind w:left="5760" w:hanging="360"/>
      </w:pPr>
      <w:rPr>
        <w:rFonts w:ascii="Symbol" w:hAnsi="Symbol" w:hint="default"/>
        <w:sz w:val="20"/>
      </w:rPr>
    </w:lvl>
    <w:lvl w:ilvl="8" w:tplc="85CC5A7C">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497706"/>
    <w:multiLevelType w:val="hybridMultilevel"/>
    <w:tmpl w:val="EE049FA6"/>
    <w:lvl w:ilvl="0" w:tplc="6026EB2E">
      <w:start w:val="1"/>
      <w:numFmt w:val="bullet"/>
      <w:lvlText w:val=""/>
      <w:lvlJc w:val="left"/>
      <w:pPr>
        <w:tabs>
          <w:tab w:val="num" w:pos="720"/>
        </w:tabs>
        <w:ind w:left="720" w:hanging="360"/>
      </w:pPr>
      <w:rPr>
        <w:rFonts w:ascii="Symbol" w:hAnsi="Symbol" w:hint="default"/>
        <w:sz w:val="20"/>
      </w:rPr>
    </w:lvl>
    <w:lvl w:ilvl="1" w:tplc="F8A44C62">
      <w:start w:val="1"/>
      <w:numFmt w:val="bullet"/>
      <w:lvlText w:val=""/>
      <w:lvlJc w:val="left"/>
      <w:pPr>
        <w:tabs>
          <w:tab w:val="num" w:pos="1440"/>
        </w:tabs>
        <w:ind w:left="1440" w:hanging="360"/>
      </w:pPr>
      <w:rPr>
        <w:rFonts w:ascii="Symbol" w:hAnsi="Symbol" w:hint="default"/>
        <w:sz w:val="20"/>
      </w:rPr>
    </w:lvl>
    <w:lvl w:ilvl="2" w:tplc="AA5E5F22">
      <w:start w:val="1"/>
      <w:numFmt w:val="bullet"/>
      <w:lvlText w:val=""/>
      <w:lvlJc w:val="left"/>
      <w:pPr>
        <w:tabs>
          <w:tab w:val="num" w:pos="2160"/>
        </w:tabs>
        <w:ind w:left="2160" w:hanging="360"/>
      </w:pPr>
      <w:rPr>
        <w:rFonts w:ascii="Symbol" w:hAnsi="Symbol" w:hint="default"/>
        <w:sz w:val="20"/>
      </w:rPr>
    </w:lvl>
    <w:lvl w:ilvl="3" w:tplc="F6DC0BE4">
      <w:start w:val="1"/>
      <w:numFmt w:val="bullet"/>
      <w:lvlText w:val=""/>
      <w:lvlJc w:val="left"/>
      <w:pPr>
        <w:tabs>
          <w:tab w:val="num" w:pos="2880"/>
        </w:tabs>
        <w:ind w:left="2880" w:hanging="360"/>
      </w:pPr>
      <w:rPr>
        <w:rFonts w:ascii="Symbol" w:hAnsi="Symbol" w:hint="default"/>
        <w:sz w:val="20"/>
      </w:rPr>
    </w:lvl>
    <w:lvl w:ilvl="4" w:tplc="A6908E0E">
      <w:start w:val="1"/>
      <w:numFmt w:val="bullet"/>
      <w:lvlText w:val=""/>
      <w:lvlJc w:val="left"/>
      <w:pPr>
        <w:tabs>
          <w:tab w:val="num" w:pos="3600"/>
        </w:tabs>
        <w:ind w:left="3600" w:hanging="360"/>
      </w:pPr>
      <w:rPr>
        <w:rFonts w:ascii="Symbol" w:hAnsi="Symbol" w:hint="default"/>
        <w:sz w:val="20"/>
      </w:rPr>
    </w:lvl>
    <w:lvl w:ilvl="5" w:tplc="44864FC4">
      <w:start w:val="1"/>
      <w:numFmt w:val="bullet"/>
      <w:lvlText w:val=""/>
      <w:lvlJc w:val="left"/>
      <w:pPr>
        <w:tabs>
          <w:tab w:val="num" w:pos="4320"/>
        </w:tabs>
        <w:ind w:left="4320" w:hanging="360"/>
      </w:pPr>
      <w:rPr>
        <w:rFonts w:ascii="Symbol" w:hAnsi="Symbol" w:hint="default"/>
        <w:sz w:val="20"/>
      </w:rPr>
    </w:lvl>
    <w:lvl w:ilvl="6" w:tplc="A5E84892">
      <w:start w:val="1"/>
      <w:numFmt w:val="bullet"/>
      <w:lvlText w:val=""/>
      <w:lvlJc w:val="left"/>
      <w:pPr>
        <w:tabs>
          <w:tab w:val="num" w:pos="5040"/>
        </w:tabs>
        <w:ind w:left="5040" w:hanging="360"/>
      </w:pPr>
      <w:rPr>
        <w:rFonts w:ascii="Symbol" w:hAnsi="Symbol" w:hint="default"/>
        <w:sz w:val="20"/>
      </w:rPr>
    </w:lvl>
    <w:lvl w:ilvl="7" w:tplc="81A038F6">
      <w:start w:val="1"/>
      <w:numFmt w:val="bullet"/>
      <w:lvlText w:val=""/>
      <w:lvlJc w:val="left"/>
      <w:pPr>
        <w:tabs>
          <w:tab w:val="num" w:pos="5760"/>
        </w:tabs>
        <w:ind w:left="5760" w:hanging="360"/>
      </w:pPr>
      <w:rPr>
        <w:rFonts w:ascii="Symbol" w:hAnsi="Symbol" w:hint="default"/>
        <w:sz w:val="20"/>
      </w:rPr>
    </w:lvl>
    <w:lvl w:ilvl="8" w:tplc="9E02471E">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F00C08"/>
    <w:multiLevelType w:val="hybridMultilevel"/>
    <w:tmpl w:val="81A64954"/>
    <w:lvl w:ilvl="0" w:tplc="98AC69CA">
      <w:start w:val="1"/>
      <w:numFmt w:val="bullet"/>
      <w:lvlText w:val=""/>
      <w:lvlJc w:val="left"/>
      <w:pPr>
        <w:tabs>
          <w:tab w:val="num" w:pos="720"/>
        </w:tabs>
        <w:ind w:left="720" w:hanging="360"/>
      </w:pPr>
      <w:rPr>
        <w:rFonts w:ascii="Symbol" w:hAnsi="Symbol" w:hint="default"/>
        <w:sz w:val="20"/>
      </w:rPr>
    </w:lvl>
    <w:lvl w:ilvl="1" w:tplc="E25EE130">
      <w:start w:val="1"/>
      <w:numFmt w:val="bullet"/>
      <w:lvlText w:val=""/>
      <w:lvlJc w:val="left"/>
      <w:pPr>
        <w:tabs>
          <w:tab w:val="num" w:pos="1440"/>
        </w:tabs>
        <w:ind w:left="1440" w:hanging="360"/>
      </w:pPr>
      <w:rPr>
        <w:rFonts w:ascii="Symbol" w:hAnsi="Symbol" w:hint="default"/>
        <w:sz w:val="20"/>
      </w:rPr>
    </w:lvl>
    <w:lvl w:ilvl="2" w:tplc="A3683C2E">
      <w:start w:val="1"/>
      <w:numFmt w:val="bullet"/>
      <w:lvlText w:val=""/>
      <w:lvlJc w:val="left"/>
      <w:pPr>
        <w:tabs>
          <w:tab w:val="num" w:pos="2160"/>
        </w:tabs>
        <w:ind w:left="2160" w:hanging="360"/>
      </w:pPr>
      <w:rPr>
        <w:rFonts w:ascii="Symbol" w:hAnsi="Symbol" w:hint="default"/>
        <w:sz w:val="20"/>
      </w:rPr>
    </w:lvl>
    <w:lvl w:ilvl="3" w:tplc="17A0A366">
      <w:start w:val="1"/>
      <w:numFmt w:val="bullet"/>
      <w:lvlText w:val=""/>
      <w:lvlJc w:val="left"/>
      <w:pPr>
        <w:tabs>
          <w:tab w:val="num" w:pos="2880"/>
        </w:tabs>
        <w:ind w:left="2880" w:hanging="360"/>
      </w:pPr>
      <w:rPr>
        <w:rFonts w:ascii="Symbol" w:hAnsi="Symbol" w:hint="default"/>
        <w:sz w:val="20"/>
      </w:rPr>
    </w:lvl>
    <w:lvl w:ilvl="4" w:tplc="FD22C082">
      <w:start w:val="1"/>
      <w:numFmt w:val="bullet"/>
      <w:lvlText w:val=""/>
      <w:lvlJc w:val="left"/>
      <w:pPr>
        <w:tabs>
          <w:tab w:val="num" w:pos="3600"/>
        </w:tabs>
        <w:ind w:left="3600" w:hanging="360"/>
      </w:pPr>
      <w:rPr>
        <w:rFonts w:ascii="Symbol" w:hAnsi="Symbol" w:hint="default"/>
        <w:sz w:val="20"/>
      </w:rPr>
    </w:lvl>
    <w:lvl w:ilvl="5" w:tplc="E36A0F06">
      <w:start w:val="1"/>
      <w:numFmt w:val="bullet"/>
      <w:lvlText w:val=""/>
      <w:lvlJc w:val="left"/>
      <w:pPr>
        <w:tabs>
          <w:tab w:val="num" w:pos="4320"/>
        </w:tabs>
        <w:ind w:left="4320" w:hanging="360"/>
      </w:pPr>
      <w:rPr>
        <w:rFonts w:ascii="Symbol" w:hAnsi="Symbol" w:hint="default"/>
        <w:sz w:val="20"/>
      </w:rPr>
    </w:lvl>
    <w:lvl w:ilvl="6" w:tplc="A54CC316">
      <w:start w:val="1"/>
      <w:numFmt w:val="bullet"/>
      <w:lvlText w:val=""/>
      <w:lvlJc w:val="left"/>
      <w:pPr>
        <w:tabs>
          <w:tab w:val="num" w:pos="5040"/>
        </w:tabs>
        <w:ind w:left="5040" w:hanging="360"/>
      </w:pPr>
      <w:rPr>
        <w:rFonts w:ascii="Symbol" w:hAnsi="Symbol" w:hint="default"/>
        <w:sz w:val="20"/>
      </w:rPr>
    </w:lvl>
    <w:lvl w:ilvl="7" w:tplc="CB62E890">
      <w:start w:val="1"/>
      <w:numFmt w:val="bullet"/>
      <w:lvlText w:val=""/>
      <w:lvlJc w:val="left"/>
      <w:pPr>
        <w:tabs>
          <w:tab w:val="num" w:pos="5760"/>
        </w:tabs>
        <w:ind w:left="5760" w:hanging="360"/>
      </w:pPr>
      <w:rPr>
        <w:rFonts w:ascii="Symbol" w:hAnsi="Symbol" w:hint="default"/>
        <w:sz w:val="20"/>
      </w:rPr>
    </w:lvl>
    <w:lvl w:ilvl="8" w:tplc="725EF63A">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B22B32"/>
    <w:multiLevelType w:val="hybridMultilevel"/>
    <w:tmpl w:val="CFD0E820"/>
    <w:lvl w:ilvl="0" w:tplc="87729530">
      <w:start w:val="1"/>
      <w:numFmt w:val="bullet"/>
      <w:lvlText w:val=""/>
      <w:lvlJc w:val="left"/>
      <w:pPr>
        <w:tabs>
          <w:tab w:val="num" w:pos="720"/>
        </w:tabs>
        <w:ind w:left="720" w:hanging="360"/>
      </w:pPr>
      <w:rPr>
        <w:rFonts w:ascii="Symbol" w:hAnsi="Symbol" w:hint="default"/>
        <w:sz w:val="20"/>
      </w:rPr>
    </w:lvl>
    <w:lvl w:ilvl="1" w:tplc="BF1E60EC">
      <w:start w:val="1"/>
      <w:numFmt w:val="bullet"/>
      <w:lvlText w:val=""/>
      <w:lvlJc w:val="left"/>
      <w:pPr>
        <w:tabs>
          <w:tab w:val="num" w:pos="1440"/>
        </w:tabs>
        <w:ind w:left="1440" w:hanging="360"/>
      </w:pPr>
      <w:rPr>
        <w:rFonts w:ascii="Symbol" w:hAnsi="Symbol" w:hint="default"/>
        <w:sz w:val="20"/>
      </w:rPr>
    </w:lvl>
    <w:lvl w:ilvl="2" w:tplc="D71CDE82">
      <w:start w:val="1"/>
      <w:numFmt w:val="bullet"/>
      <w:lvlText w:val=""/>
      <w:lvlJc w:val="left"/>
      <w:pPr>
        <w:tabs>
          <w:tab w:val="num" w:pos="2160"/>
        </w:tabs>
        <w:ind w:left="2160" w:hanging="360"/>
      </w:pPr>
      <w:rPr>
        <w:rFonts w:ascii="Symbol" w:hAnsi="Symbol" w:hint="default"/>
        <w:sz w:val="20"/>
      </w:rPr>
    </w:lvl>
    <w:lvl w:ilvl="3" w:tplc="B4606448">
      <w:start w:val="1"/>
      <w:numFmt w:val="bullet"/>
      <w:lvlText w:val=""/>
      <w:lvlJc w:val="left"/>
      <w:pPr>
        <w:tabs>
          <w:tab w:val="num" w:pos="2880"/>
        </w:tabs>
        <w:ind w:left="2880" w:hanging="360"/>
      </w:pPr>
      <w:rPr>
        <w:rFonts w:ascii="Symbol" w:hAnsi="Symbol" w:hint="default"/>
        <w:sz w:val="20"/>
      </w:rPr>
    </w:lvl>
    <w:lvl w:ilvl="4" w:tplc="AF2A4C7E">
      <w:start w:val="1"/>
      <w:numFmt w:val="bullet"/>
      <w:lvlText w:val=""/>
      <w:lvlJc w:val="left"/>
      <w:pPr>
        <w:tabs>
          <w:tab w:val="num" w:pos="3600"/>
        </w:tabs>
        <w:ind w:left="3600" w:hanging="360"/>
      </w:pPr>
      <w:rPr>
        <w:rFonts w:ascii="Symbol" w:hAnsi="Symbol" w:hint="default"/>
        <w:sz w:val="20"/>
      </w:rPr>
    </w:lvl>
    <w:lvl w:ilvl="5" w:tplc="171C04CC">
      <w:start w:val="1"/>
      <w:numFmt w:val="bullet"/>
      <w:lvlText w:val=""/>
      <w:lvlJc w:val="left"/>
      <w:pPr>
        <w:tabs>
          <w:tab w:val="num" w:pos="4320"/>
        </w:tabs>
        <w:ind w:left="4320" w:hanging="360"/>
      </w:pPr>
      <w:rPr>
        <w:rFonts w:ascii="Symbol" w:hAnsi="Symbol" w:hint="default"/>
        <w:sz w:val="20"/>
      </w:rPr>
    </w:lvl>
    <w:lvl w:ilvl="6" w:tplc="82E4C8F6">
      <w:start w:val="1"/>
      <w:numFmt w:val="bullet"/>
      <w:lvlText w:val=""/>
      <w:lvlJc w:val="left"/>
      <w:pPr>
        <w:tabs>
          <w:tab w:val="num" w:pos="5040"/>
        </w:tabs>
        <w:ind w:left="5040" w:hanging="360"/>
      </w:pPr>
      <w:rPr>
        <w:rFonts w:ascii="Symbol" w:hAnsi="Symbol" w:hint="default"/>
        <w:sz w:val="20"/>
      </w:rPr>
    </w:lvl>
    <w:lvl w:ilvl="7" w:tplc="37F4EED8">
      <w:start w:val="1"/>
      <w:numFmt w:val="bullet"/>
      <w:lvlText w:val=""/>
      <w:lvlJc w:val="left"/>
      <w:pPr>
        <w:tabs>
          <w:tab w:val="num" w:pos="5760"/>
        </w:tabs>
        <w:ind w:left="5760" w:hanging="360"/>
      </w:pPr>
      <w:rPr>
        <w:rFonts w:ascii="Symbol" w:hAnsi="Symbol" w:hint="default"/>
        <w:sz w:val="20"/>
      </w:rPr>
    </w:lvl>
    <w:lvl w:ilvl="8" w:tplc="5E1A764E">
      <w:start w:val="1"/>
      <w:numFmt w:val="bullet"/>
      <w:lvlText w:val=""/>
      <w:lvlJc w:val="left"/>
      <w:pPr>
        <w:tabs>
          <w:tab w:val="num" w:pos="6480"/>
        </w:tabs>
        <w:ind w:left="6480" w:hanging="360"/>
      </w:pPr>
      <w:rPr>
        <w:rFonts w:ascii="Symbol" w:hAnsi="Symbol"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4"/>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25"/>
    <w:lvlOverride w:ilvl="0"/>
    <w:lvlOverride w:ilvl="1"/>
    <w:lvlOverride w:ilvl="2"/>
    <w:lvlOverride w:ilvl="3"/>
    <w:lvlOverride w:ilvl="4"/>
    <w:lvlOverride w:ilvl="5"/>
    <w:lvlOverride w:ilvl="6"/>
    <w:lvlOverride w:ilvl="7"/>
    <w:lvlOverride w:ilvl="8"/>
  </w:num>
  <w:num w:numId="6">
    <w:abstractNumId w:val="1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24"/>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18"/>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22"/>
    <w:lvlOverride w:ilvl="0"/>
    <w:lvlOverride w:ilvl="1"/>
    <w:lvlOverride w:ilvl="2"/>
    <w:lvlOverride w:ilvl="3"/>
    <w:lvlOverride w:ilvl="4"/>
    <w:lvlOverride w:ilvl="5"/>
    <w:lvlOverride w:ilvl="6"/>
    <w:lvlOverride w:ilvl="7"/>
    <w:lvlOverride w:ilvl="8"/>
  </w:num>
  <w:num w:numId="16">
    <w:abstractNumId w:val="19"/>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8"/>
    <w:lvlOverride w:ilvl="0"/>
    <w:lvlOverride w:ilvl="1"/>
    <w:lvlOverride w:ilvl="2"/>
    <w:lvlOverride w:ilvl="3"/>
    <w:lvlOverride w:ilvl="4"/>
    <w:lvlOverride w:ilvl="5"/>
    <w:lvlOverride w:ilvl="6"/>
    <w:lvlOverride w:ilvl="7"/>
    <w:lvlOverride w:ilvl="8"/>
  </w:num>
  <w:num w:numId="22">
    <w:abstractNumId w:val="17"/>
    <w:lvlOverride w:ilvl="0"/>
    <w:lvlOverride w:ilvl="1"/>
    <w:lvlOverride w:ilvl="2"/>
    <w:lvlOverride w:ilvl="3"/>
    <w:lvlOverride w:ilvl="4"/>
    <w:lvlOverride w:ilvl="5"/>
    <w:lvlOverride w:ilvl="6"/>
    <w:lvlOverride w:ilvl="7"/>
    <w:lvlOverride w:ilvl="8"/>
  </w:num>
  <w:num w:numId="23">
    <w:abstractNumId w:val="7"/>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16"/>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BF"/>
    <w:rsid w:val="000124CF"/>
    <w:rsid w:val="00015C5B"/>
    <w:rsid w:val="000306C3"/>
    <w:rsid w:val="000576D2"/>
    <w:rsid w:val="00063C77"/>
    <w:rsid w:val="00064A80"/>
    <w:rsid w:val="00071B48"/>
    <w:rsid w:val="000951A4"/>
    <w:rsid w:val="000A4FE0"/>
    <w:rsid w:val="000A6A26"/>
    <w:rsid w:val="000B4906"/>
    <w:rsid w:val="000D0216"/>
    <w:rsid w:val="000D0C4D"/>
    <w:rsid w:val="000D2B7B"/>
    <w:rsid w:val="000E506C"/>
    <w:rsid w:val="000F4187"/>
    <w:rsid w:val="00102E75"/>
    <w:rsid w:val="00106A40"/>
    <w:rsid w:val="0010721E"/>
    <w:rsid w:val="00144A1F"/>
    <w:rsid w:val="00153D99"/>
    <w:rsid w:val="001A4A76"/>
    <w:rsid w:val="001A6D27"/>
    <w:rsid w:val="001C2062"/>
    <w:rsid w:val="001D3A82"/>
    <w:rsid w:val="001F5F4C"/>
    <w:rsid w:val="002035D6"/>
    <w:rsid w:val="0022150C"/>
    <w:rsid w:val="00221BAA"/>
    <w:rsid w:val="00252F6A"/>
    <w:rsid w:val="00264A21"/>
    <w:rsid w:val="0028639E"/>
    <w:rsid w:val="002966C5"/>
    <w:rsid w:val="002A349E"/>
    <w:rsid w:val="002A4C00"/>
    <w:rsid w:val="002C5EAA"/>
    <w:rsid w:val="002D43F5"/>
    <w:rsid w:val="002D516C"/>
    <w:rsid w:val="002E7310"/>
    <w:rsid w:val="002E7C6C"/>
    <w:rsid w:val="002F1D70"/>
    <w:rsid w:val="002F21F7"/>
    <w:rsid w:val="00310919"/>
    <w:rsid w:val="00317E18"/>
    <w:rsid w:val="00320A65"/>
    <w:rsid w:val="00320E5A"/>
    <w:rsid w:val="00336DFC"/>
    <w:rsid w:val="003602C1"/>
    <w:rsid w:val="00362535"/>
    <w:rsid w:val="00375A97"/>
    <w:rsid w:val="00377D04"/>
    <w:rsid w:val="003914CB"/>
    <w:rsid w:val="003D340E"/>
    <w:rsid w:val="003E5727"/>
    <w:rsid w:val="004006FC"/>
    <w:rsid w:val="00404D35"/>
    <w:rsid w:val="00424164"/>
    <w:rsid w:val="004252E1"/>
    <w:rsid w:val="00447877"/>
    <w:rsid w:val="00464F9B"/>
    <w:rsid w:val="00464FB2"/>
    <w:rsid w:val="00484577"/>
    <w:rsid w:val="00486B5B"/>
    <w:rsid w:val="00487071"/>
    <w:rsid w:val="00487AF9"/>
    <w:rsid w:val="0049017E"/>
    <w:rsid w:val="004A59AC"/>
    <w:rsid w:val="004B3781"/>
    <w:rsid w:val="004B7A87"/>
    <w:rsid w:val="004C119F"/>
    <w:rsid w:val="004D3C59"/>
    <w:rsid w:val="004E096E"/>
    <w:rsid w:val="004E31CC"/>
    <w:rsid w:val="004E5347"/>
    <w:rsid w:val="004E7374"/>
    <w:rsid w:val="004F2974"/>
    <w:rsid w:val="004F40D4"/>
    <w:rsid w:val="00511EF1"/>
    <w:rsid w:val="00517044"/>
    <w:rsid w:val="0052074F"/>
    <w:rsid w:val="00522A8A"/>
    <w:rsid w:val="005366C6"/>
    <w:rsid w:val="00544771"/>
    <w:rsid w:val="00544F3E"/>
    <w:rsid w:val="00546544"/>
    <w:rsid w:val="005550C3"/>
    <w:rsid w:val="005613F6"/>
    <w:rsid w:val="00564790"/>
    <w:rsid w:val="005841F8"/>
    <w:rsid w:val="00592C77"/>
    <w:rsid w:val="00595963"/>
    <w:rsid w:val="005A0E72"/>
    <w:rsid w:val="005D3CF4"/>
    <w:rsid w:val="005E0738"/>
    <w:rsid w:val="005F130D"/>
    <w:rsid w:val="005F46F3"/>
    <w:rsid w:val="006103F6"/>
    <w:rsid w:val="00610DA6"/>
    <w:rsid w:val="00614108"/>
    <w:rsid w:val="00633B84"/>
    <w:rsid w:val="00642111"/>
    <w:rsid w:val="00642EC6"/>
    <w:rsid w:val="00644E22"/>
    <w:rsid w:val="00652D47"/>
    <w:rsid w:val="00667254"/>
    <w:rsid w:val="0066755D"/>
    <w:rsid w:val="006720CA"/>
    <w:rsid w:val="00674A83"/>
    <w:rsid w:val="006A1AFD"/>
    <w:rsid w:val="006B0BB2"/>
    <w:rsid w:val="006B6328"/>
    <w:rsid w:val="006D590F"/>
    <w:rsid w:val="006D68AA"/>
    <w:rsid w:val="006E1FCD"/>
    <w:rsid w:val="006E64BB"/>
    <w:rsid w:val="007137DD"/>
    <w:rsid w:val="0075093B"/>
    <w:rsid w:val="007550AA"/>
    <w:rsid w:val="007642FA"/>
    <w:rsid w:val="00777449"/>
    <w:rsid w:val="0078694B"/>
    <w:rsid w:val="007A39F9"/>
    <w:rsid w:val="007A5C87"/>
    <w:rsid w:val="007D3834"/>
    <w:rsid w:val="007D4519"/>
    <w:rsid w:val="007E0D2D"/>
    <w:rsid w:val="007F007A"/>
    <w:rsid w:val="0083006A"/>
    <w:rsid w:val="00831C7A"/>
    <w:rsid w:val="00842760"/>
    <w:rsid w:val="008551DD"/>
    <w:rsid w:val="00860343"/>
    <w:rsid w:val="00891E9A"/>
    <w:rsid w:val="008A235D"/>
    <w:rsid w:val="008D006E"/>
    <w:rsid w:val="008D3E64"/>
    <w:rsid w:val="008F0CF6"/>
    <w:rsid w:val="008F7C50"/>
    <w:rsid w:val="009028FD"/>
    <w:rsid w:val="009062FF"/>
    <w:rsid w:val="009074F2"/>
    <w:rsid w:val="00922219"/>
    <w:rsid w:val="00927C82"/>
    <w:rsid w:val="00952F63"/>
    <w:rsid w:val="009611A4"/>
    <w:rsid w:val="00977760"/>
    <w:rsid w:val="009C0824"/>
    <w:rsid w:val="009C4996"/>
    <w:rsid w:val="009C6263"/>
    <w:rsid w:val="009C6588"/>
    <w:rsid w:val="009D7716"/>
    <w:rsid w:val="009F377E"/>
    <w:rsid w:val="009F6E2D"/>
    <w:rsid w:val="00A16132"/>
    <w:rsid w:val="00A21D7B"/>
    <w:rsid w:val="00A26A2C"/>
    <w:rsid w:val="00A34C35"/>
    <w:rsid w:val="00A3720E"/>
    <w:rsid w:val="00A414A8"/>
    <w:rsid w:val="00A444C6"/>
    <w:rsid w:val="00A55A9A"/>
    <w:rsid w:val="00A66B2E"/>
    <w:rsid w:val="00A75B0C"/>
    <w:rsid w:val="00A9343A"/>
    <w:rsid w:val="00A93666"/>
    <w:rsid w:val="00A940DA"/>
    <w:rsid w:val="00A95663"/>
    <w:rsid w:val="00AB63A3"/>
    <w:rsid w:val="00AB7D32"/>
    <w:rsid w:val="00AC69A5"/>
    <w:rsid w:val="00AD1F77"/>
    <w:rsid w:val="00AF3E6A"/>
    <w:rsid w:val="00B13BD9"/>
    <w:rsid w:val="00B159DE"/>
    <w:rsid w:val="00B22E68"/>
    <w:rsid w:val="00B249B8"/>
    <w:rsid w:val="00B47A2C"/>
    <w:rsid w:val="00B74CE3"/>
    <w:rsid w:val="00B757EF"/>
    <w:rsid w:val="00B823B9"/>
    <w:rsid w:val="00B925FB"/>
    <w:rsid w:val="00BA21BF"/>
    <w:rsid w:val="00BA23FE"/>
    <w:rsid w:val="00BA7825"/>
    <w:rsid w:val="00BC0369"/>
    <w:rsid w:val="00BC6C49"/>
    <w:rsid w:val="00C030EB"/>
    <w:rsid w:val="00C12C61"/>
    <w:rsid w:val="00C250EE"/>
    <w:rsid w:val="00C306BD"/>
    <w:rsid w:val="00C445B7"/>
    <w:rsid w:val="00C4716A"/>
    <w:rsid w:val="00C64B08"/>
    <w:rsid w:val="00C653CA"/>
    <w:rsid w:val="00C75194"/>
    <w:rsid w:val="00C95D6B"/>
    <w:rsid w:val="00C974D0"/>
    <w:rsid w:val="00CA334B"/>
    <w:rsid w:val="00CB2D21"/>
    <w:rsid w:val="00CB4E43"/>
    <w:rsid w:val="00CC740D"/>
    <w:rsid w:val="00CD57A8"/>
    <w:rsid w:val="00CE669E"/>
    <w:rsid w:val="00CF3D15"/>
    <w:rsid w:val="00CF4F33"/>
    <w:rsid w:val="00D03D9C"/>
    <w:rsid w:val="00D07462"/>
    <w:rsid w:val="00D163D2"/>
    <w:rsid w:val="00D2750E"/>
    <w:rsid w:val="00D36529"/>
    <w:rsid w:val="00D40706"/>
    <w:rsid w:val="00D42F9B"/>
    <w:rsid w:val="00D475B2"/>
    <w:rsid w:val="00D536BF"/>
    <w:rsid w:val="00D572EA"/>
    <w:rsid w:val="00D6067A"/>
    <w:rsid w:val="00D61986"/>
    <w:rsid w:val="00D73705"/>
    <w:rsid w:val="00DA241E"/>
    <w:rsid w:val="00DA311F"/>
    <w:rsid w:val="00DB4C1B"/>
    <w:rsid w:val="00DD2F53"/>
    <w:rsid w:val="00DD3E95"/>
    <w:rsid w:val="00DD637B"/>
    <w:rsid w:val="00E04ECD"/>
    <w:rsid w:val="00E17B0E"/>
    <w:rsid w:val="00E20001"/>
    <w:rsid w:val="00E27C2A"/>
    <w:rsid w:val="00E300FE"/>
    <w:rsid w:val="00E31221"/>
    <w:rsid w:val="00E41958"/>
    <w:rsid w:val="00E668DE"/>
    <w:rsid w:val="00E84EB7"/>
    <w:rsid w:val="00E85E6D"/>
    <w:rsid w:val="00EB002B"/>
    <w:rsid w:val="00EC1DA5"/>
    <w:rsid w:val="00ED3FB4"/>
    <w:rsid w:val="00ED444C"/>
    <w:rsid w:val="00ED5CE2"/>
    <w:rsid w:val="00ED7AE0"/>
    <w:rsid w:val="00EF383F"/>
    <w:rsid w:val="00F05292"/>
    <w:rsid w:val="00F07E73"/>
    <w:rsid w:val="00F20A71"/>
    <w:rsid w:val="00F2462F"/>
    <w:rsid w:val="00F24AE6"/>
    <w:rsid w:val="00F271A0"/>
    <w:rsid w:val="00F31E18"/>
    <w:rsid w:val="00F469F8"/>
    <w:rsid w:val="00F604B7"/>
    <w:rsid w:val="00F609FE"/>
    <w:rsid w:val="00F64ADA"/>
    <w:rsid w:val="00F7631B"/>
    <w:rsid w:val="00F8036C"/>
    <w:rsid w:val="00FA2470"/>
    <w:rsid w:val="00FA64BF"/>
    <w:rsid w:val="00FA6B83"/>
    <w:rsid w:val="00FB3F92"/>
    <w:rsid w:val="00FC0ECF"/>
    <w:rsid w:val="00FC2916"/>
    <w:rsid w:val="00FC6572"/>
    <w:rsid w:val="00FD28A2"/>
    <w:rsid w:val="00FE4232"/>
    <w:rsid w:val="00FF2A39"/>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08BEAC"/>
  <w14:defaultImageDpi w14:val="32767"/>
  <w15:chartTrackingRefBased/>
  <w15:docId w15:val="{334AA753-3156-934D-9624-CD427195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21BF"/>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1BF"/>
    <w:rPr>
      <w:color w:val="0563C1" w:themeColor="hyperlink"/>
      <w:u w:val="single"/>
    </w:rPr>
  </w:style>
  <w:style w:type="paragraph" w:styleId="ListParagraph">
    <w:name w:val="List Paragraph"/>
    <w:basedOn w:val="Normal"/>
    <w:uiPriority w:val="34"/>
    <w:qFormat/>
    <w:rsid w:val="00BA2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safety/emergency-preparedness-response-recovery/covid-19-provincial-support/restrictions" TargetMode="External"/><Relationship Id="rId13" Type="http://schemas.openxmlformats.org/officeDocument/2006/relationships/hyperlink" Target="http://www.canada.ca/en/public-health/news/2020/04/public-health-agency-of-canada-releases-interim-guidance-for-infection-prevention-and-control-of-covid-19-for-long-term-care-homes.html" TargetMode="External"/><Relationship Id="rId3" Type="http://schemas.openxmlformats.org/officeDocument/2006/relationships/settings" Target="settings.xml"/><Relationship Id="rId7" Type="http://schemas.openxmlformats.org/officeDocument/2006/relationships/hyperlink" Target="https://ihpme.utoronto.ca/research/research-centres-initiatives/nao/covid19/" TargetMode="External"/><Relationship Id="rId12" Type="http://schemas.openxmlformats.org/officeDocument/2006/relationships/hyperlink" Target="https://ltc-covid19-track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can.gc.ca/eng/subjects-start/population_and_demography" TargetMode="External"/><Relationship Id="rId11" Type="http://schemas.openxmlformats.org/officeDocument/2006/relationships/hyperlink" Target="http://www.cihi.ca/en/long-term-care-homes-in-canada-how-many-and-who-owns-them" TargetMode="External"/><Relationship Id="rId5" Type="http://schemas.openxmlformats.org/officeDocument/2006/relationships/hyperlink" Target="https://ihpme.utoronto.ca/research/research-centres-initiatives/nao/covid19/" TargetMode="External"/><Relationship Id="rId15" Type="http://schemas.openxmlformats.org/officeDocument/2006/relationships/theme" Target="theme/theme1.xml"/><Relationship Id="rId10" Type="http://schemas.openxmlformats.org/officeDocument/2006/relationships/hyperlink" Target="https://ihpme.utoronto.ca/research/research-centres-initiatives/nao/covid19/" TargetMode="External"/><Relationship Id="rId4" Type="http://schemas.openxmlformats.org/officeDocument/2006/relationships/webSettings" Target="webSettings.xml"/><Relationship Id="rId9" Type="http://schemas.openxmlformats.org/officeDocument/2006/relationships/hyperlink" Target="https://www.publicsafety.gc.ca/cnt/trnsprnc/brfng-mtrls/prlmntry-bndrs/20201119/015/index-en.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2389</Words>
  <Characters>15938</Characters>
  <Application>Microsoft Office Word</Application>
  <DocSecurity>0</DocSecurity>
  <Lines>379</Lines>
  <Paragraphs>100</Paragraphs>
  <ScaleCrop>false</ScaleCrop>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Allin</dc:creator>
  <cp:keywords/>
  <dc:description/>
  <cp:lastModifiedBy>Sara Allin</cp:lastModifiedBy>
  <cp:revision>7</cp:revision>
  <dcterms:created xsi:type="dcterms:W3CDTF">2021-03-10T18:43:00Z</dcterms:created>
  <dcterms:modified xsi:type="dcterms:W3CDTF">2021-03-10T18:56:00Z</dcterms:modified>
</cp:coreProperties>
</file>