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F66" w:rsidRDefault="00F17F66" w:rsidP="00F17F66">
      <w:pPr>
        <w:pStyle w:val="Heading1"/>
      </w:pPr>
      <w:bookmarkStart w:id="0" w:name="_Ref24548418"/>
      <w:bookmarkStart w:id="1" w:name="_Toc43301687"/>
      <w:r>
        <w:t>Supplementary material</w:t>
      </w:r>
    </w:p>
    <w:p w:rsidR="00F17F66" w:rsidRPr="002C54F8" w:rsidRDefault="00F17F66" w:rsidP="00F17F66">
      <w:pPr>
        <w:pStyle w:val="Caption"/>
      </w:pPr>
      <w:bookmarkStart w:id="2" w:name="_Ref49576909"/>
      <w:r>
        <w:t xml:space="preserve">Table A </w:t>
      </w:r>
      <w:fldSimple w:instr=" SEQ Table_A \* ARABIC ">
        <w:r>
          <w:rPr>
            <w:noProof/>
          </w:rPr>
          <w:t>1</w:t>
        </w:r>
      </w:fldSimple>
      <w:bookmarkEnd w:id="2"/>
      <w:r>
        <w:t xml:space="preserve">: </w:t>
      </w:r>
      <w:bookmarkEnd w:id="0"/>
      <w:r w:rsidRPr="002C54F8">
        <w:t xml:space="preserve">Derivation of our working definition of need, with reference to the framework by </w:t>
      </w:r>
      <w:proofErr w:type="spellStart"/>
      <w:r w:rsidRPr="002C54F8">
        <w:t>Culyer</w:t>
      </w:r>
      <w:proofErr w:type="spellEnd"/>
      <w:r w:rsidRPr="002C54F8">
        <w:t xml:space="preserve"> and Wagstaff (C&amp;W) (1993)</w:t>
      </w:r>
      <w:bookmarkEnd w:id="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3244"/>
        <w:gridCol w:w="2841"/>
        <w:gridCol w:w="4043"/>
        <w:gridCol w:w="2245"/>
      </w:tblGrid>
      <w:tr w:rsidR="00F17F66" w:rsidRPr="00897026" w:rsidTr="008E2CD4">
        <w:trPr>
          <w:tblHeader/>
        </w:trPr>
        <w:tc>
          <w:tcPr>
            <w:tcW w:w="0" w:type="auto"/>
            <w:tcBorders>
              <w:bottom w:val="single" w:sz="4" w:space="0" w:color="auto"/>
            </w:tcBorders>
          </w:tcPr>
          <w:p w:rsidR="00F17F66" w:rsidRPr="008F66A9" w:rsidRDefault="00F17F66" w:rsidP="00CA11CB">
            <w:pPr>
              <w:spacing w:line="240" w:lineRule="auto"/>
              <w:rPr>
                <w:b/>
                <w:sz w:val="20"/>
                <w:szCs w:val="20"/>
                <w:lang w:eastAsia="en-GB"/>
              </w:rPr>
            </w:pPr>
            <w:r w:rsidRPr="008F66A9">
              <w:rPr>
                <w:b/>
                <w:sz w:val="20"/>
                <w:szCs w:val="20"/>
                <w:lang w:eastAsia="en-GB"/>
              </w:rPr>
              <w:t>Definitions from C&amp;W *</w:t>
            </w:r>
          </w:p>
        </w:tc>
        <w:tc>
          <w:tcPr>
            <w:tcW w:w="0" w:type="auto"/>
            <w:tcBorders>
              <w:bottom w:val="single" w:sz="4" w:space="0" w:color="auto"/>
            </w:tcBorders>
          </w:tcPr>
          <w:p w:rsidR="00F17F66" w:rsidRPr="008F66A9" w:rsidRDefault="00F17F66" w:rsidP="00CA11CB">
            <w:pPr>
              <w:spacing w:line="240" w:lineRule="auto"/>
              <w:rPr>
                <w:b/>
                <w:sz w:val="20"/>
                <w:szCs w:val="20"/>
                <w:lang w:eastAsia="en-GB"/>
              </w:rPr>
            </w:pPr>
            <w:r w:rsidRPr="008F66A9">
              <w:rPr>
                <w:b/>
                <w:sz w:val="20"/>
                <w:szCs w:val="20"/>
                <w:lang w:eastAsia="en-GB"/>
              </w:rPr>
              <w:t xml:space="preserve">C&amp;W’s description </w:t>
            </w:r>
          </w:p>
        </w:tc>
        <w:tc>
          <w:tcPr>
            <w:tcW w:w="0" w:type="auto"/>
            <w:tcBorders>
              <w:bottom w:val="single" w:sz="4" w:space="0" w:color="auto"/>
            </w:tcBorders>
          </w:tcPr>
          <w:p w:rsidR="00F17F66" w:rsidRPr="008F66A9" w:rsidRDefault="00F17F66" w:rsidP="00CA11CB">
            <w:pPr>
              <w:spacing w:line="240" w:lineRule="auto"/>
              <w:rPr>
                <w:b/>
                <w:sz w:val="20"/>
                <w:szCs w:val="20"/>
                <w:u w:val="single"/>
                <w:lang w:eastAsia="en-GB"/>
              </w:rPr>
            </w:pPr>
            <w:r w:rsidRPr="008F66A9">
              <w:rPr>
                <w:b/>
                <w:sz w:val="20"/>
                <w:szCs w:val="20"/>
                <w:lang w:eastAsia="en-GB"/>
              </w:rPr>
              <w:t>C&amp;W’s critique</w:t>
            </w:r>
          </w:p>
        </w:tc>
        <w:tc>
          <w:tcPr>
            <w:tcW w:w="0" w:type="auto"/>
            <w:tcBorders>
              <w:bottom w:val="single" w:sz="4" w:space="0" w:color="auto"/>
            </w:tcBorders>
          </w:tcPr>
          <w:p w:rsidR="00F17F66" w:rsidRPr="008F66A9" w:rsidRDefault="00F17F66" w:rsidP="00CA11CB">
            <w:pPr>
              <w:spacing w:line="240" w:lineRule="auto"/>
              <w:rPr>
                <w:b/>
                <w:sz w:val="20"/>
                <w:szCs w:val="20"/>
                <w:lang w:eastAsia="en-GB"/>
              </w:rPr>
            </w:pPr>
            <w:r w:rsidRPr="008F66A9">
              <w:rPr>
                <w:b/>
                <w:sz w:val="20"/>
                <w:szCs w:val="20"/>
                <w:lang w:eastAsia="en-GB"/>
              </w:rPr>
              <w:t>Our comments</w:t>
            </w:r>
          </w:p>
        </w:tc>
        <w:tc>
          <w:tcPr>
            <w:tcW w:w="0" w:type="auto"/>
            <w:tcBorders>
              <w:bottom w:val="single" w:sz="4" w:space="0" w:color="auto"/>
            </w:tcBorders>
          </w:tcPr>
          <w:p w:rsidR="00F17F66" w:rsidRPr="008F66A9" w:rsidRDefault="00F17F66" w:rsidP="00CA11CB">
            <w:pPr>
              <w:spacing w:line="240" w:lineRule="auto"/>
              <w:rPr>
                <w:b/>
                <w:sz w:val="20"/>
                <w:szCs w:val="20"/>
                <w:lang w:eastAsia="en-GB"/>
              </w:rPr>
            </w:pPr>
            <w:r w:rsidRPr="008F66A9">
              <w:rPr>
                <w:b/>
                <w:sz w:val="20"/>
                <w:szCs w:val="20"/>
                <w:lang w:eastAsia="en-GB"/>
              </w:rPr>
              <w:t xml:space="preserve">Our working definition </w:t>
            </w:r>
          </w:p>
        </w:tc>
      </w:tr>
      <w:tr w:rsidR="00F17F66" w:rsidRPr="00897026" w:rsidTr="008E2CD4">
        <w:tc>
          <w:tcPr>
            <w:tcW w:w="0" w:type="auto"/>
            <w:tcBorders>
              <w:top w:val="single" w:sz="4" w:space="0" w:color="auto"/>
              <w:bottom w:val="nil"/>
            </w:tcBorders>
          </w:tcPr>
          <w:p w:rsidR="00F17F66" w:rsidRPr="008F66A9" w:rsidRDefault="00F17F66" w:rsidP="00CA11CB">
            <w:pPr>
              <w:spacing w:line="240" w:lineRule="auto"/>
              <w:rPr>
                <w:sz w:val="20"/>
                <w:szCs w:val="20"/>
                <w:lang w:eastAsia="en-GB"/>
              </w:rPr>
            </w:pPr>
            <w:r w:rsidRPr="008F66A9">
              <w:rPr>
                <w:sz w:val="20"/>
                <w:szCs w:val="20"/>
                <w:lang w:eastAsia="en-GB"/>
              </w:rPr>
              <w:t>1. Need as initial health</w:t>
            </w:r>
          </w:p>
        </w:tc>
        <w:tc>
          <w:tcPr>
            <w:tcW w:w="0" w:type="auto"/>
            <w:tcBorders>
              <w:top w:val="single" w:sz="4" w:space="0" w:color="auto"/>
              <w:bottom w:val="nil"/>
            </w:tcBorders>
          </w:tcPr>
          <w:p w:rsidR="00F17F66" w:rsidRPr="008F66A9" w:rsidRDefault="00F17F66" w:rsidP="00CA11CB">
            <w:pPr>
              <w:spacing w:line="240" w:lineRule="auto"/>
              <w:rPr>
                <w:sz w:val="20"/>
                <w:szCs w:val="20"/>
                <w:lang w:eastAsia="en-GB"/>
              </w:rPr>
            </w:pPr>
            <w:r w:rsidRPr="008F66A9">
              <w:rPr>
                <w:sz w:val="20"/>
                <w:szCs w:val="20"/>
                <w:lang w:eastAsia="en-GB"/>
              </w:rPr>
              <w:t>Need is equated with ill-health and assumes that individuals with similar health status have the same needs.</w:t>
            </w:r>
          </w:p>
        </w:tc>
        <w:tc>
          <w:tcPr>
            <w:tcW w:w="0" w:type="auto"/>
            <w:tcBorders>
              <w:top w:val="single" w:sz="4" w:space="0" w:color="auto"/>
              <w:bottom w:val="nil"/>
            </w:tcBorders>
          </w:tcPr>
          <w:p w:rsidR="00F17F66" w:rsidRPr="008F66A9" w:rsidRDefault="00F17F66" w:rsidP="00CA11CB">
            <w:pPr>
              <w:spacing w:line="240" w:lineRule="auto"/>
              <w:rPr>
                <w:sz w:val="20"/>
                <w:szCs w:val="20"/>
                <w:lang w:eastAsia="en-GB"/>
              </w:rPr>
            </w:pPr>
            <w:r w:rsidRPr="008F66A9">
              <w:rPr>
                <w:sz w:val="20"/>
                <w:szCs w:val="20"/>
                <w:lang w:eastAsia="en-GB"/>
              </w:rPr>
              <w:t xml:space="preserve">There is only need for health care if that care is available and can improve health or prevent its avoidable deterioration. </w:t>
            </w:r>
          </w:p>
          <w:p w:rsidR="00F17F66" w:rsidRPr="008F66A9" w:rsidRDefault="00F17F66" w:rsidP="00CA11CB">
            <w:pPr>
              <w:spacing w:line="240" w:lineRule="auto"/>
              <w:rPr>
                <w:sz w:val="20"/>
                <w:szCs w:val="20"/>
                <w:lang w:eastAsia="en-GB"/>
              </w:rPr>
            </w:pPr>
            <w:r w:rsidRPr="008F66A9">
              <w:rPr>
                <w:sz w:val="20"/>
                <w:szCs w:val="20"/>
                <w:lang w:eastAsia="en-GB"/>
              </w:rPr>
              <w:t xml:space="preserve">Otherwise, there is a need for </w:t>
            </w:r>
            <w:r w:rsidRPr="008F66A9">
              <w:rPr>
                <w:sz w:val="20"/>
                <w:szCs w:val="20"/>
                <w:u w:val="single"/>
                <w:lang w:eastAsia="en-GB"/>
              </w:rPr>
              <w:t>health</w:t>
            </w:r>
            <w:r w:rsidRPr="008F66A9">
              <w:rPr>
                <w:sz w:val="20"/>
                <w:szCs w:val="20"/>
                <w:lang w:eastAsia="en-GB"/>
              </w:rPr>
              <w:t xml:space="preserve"> (or medical research, comfort, etc.) rather than a need for </w:t>
            </w:r>
            <w:r w:rsidRPr="008F66A9">
              <w:rPr>
                <w:sz w:val="20"/>
                <w:szCs w:val="20"/>
                <w:u w:val="single"/>
                <w:lang w:eastAsia="en-GB"/>
              </w:rPr>
              <w:t>health care</w:t>
            </w:r>
            <w:r w:rsidRPr="008F66A9">
              <w:rPr>
                <w:sz w:val="20"/>
                <w:szCs w:val="20"/>
                <w:lang w:eastAsia="en-GB"/>
              </w:rPr>
              <w:t xml:space="preserve">. </w:t>
            </w:r>
          </w:p>
        </w:tc>
        <w:tc>
          <w:tcPr>
            <w:tcW w:w="0" w:type="auto"/>
            <w:tcBorders>
              <w:top w:val="single" w:sz="4" w:space="0" w:color="auto"/>
              <w:bottom w:val="nil"/>
            </w:tcBorders>
          </w:tcPr>
          <w:p w:rsidR="00F17F66" w:rsidRPr="008F66A9" w:rsidRDefault="00F17F66" w:rsidP="00CA11CB">
            <w:pPr>
              <w:spacing w:line="240" w:lineRule="auto"/>
              <w:rPr>
                <w:sz w:val="20"/>
                <w:szCs w:val="20"/>
                <w:lang w:eastAsia="en-GB"/>
              </w:rPr>
            </w:pPr>
            <w:r w:rsidRPr="008F66A9">
              <w:rPr>
                <w:sz w:val="20"/>
                <w:szCs w:val="20"/>
                <w:lang w:eastAsia="en-GB"/>
              </w:rPr>
              <w:t>When considering need in the context of healthcare planning, it makes sense to focus on what is feasible, i.e. needs that can be met by health care.  So</w:t>
            </w:r>
            <w:r>
              <w:rPr>
                <w:sz w:val="20"/>
                <w:szCs w:val="20"/>
                <w:lang w:eastAsia="en-GB"/>
              </w:rPr>
              <w:t>,</w:t>
            </w:r>
            <w:r w:rsidRPr="008F66A9">
              <w:rPr>
                <w:sz w:val="20"/>
                <w:szCs w:val="20"/>
                <w:lang w:eastAsia="en-GB"/>
              </w:rPr>
              <w:t xml:space="preserve"> it is important to distinguish </w:t>
            </w:r>
            <w:r w:rsidRPr="008F66A9">
              <w:rPr>
                <w:sz w:val="20"/>
                <w:szCs w:val="20"/>
                <w:u w:val="single"/>
                <w:lang w:eastAsia="en-GB"/>
              </w:rPr>
              <w:t>need for healt</w:t>
            </w:r>
            <w:r w:rsidRPr="008F66A9">
              <w:rPr>
                <w:sz w:val="20"/>
                <w:szCs w:val="20"/>
                <w:lang w:eastAsia="en-GB"/>
              </w:rPr>
              <w:t xml:space="preserve">h from its derivative, </w:t>
            </w:r>
            <w:r w:rsidRPr="008F66A9">
              <w:rPr>
                <w:sz w:val="20"/>
                <w:szCs w:val="20"/>
                <w:u w:val="single"/>
                <w:lang w:eastAsia="en-GB"/>
              </w:rPr>
              <w:t>need for health care</w:t>
            </w:r>
            <w:r w:rsidRPr="008F66A9">
              <w:rPr>
                <w:sz w:val="20"/>
                <w:szCs w:val="20"/>
                <w:lang w:eastAsia="en-GB"/>
              </w:rPr>
              <w:t xml:space="preserve">.   </w:t>
            </w:r>
          </w:p>
          <w:p w:rsidR="00F17F66" w:rsidRPr="008F66A9" w:rsidRDefault="00F17F66" w:rsidP="00CA11CB">
            <w:pPr>
              <w:spacing w:line="240" w:lineRule="auto"/>
              <w:rPr>
                <w:sz w:val="20"/>
                <w:szCs w:val="20"/>
                <w:lang w:eastAsia="en-GB"/>
              </w:rPr>
            </w:pPr>
          </w:p>
          <w:p w:rsidR="00F17F66" w:rsidRPr="008F66A9" w:rsidRDefault="00F17F66" w:rsidP="00CA11CB">
            <w:pPr>
              <w:spacing w:line="240" w:lineRule="auto"/>
              <w:rPr>
                <w:sz w:val="20"/>
                <w:szCs w:val="20"/>
                <w:lang w:eastAsia="en-GB"/>
              </w:rPr>
            </w:pPr>
            <w:r w:rsidRPr="008F66A9">
              <w:rPr>
                <w:sz w:val="20"/>
                <w:szCs w:val="20"/>
                <w:lang w:eastAsia="en-GB"/>
              </w:rPr>
              <w:t xml:space="preserve">We define need as </w:t>
            </w:r>
            <w:r w:rsidRPr="008F66A9">
              <w:rPr>
                <w:sz w:val="20"/>
                <w:szCs w:val="20"/>
                <w:u w:val="single"/>
                <w:lang w:eastAsia="en-GB"/>
              </w:rPr>
              <w:t>need for health care</w:t>
            </w:r>
            <w:r w:rsidRPr="008F66A9">
              <w:rPr>
                <w:sz w:val="20"/>
                <w:szCs w:val="20"/>
                <w:lang w:eastAsia="en-GB"/>
              </w:rPr>
              <w:t xml:space="preserve">, and qualify this as health care that is </w:t>
            </w:r>
            <w:r w:rsidRPr="008F66A9">
              <w:rPr>
                <w:sz w:val="20"/>
                <w:szCs w:val="20"/>
                <w:u w:val="single"/>
                <w:lang w:eastAsia="en-GB"/>
              </w:rPr>
              <w:t>effective</w:t>
            </w:r>
            <w:r w:rsidRPr="008F66A9">
              <w:rPr>
                <w:sz w:val="20"/>
                <w:szCs w:val="20"/>
                <w:lang w:eastAsia="en-GB"/>
              </w:rPr>
              <w:t xml:space="preserve">.  It excludes a health need that is unmet either because treatments do not exist, or existing treatments are ineffective.  Technological progress may lead to changes in what ‘need’ means in practice (the area of the blue circle in the Venn diagram). </w:t>
            </w:r>
          </w:p>
        </w:tc>
        <w:tc>
          <w:tcPr>
            <w:tcW w:w="0" w:type="auto"/>
            <w:tcBorders>
              <w:top w:val="single" w:sz="4" w:space="0" w:color="auto"/>
              <w:bottom w:val="nil"/>
            </w:tcBorders>
          </w:tcPr>
          <w:p w:rsidR="00F17F66" w:rsidRPr="008F66A9" w:rsidRDefault="00F17F66" w:rsidP="00CA11CB">
            <w:pPr>
              <w:spacing w:line="240" w:lineRule="auto"/>
              <w:rPr>
                <w:sz w:val="20"/>
                <w:szCs w:val="20"/>
                <w:lang w:eastAsia="en-GB"/>
              </w:rPr>
            </w:pPr>
            <w:r w:rsidRPr="008F66A9">
              <w:rPr>
                <w:sz w:val="20"/>
                <w:szCs w:val="20"/>
                <w:lang w:eastAsia="en-GB"/>
              </w:rPr>
              <w:t>We agree with the C&amp;W framework and define ‘need’</w:t>
            </w:r>
            <w:r w:rsidRPr="008F66A9">
              <w:rPr>
                <w:b/>
                <w:sz w:val="20"/>
                <w:szCs w:val="20"/>
                <w:lang w:eastAsia="en-GB"/>
              </w:rPr>
              <w:t xml:space="preserve"> </w:t>
            </w:r>
            <w:r w:rsidRPr="008F66A9">
              <w:rPr>
                <w:sz w:val="20"/>
                <w:szCs w:val="20"/>
                <w:lang w:eastAsia="en-GB"/>
              </w:rPr>
              <w:t>as a need for</w:t>
            </w:r>
            <w:r w:rsidRPr="008F66A9">
              <w:rPr>
                <w:b/>
                <w:sz w:val="20"/>
                <w:szCs w:val="20"/>
                <w:lang w:eastAsia="en-GB"/>
              </w:rPr>
              <w:t xml:space="preserve"> existing, effective health care</w:t>
            </w:r>
            <w:r w:rsidRPr="008F66A9">
              <w:rPr>
                <w:sz w:val="20"/>
                <w:szCs w:val="20"/>
                <w:lang w:eastAsia="en-GB"/>
              </w:rPr>
              <w:t xml:space="preserve">.  </w:t>
            </w:r>
          </w:p>
        </w:tc>
      </w:tr>
      <w:tr w:rsidR="00F17F66" w:rsidRPr="00897026" w:rsidTr="008E2CD4">
        <w:tc>
          <w:tcPr>
            <w:tcW w:w="0" w:type="auto"/>
            <w:tcBorders>
              <w:top w:val="nil"/>
            </w:tcBorders>
          </w:tcPr>
          <w:p w:rsidR="00F17F66" w:rsidRPr="008F66A9" w:rsidRDefault="00F17F66" w:rsidP="00CA11CB">
            <w:pPr>
              <w:spacing w:line="240" w:lineRule="auto"/>
              <w:rPr>
                <w:sz w:val="20"/>
                <w:szCs w:val="20"/>
                <w:lang w:eastAsia="en-GB"/>
              </w:rPr>
            </w:pPr>
            <w:r w:rsidRPr="008F66A9">
              <w:rPr>
                <w:sz w:val="20"/>
                <w:szCs w:val="20"/>
                <w:lang w:eastAsia="en-GB"/>
              </w:rPr>
              <w:t>2. Need as capacity to benefit</w:t>
            </w:r>
          </w:p>
        </w:tc>
        <w:tc>
          <w:tcPr>
            <w:tcW w:w="0" w:type="auto"/>
            <w:tcBorders>
              <w:top w:val="nil"/>
            </w:tcBorders>
          </w:tcPr>
          <w:p w:rsidR="00F17F66" w:rsidRPr="008F66A9" w:rsidRDefault="00F17F66" w:rsidP="00CA11CB">
            <w:pPr>
              <w:spacing w:line="240" w:lineRule="auto"/>
              <w:rPr>
                <w:sz w:val="20"/>
                <w:szCs w:val="20"/>
                <w:lang w:eastAsia="en-GB"/>
              </w:rPr>
            </w:pPr>
            <w:r w:rsidRPr="008F66A9">
              <w:rPr>
                <w:sz w:val="20"/>
                <w:szCs w:val="20"/>
                <w:lang w:eastAsia="en-GB"/>
              </w:rPr>
              <w:t>Health care is needed only if it is a necessary to attain some goal – typically, the improvement or maintenance of health.</w:t>
            </w:r>
          </w:p>
          <w:p w:rsidR="00F17F66" w:rsidRPr="008F66A9" w:rsidRDefault="00F17F66" w:rsidP="00CA11CB">
            <w:pPr>
              <w:spacing w:line="240" w:lineRule="auto"/>
              <w:rPr>
                <w:sz w:val="20"/>
                <w:szCs w:val="20"/>
                <w:lang w:eastAsia="en-GB"/>
              </w:rPr>
            </w:pPr>
            <w:r w:rsidRPr="008F66A9">
              <w:rPr>
                <w:sz w:val="20"/>
                <w:szCs w:val="20"/>
                <w:lang w:eastAsia="en-GB"/>
              </w:rPr>
              <w:t>Two conditions are implied by this definition, both of which must be met for need to exist</w:t>
            </w:r>
          </w:p>
          <w:p w:rsidR="00F17F66" w:rsidRPr="008F66A9" w:rsidRDefault="00F17F66" w:rsidP="00F17F66">
            <w:pPr>
              <w:pStyle w:val="ListParagraph"/>
              <w:numPr>
                <w:ilvl w:val="1"/>
                <w:numId w:val="11"/>
              </w:numPr>
              <w:spacing w:line="240" w:lineRule="auto"/>
              <w:ind w:left="357" w:hanging="357"/>
              <w:rPr>
                <w:sz w:val="20"/>
                <w:szCs w:val="20"/>
                <w:lang w:eastAsia="en-GB"/>
              </w:rPr>
            </w:pPr>
            <w:r w:rsidRPr="008F66A9">
              <w:rPr>
                <w:sz w:val="20"/>
                <w:szCs w:val="20"/>
                <w:lang w:eastAsia="en-GB"/>
              </w:rPr>
              <w:t>The expected marginal product (health) must be positive i.e. there is capacity to benefit from consuming health care. Preventing ill-health in future also implies the existence of ‘need’, i.e. the positive marginal product may arise later.</w:t>
            </w:r>
          </w:p>
          <w:p w:rsidR="00F17F66" w:rsidRPr="008F66A9" w:rsidRDefault="00F17F66" w:rsidP="00F17F66">
            <w:pPr>
              <w:pStyle w:val="ListParagraph"/>
              <w:numPr>
                <w:ilvl w:val="1"/>
                <w:numId w:val="11"/>
              </w:numPr>
              <w:spacing w:line="240" w:lineRule="auto"/>
              <w:ind w:left="357" w:hanging="357"/>
              <w:rPr>
                <w:sz w:val="20"/>
                <w:szCs w:val="20"/>
                <w:lang w:eastAsia="en-GB"/>
              </w:rPr>
            </w:pPr>
            <w:r w:rsidRPr="008F66A9">
              <w:rPr>
                <w:sz w:val="20"/>
                <w:szCs w:val="20"/>
                <w:lang w:eastAsia="en-GB"/>
              </w:rPr>
              <w:lastRenderedPageBreak/>
              <w:t>There must be no other less costly or more productive technologies that fulfil the goal more efficiently.  In other words, cost-ineffective or inefficient health care cannot be ‘needed’.</w:t>
            </w:r>
          </w:p>
        </w:tc>
        <w:tc>
          <w:tcPr>
            <w:tcW w:w="0" w:type="auto"/>
            <w:tcBorders>
              <w:top w:val="nil"/>
            </w:tcBorders>
          </w:tcPr>
          <w:p w:rsidR="00F17F66" w:rsidRPr="008F66A9" w:rsidRDefault="00F17F66" w:rsidP="00CA11CB">
            <w:pPr>
              <w:spacing w:line="240" w:lineRule="auto"/>
              <w:rPr>
                <w:sz w:val="20"/>
                <w:szCs w:val="20"/>
                <w:lang w:eastAsia="en-GB"/>
              </w:rPr>
            </w:pPr>
            <w:r w:rsidRPr="008F66A9">
              <w:rPr>
                <w:sz w:val="20"/>
                <w:szCs w:val="20"/>
                <w:lang w:eastAsia="en-GB"/>
              </w:rPr>
              <w:lastRenderedPageBreak/>
              <w:t>This definition does not address how to measure capacity to benefit.</w:t>
            </w:r>
          </w:p>
        </w:tc>
        <w:tc>
          <w:tcPr>
            <w:tcW w:w="0" w:type="auto"/>
            <w:tcBorders>
              <w:top w:val="nil"/>
            </w:tcBorders>
          </w:tcPr>
          <w:p w:rsidR="00F17F66" w:rsidRPr="008F66A9" w:rsidRDefault="00F17F66" w:rsidP="00CA11CB">
            <w:pPr>
              <w:spacing w:line="240" w:lineRule="auto"/>
              <w:rPr>
                <w:sz w:val="20"/>
                <w:szCs w:val="20"/>
                <w:lang w:eastAsia="en-GB"/>
              </w:rPr>
            </w:pPr>
            <w:r w:rsidRPr="008F66A9">
              <w:rPr>
                <w:sz w:val="20"/>
                <w:szCs w:val="20"/>
                <w:lang w:eastAsia="en-GB"/>
              </w:rPr>
              <w:t>We agree that need is capacity to benefit, but broaden the definition of ‘</w:t>
            </w:r>
            <w:r w:rsidRPr="008F66A9">
              <w:rPr>
                <w:sz w:val="20"/>
                <w:szCs w:val="20"/>
                <w:u w:val="single"/>
                <w:lang w:eastAsia="en-GB"/>
              </w:rPr>
              <w:t>effective’</w:t>
            </w:r>
            <w:r w:rsidRPr="008F66A9">
              <w:rPr>
                <w:sz w:val="20"/>
                <w:szCs w:val="20"/>
                <w:lang w:eastAsia="en-GB"/>
              </w:rPr>
              <w:t xml:space="preserve"> to include health care that does not directly improve health – the expected marginal product is zero – but that plays a subsidiary role either by </w:t>
            </w:r>
            <w:r>
              <w:rPr>
                <w:sz w:val="20"/>
                <w:szCs w:val="20"/>
                <w:lang w:eastAsia="en-GB"/>
              </w:rPr>
              <w:t>reducing</w:t>
            </w:r>
            <w:r w:rsidRPr="008F66A9">
              <w:rPr>
                <w:sz w:val="20"/>
                <w:szCs w:val="20"/>
                <w:lang w:eastAsia="en-GB"/>
              </w:rPr>
              <w:t xml:space="preserve"> treatment uncertainty, or by facilitating access to effective care.  </w:t>
            </w:r>
            <w:r>
              <w:rPr>
                <w:sz w:val="20"/>
                <w:szCs w:val="20"/>
                <w:lang w:eastAsia="en-GB"/>
              </w:rPr>
              <w:t xml:space="preserve">This type of health care may also have benefits for mental health, by relieving anxiety associated with prognostic uncertainty </w:t>
            </w:r>
            <w:r>
              <w:rPr>
                <w:sz w:val="20"/>
                <w:szCs w:val="20"/>
                <w:lang w:eastAsia="en-GB"/>
              </w:rPr>
              <w:fldChar w:fldCharType="begin"/>
            </w:r>
            <w:r>
              <w:rPr>
                <w:sz w:val="20"/>
                <w:szCs w:val="20"/>
                <w:lang w:eastAsia="en-GB"/>
              </w:rPr>
              <w:instrText xml:space="preserve"> ADDIN EN.CITE &lt;EndNote&gt;&lt;Cite&gt;&lt;Author&gt;Newhouse&lt;/Author&gt;&lt;Year&gt;1977&lt;/Year&gt;&lt;RecNum&gt;48&lt;/RecNum&gt;&lt;DisplayText&gt;(Newhouse, 1977)&lt;/DisplayText&gt;&lt;record&gt;&lt;rec-number&gt;48&lt;/rec-number&gt;&lt;foreign-keys&gt;&lt;key app="EN" db-id="vfweffweo009d7esve6xxsrj2wst2traf9rp" timestamp="1590566384"&gt;48&lt;/key&gt;&lt;/foreign-keys&gt;&lt;ref-type name="Journal Article"&gt;17&lt;/ref-type&gt;&lt;contributors&gt;&lt;authors&gt;&lt;author&gt;Newhouse, Joseph P.&lt;/author&gt;&lt;/authors&gt;&lt;/contributors&gt;&lt;titles&gt;&lt;title&gt;Medical-Care Expenditure: A Cross-National Survey&lt;/title&gt;&lt;secondary-title&gt;The Journal of Human Resources&lt;/secondary-title&gt;&lt;/titles&gt;&lt;pages&gt;115-125&lt;/pages&gt;&lt;volume&gt;12&lt;/volume&gt;&lt;number&gt;1&lt;/number&gt;&lt;dates&gt;&lt;year&gt;1977&lt;/year&gt;&lt;/dates&gt;&lt;publisher&gt;[University of Wisconsin Press, Board of Regents of the University of Wisconsin System]&lt;/publisher&gt;&lt;isbn&gt;0022166X&lt;/isbn&gt;&lt;urls&gt;&lt;related-urls&gt;&lt;url&gt;www.jstor.org/stable/145602&lt;/url&gt;&lt;/related-urls&gt;&lt;/urls&gt;&lt;custom1&gt;Full publication date: Winter, 1977&lt;/custom1&gt;&lt;electronic-resource-num&gt;10.2307/145602&lt;/electronic-resource-num&gt;&lt;remote-database-name&gt;JSTOR&lt;/remote-database-name&gt;&lt;access-date&gt;2020/05/13/&lt;/access-date&gt;&lt;/record&gt;&lt;/Cite&gt;&lt;/EndNote&gt;</w:instrText>
            </w:r>
            <w:r>
              <w:rPr>
                <w:sz w:val="20"/>
                <w:szCs w:val="20"/>
                <w:lang w:eastAsia="en-GB"/>
              </w:rPr>
              <w:fldChar w:fldCharType="separate"/>
            </w:r>
            <w:r>
              <w:rPr>
                <w:noProof/>
                <w:sz w:val="20"/>
                <w:szCs w:val="20"/>
                <w:lang w:eastAsia="en-GB"/>
              </w:rPr>
              <w:t>(Newhouse, 1977)</w:t>
            </w:r>
            <w:r>
              <w:rPr>
                <w:sz w:val="20"/>
                <w:szCs w:val="20"/>
                <w:lang w:eastAsia="en-GB"/>
              </w:rPr>
              <w:fldChar w:fldCharType="end"/>
            </w:r>
            <w:r>
              <w:rPr>
                <w:sz w:val="20"/>
                <w:szCs w:val="20"/>
                <w:lang w:eastAsia="en-GB"/>
              </w:rPr>
              <w:t xml:space="preserve">. </w:t>
            </w:r>
          </w:p>
          <w:p w:rsidR="00F17F66" w:rsidRPr="008F66A9" w:rsidRDefault="00F17F66" w:rsidP="00CA11CB">
            <w:pPr>
              <w:spacing w:line="240" w:lineRule="auto"/>
              <w:rPr>
                <w:sz w:val="20"/>
                <w:szCs w:val="20"/>
                <w:lang w:eastAsia="en-GB"/>
              </w:rPr>
            </w:pPr>
          </w:p>
          <w:p w:rsidR="00F17F66" w:rsidRPr="008F66A9" w:rsidRDefault="00F17F66" w:rsidP="00CA11CB">
            <w:pPr>
              <w:spacing w:line="240" w:lineRule="auto"/>
              <w:rPr>
                <w:sz w:val="20"/>
                <w:szCs w:val="20"/>
                <w:lang w:eastAsia="en-GB"/>
              </w:rPr>
            </w:pPr>
            <w:r w:rsidRPr="008F66A9">
              <w:rPr>
                <w:sz w:val="20"/>
                <w:szCs w:val="20"/>
                <w:lang w:eastAsia="en-GB"/>
              </w:rPr>
              <w:t xml:space="preserve">We agree with C&amp;W that cost-ineffective care cannot be needed.  There may be a need for care that is demonstrably cost-effective, although this depends how cost-effectiveness is </w:t>
            </w:r>
            <w:r w:rsidRPr="008F66A9">
              <w:rPr>
                <w:sz w:val="20"/>
                <w:szCs w:val="20"/>
                <w:lang w:eastAsia="en-GB"/>
              </w:rPr>
              <w:lastRenderedPageBreak/>
              <w:t xml:space="preserve">defined.  However, there is no evidence of the effectiveness or cost-effectiveness for many types of care </w:t>
            </w:r>
            <w:r>
              <w:rPr>
                <w:sz w:val="20"/>
                <w:szCs w:val="20"/>
                <w:lang w:eastAsia="en-GB"/>
              </w:rPr>
              <w:fldChar w:fldCharType="begin"/>
            </w:r>
            <w:r>
              <w:rPr>
                <w:sz w:val="20"/>
                <w:szCs w:val="20"/>
                <w:lang w:eastAsia="en-GB"/>
              </w:rPr>
              <w:instrText xml:space="preserve"> ADDIN EN.CITE &lt;EndNote&gt;&lt;Cite&gt;&lt;Author&gt;Maynard&lt;/Author&gt;&lt;Year&gt;2012&lt;/Year&gt;&lt;RecNum&gt;47&lt;/RecNum&gt;&lt;DisplayText&gt;(Maynard, 2012)&lt;/DisplayText&gt;&lt;record&gt;&lt;rec-number&gt;47&lt;/rec-number&gt;&lt;foreign-keys&gt;&lt;key app="EN" db-id="vfweffweo009d7esve6xxsrj2wst2traf9rp" timestamp="1588765192"&gt;47&lt;/key&gt;&lt;/foreign-keys&gt;&lt;ref-type name="Journal Article"&gt;17&lt;/ref-type&gt;&lt;contributors&gt;&lt;authors&gt;&lt;author&gt;Maynard, A.&lt;/author&gt;&lt;/authors&gt;&lt;/contributors&gt;&lt;titles&gt;&lt;title&gt;Dealing with variation&lt;/title&gt;&lt;secondary-title&gt;Health Service Journal&lt;/secondary-title&gt;&lt;/titles&gt;&lt;pages&gt;16&lt;/pages&gt;&lt;volume&gt;122&lt;/volume&gt;&lt;number&gt;6289&lt;/number&gt;&lt;dates&gt;&lt;year&gt;2012&lt;/year&gt;&lt;/dates&gt;&lt;accession-num&gt;22393854&lt;/accession-num&gt;&lt;urls&gt;&lt;related-urls&gt;&lt;url&gt;https://ovidsp.ovid.com/ovidweb.cgi?T=JS&amp;amp;CSC=Y&amp;amp;NEWS=N&amp;amp;PAGE=fulltext&amp;amp;D=med9&amp;amp;AN=22393854&lt;/url&gt;&lt;url&gt;http://openurl.york.ac.uk/openurl/44YORK/44YORK_services_page?sid=OVID:medline&amp;amp;id=pmid:22393854&amp;amp;id=doi:&amp;amp;issn=0952-2271&amp;amp;isbn=&amp;amp;volume=122&amp;amp;issue=6289&amp;amp;spage=16&amp;amp;pages=16&amp;amp;date=2012&amp;amp;title=Health+Service+Journal&amp;amp;atitle=Dealing+with+variation.&amp;amp;aulast=Maynard&amp;amp;pid=%3Cauthor%3EMaynard+A%3C%2Fauthor%3E%3CAN%3E22393854%3C%2FAN%3E%3CDT%3EJournal+Article%3C%2FDT%3E&lt;/url&gt;&lt;/related-urls&gt;&lt;/urls&gt;&lt;research-notes&gt;Ovid MEDLINE(R) ALL 1946 to May 05, 2020&lt;/research-notes&gt;&lt;/record&gt;&lt;/Cite&gt;&lt;/EndNote&gt;</w:instrText>
            </w:r>
            <w:r>
              <w:rPr>
                <w:sz w:val="20"/>
                <w:szCs w:val="20"/>
                <w:lang w:eastAsia="en-GB"/>
              </w:rPr>
              <w:fldChar w:fldCharType="separate"/>
            </w:r>
            <w:r>
              <w:rPr>
                <w:noProof/>
                <w:sz w:val="20"/>
                <w:szCs w:val="20"/>
                <w:lang w:eastAsia="en-GB"/>
              </w:rPr>
              <w:t>(Maynard, 2012)</w:t>
            </w:r>
            <w:r>
              <w:rPr>
                <w:sz w:val="20"/>
                <w:szCs w:val="20"/>
                <w:lang w:eastAsia="en-GB"/>
              </w:rPr>
              <w:fldChar w:fldCharType="end"/>
            </w:r>
            <w:r w:rsidRPr="008F66A9">
              <w:rPr>
                <w:sz w:val="20"/>
                <w:szCs w:val="20"/>
                <w:lang w:eastAsia="en-GB"/>
              </w:rPr>
              <w:t>.  We therefore define need as being for ‘</w:t>
            </w:r>
            <w:r w:rsidRPr="008F66A9">
              <w:rPr>
                <w:sz w:val="20"/>
                <w:szCs w:val="20"/>
                <w:u w:val="single"/>
                <w:lang w:eastAsia="en-GB"/>
              </w:rPr>
              <w:t>appropriate’</w:t>
            </w:r>
            <w:r w:rsidRPr="008F66A9">
              <w:rPr>
                <w:sz w:val="20"/>
                <w:szCs w:val="20"/>
                <w:lang w:eastAsia="en-GB"/>
              </w:rPr>
              <w:t xml:space="preserve"> care.  This includes care that is cost-effective, and excludes care that is known to be cost-ineffective.  It also includes care that is of unknown effectiveness or cost-effectiveness but that is provided in the right setting and at the right time.  The term ‘appropriate’ involves a – usually, clinical – judgement about what ‘right’ care means and reflects the uncertainty about treatments’ effectiveness</w:t>
            </w:r>
            <w:bookmarkStart w:id="3" w:name="_GoBack"/>
            <w:bookmarkEnd w:id="3"/>
            <w:r w:rsidRPr="008F66A9">
              <w:rPr>
                <w:sz w:val="20"/>
                <w:szCs w:val="20"/>
                <w:lang w:eastAsia="en-GB"/>
              </w:rPr>
              <w:t xml:space="preserve"> and/or cost-effectiveness. </w:t>
            </w:r>
          </w:p>
        </w:tc>
        <w:tc>
          <w:tcPr>
            <w:tcW w:w="0" w:type="auto"/>
            <w:tcBorders>
              <w:top w:val="nil"/>
            </w:tcBorders>
          </w:tcPr>
          <w:p w:rsidR="00F17F66" w:rsidRPr="008F66A9" w:rsidRDefault="00F17F66" w:rsidP="00CA11CB">
            <w:pPr>
              <w:spacing w:line="240" w:lineRule="auto"/>
              <w:rPr>
                <w:sz w:val="20"/>
                <w:szCs w:val="20"/>
                <w:lang w:eastAsia="en-GB"/>
              </w:rPr>
            </w:pPr>
            <w:r w:rsidRPr="008F66A9">
              <w:rPr>
                <w:sz w:val="20"/>
                <w:szCs w:val="20"/>
                <w:lang w:eastAsia="en-GB"/>
              </w:rPr>
              <w:lastRenderedPageBreak/>
              <w:t xml:space="preserve">We agree with the C&amp;W framework and refine our definition of need accordingly.  </w:t>
            </w:r>
          </w:p>
          <w:p w:rsidR="00F17F66" w:rsidRPr="008F66A9" w:rsidRDefault="00F17F66" w:rsidP="00F17F66">
            <w:pPr>
              <w:pStyle w:val="ListParagraph"/>
              <w:numPr>
                <w:ilvl w:val="0"/>
                <w:numId w:val="12"/>
              </w:numPr>
              <w:spacing w:line="240" w:lineRule="auto"/>
              <w:ind w:left="357" w:hanging="357"/>
              <w:rPr>
                <w:sz w:val="20"/>
                <w:szCs w:val="20"/>
                <w:lang w:eastAsia="en-GB"/>
              </w:rPr>
            </w:pPr>
            <w:r w:rsidRPr="008F66A9">
              <w:rPr>
                <w:sz w:val="20"/>
                <w:szCs w:val="20"/>
                <w:lang w:eastAsia="en-GB"/>
              </w:rPr>
              <w:t xml:space="preserve">need is for health care that is effective in improving health, either now </w:t>
            </w:r>
            <w:r w:rsidRPr="008F66A9">
              <w:rPr>
                <w:b/>
                <w:sz w:val="20"/>
                <w:szCs w:val="20"/>
                <w:lang w:eastAsia="en-GB"/>
              </w:rPr>
              <w:t>or in the future (or both)</w:t>
            </w:r>
            <w:r w:rsidRPr="008F66A9">
              <w:rPr>
                <w:sz w:val="20"/>
                <w:szCs w:val="20"/>
                <w:lang w:eastAsia="en-GB"/>
              </w:rPr>
              <w:t xml:space="preserve">. </w:t>
            </w:r>
          </w:p>
          <w:p w:rsidR="00F17F66" w:rsidRPr="008F66A9" w:rsidRDefault="00F17F66" w:rsidP="00F17F66">
            <w:pPr>
              <w:pStyle w:val="ListParagraph"/>
              <w:numPr>
                <w:ilvl w:val="0"/>
                <w:numId w:val="12"/>
              </w:numPr>
              <w:spacing w:line="240" w:lineRule="auto"/>
              <w:ind w:left="357" w:hanging="357"/>
              <w:rPr>
                <w:sz w:val="20"/>
                <w:szCs w:val="20"/>
                <w:lang w:eastAsia="en-GB"/>
              </w:rPr>
            </w:pPr>
            <w:r w:rsidRPr="005C5ACD">
              <w:rPr>
                <w:sz w:val="20"/>
                <w:szCs w:val="20"/>
                <w:lang w:eastAsia="en-GB"/>
              </w:rPr>
              <w:t xml:space="preserve">need is for health care that is </w:t>
            </w:r>
            <w:r w:rsidRPr="005C5ACD">
              <w:rPr>
                <w:b/>
                <w:sz w:val="20"/>
                <w:szCs w:val="20"/>
                <w:lang w:eastAsia="en-GB"/>
              </w:rPr>
              <w:t>appropriate</w:t>
            </w:r>
            <w:r w:rsidRPr="005C5ACD">
              <w:rPr>
                <w:sz w:val="20"/>
                <w:szCs w:val="20"/>
                <w:lang w:eastAsia="en-GB"/>
              </w:rPr>
              <w:t>.</w:t>
            </w:r>
            <w:r w:rsidRPr="008F66A9">
              <w:rPr>
                <w:sz w:val="20"/>
                <w:szCs w:val="20"/>
                <w:lang w:eastAsia="en-GB"/>
              </w:rPr>
              <w:t xml:space="preserve">  </w:t>
            </w:r>
          </w:p>
        </w:tc>
      </w:tr>
      <w:tr w:rsidR="00F17F66" w:rsidRPr="00897026" w:rsidTr="008E2CD4">
        <w:tc>
          <w:tcPr>
            <w:tcW w:w="0" w:type="auto"/>
          </w:tcPr>
          <w:p w:rsidR="00F17F66" w:rsidRPr="008F66A9" w:rsidRDefault="00F17F66" w:rsidP="00CA11CB">
            <w:pPr>
              <w:spacing w:line="240" w:lineRule="auto"/>
              <w:rPr>
                <w:sz w:val="20"/>
                <w:szCs w:val="20"/>
                <w:lang w:eastAsia="en-GB"/>
              </w:rPr>
            </w:pPr>
            <w:r w:rsidRPr="008F66A9">
              <w:rPr>
                <w:sz w:val="20"/>
                <w:szCs w:val="20"/>
                <w:lang w:eastAsia="en-GB"/>
              </w:rPr>
              <w:t>3. Need as expenditures a person ought to have</w:t>
            </w:r>
          </w:p>
        </w:tc>
        <w:tc>
          <w:tcPr>
            <w:tcW w:w="0" w:type="auto"/>
          </w:tcPr>
          <w:p w:rsidR="00F17F66" w:rsidRPr="008F66A9" w:rsidRDefault="00F17F66" w:rsidP="00CA11CB">
            <w:pPr>
              <w:spacing w:line="240" w:lineRule="auto"/>
              <w:rPr>
                <w:sz w:val="20"/>
                <w:szCs w:val="20"/>
                <w:lang w:eastAsia="en-GB"/>
              </w:rPr>
            </w:pPr>
            <w:r w:rsidRPr="008F66A9">
              <w:rPr>
                <w:sz w:val="20"/>
                <w:szCs w:val="20"/>
                <w:lang w:eastAsia="en-GB"/>
              </w:rPr>
              <w:t>The amount of productive health care required to attain equality of health or welfare.</w:t>
            </w:r>
          </w:p>
        </w:tc>
        <w:tc>
          <w:tcPr>
            <w:tcW w:w="0" w:type="auto"/>
          </w:tcPr>
          <w:p w:rsidR="00F17F66" w:rsidRPr="008F66A9" w:rsidRDefault="00F17F66" w:rsidP="00F17F66">
            <w:pPr>
              <w:pStyle w:val="ListParagraph"/>
              <w:numPr>
                <w:ilvl w:val="0"/>
                <w:numId w:val="10"/>
              </w:numPr>
              <w:spacing w:line="240" w:lineRule="auto"/>
              <w:ind w:left="357" w:hanging="357"/>
              <w:rPr>
                <w:sz w:val="20"/>
                <w:szCs w:val="20"/>
                <w:lang w:eastAsia="en-GB"/>
              </w:rPr>
            </w:pPr>
            <w:r w:rsidRPr="008F66A9">
              <w:rPr>
                <w:sz w:val="20"/>
                <w:szCs w:val="20"/>
                <w:lang w:eastAsia="en-GB"/>
              </w:rPr>
              <w:t xml:space="preserve">needs are defined in relation to equality of health, but this is arbitrary; </w:t>
            </w:r>
          </w:p>
          <w:p w:rsidR="00F17F66" w:rsidRPr="008F66A9" w:rsidRDefault="00F17F66" w:rsidP="00F17F66">
            <w:pPr>
              <w:pStyle w:val="ListParagraph"/>
              <w:numPr>
                <w:ilvl w:val="0"/>
                <w:numId w:val="10"/>
              </w:numPr>
              <w:spacing w:line="240" w:lineRule="auto"/>
              <w:ind w:left="357" w:hanging="357"/>
              <w:rPr>
                <w:sz w:val="20"/>
                <w:szCs w:val="20"/>
                <w:lang w:eastAsia="en-GB"/>
              </w:rPr>
            </w:pPr>
            <w:r w:rsidRPr="008F66A9">
              <w:rPr>
                <w:sz w:val="20"/>
                <w:szCs w:val="20"/>
                <w:lang w:eastAsia="en-GB"/>
              </w:rPr>
              <w:t xml:space="preserve">the term need is defined in two senses: technical (marginal product) and normative (societal view). </w:t>
            </w:r>
          </w:p>
          <w:p w:rsidR="00F17F66" w:rsidRPr="008F66A9" w:rsidRDefault="00F17F66" w:rsidP="00CA11CB">
            <w:pPr>
              <w:spacing w:line="240" w:lineRule="auto"/>
              <w:rPr>
                <w:sz w:val="20"/>
                <w:szCs w:val="20"/>
                <w:lang w:eastAsia="en-GB"/>
              </w:rPr>
            </w:pPr>
            <w:r w:rsidRPr="008F66A9">
              <w:rPr>
                <w:sz w:val="20"/>
                <w:szCs w:val="20"/>
                <w:lang w:eastAsia="en-GB"/>
              </w:rPr>
              <w:t xml:space="preserve">C&amp;W argue the assessment of need should be a technical exercise because a normative </w:t>
            </w:r>
            <w:r>
              <w:rPr>
                <w:sz w:val="20"/>
                <w:szCs w:val="20"/>
                <w:lang w:eastAsia="en-GB"/>
              </w:rPr>
              <w:t>approach</w:t>
            </w:r>
            <w:r w:rsidRPr="008F66A9">
              <w:rPr>
                <w:sz w:val="20"/>
                <w:szCs w:val="20"/>
                <w:lang w:eastAsia="en-GB"/>
              </w:rPr>
              <w:t xml:space="preserve"> can lead to paradoxical conclusions (such as that a cost-effective treatment is not needed because society has decided this).</w:t>
            </w:r>
          </w:p>
        </w:tc>
        <w:tc>
          <w:tcPr>
            <w:tcW w:w="0" w:type="auto"/>
          </w:tcPr>
          <w:p w:rsidR="00F17F66" w:rsidRPr="008F66A9" w:rsidRDefault="00F17F66" w:rsidP="00CA11CB">
            <w:pPr>
              <w:spacing w:line="240" w:lineRule="auto"/>
              <w:rPr>
                <w:sz w:val="20"/>
                <w:szCs w:val="20"/>
                <w:lang w:eastAsia="en-GB"/>
              </w:rPr>
            </w:pPr>
            <w:r w:rsidRPr="008F66A9">
              <w:rPr>
                <w:sz w:val="20"/>
                <w:szCs w:val="20"/>
                <w:lang w:eastAsia="en-GB"/>
              </w:rPr>
              <w:t xml:space="preserve">This is about measuring need, rather than defining it. </w:t>
            </w:r>
          </w:p>
        </w:tc>
        <w:tc>
          <w:tcPr>
            <w:tcW w:w="0" w:type="auto"/>
          </w:tcPr>
          <w:p w:rsidR="00F17F66" w:rsidRPr="008F66A9" w:rsidRDefault="00F17F66" w:rsidP="00CA11CB">
            <w:pPr>
              <w:spacing w:line="240" w:lineRule="auto"/>
              <w:rPr>
                <w:sz w:val="20"/>
                <w:szCs w:val="20"/>
                <w:lang w:eastAsia="en-GB"/>
              </w:rPr>
            </w:pPr>
            <w:r w:rsidRPr="008F66A9">
              <w:rPr>
                <w:sz w:val="20"/>
                <w:szCs w:val="20"/>
                <w:lang w:eastAsia="en-GB"/>
              </w:rPr>
              <w:t xml:space="preserve">No change to our working definition of need. </w:t>
            </w:r>
          </w:p>
        </w:tc>
      </w:tr>
      <w:tr w:rsidR="00F17F66" w:rsidRPr="00897026" w:rsidTr="008E2CD4">
        <w:tc>
          <w:tcPr>
            <w:tcW w:w="0" w:type="auto"/>
          </w:tcPr>
          <w:p w:rsidR="00F17F66" w:rsidRPr="008F66A9" w:rsidRDefault="00F17F66" w:rsidP="00CA11CB">
            <w:pPr>
              <w:spacing w:line="240" w:lineRule="auto"/>
              <w:rPr>
                <w:sz w:val="20"/>
                <w:szCs w:val="20"/>
                <w:lang w:eastAsia="en-GB"/>
              </w:rPr>
            </w:pPr>
            <w:r w:rsidRPr="008F66A9">
              <w:rPr>
                <w:sz w:val="20"/>
                <w:szCs w:val="20"/>
                <w:lang w:eastAsia="en-GB"/>
              </w:rPr>
              <w:t>4. Need as expenditure required to exhaust capacity to benefit</w:t>
            </w:r>
          </w:p>
        </w:tc>
        <w:tc>
          <w:tcPr>
            <w:tcW w:w="0" w:type="auto"/>
          </w:tcPr>
          <w:p w:rsidR="00F17F66" w:rsidRPr="008F66A9" w:rsidRDefault="00F17F66" w:rsidP="00CA11CB">
            <w:pPr>
              <w:spacing w:line="240" w:lineRule="auto"/>
              <w:rPr>
                <w:sz w:val="20"/>
                <w:szCs w:val="20"/>
                <w:lang w:eastAsia="en-GB"/>
              </w:rPr>
            </w:pPr>
            <w:r w:rsidRPr="008F66A9">
              <w:rPr>
                <w:sz w:val="20"/>
                <w:szCs w:val="20"/>
                <w:lang w:eastAsia="en-GB"/>
              </w:rPr>
              <w:t xml:space="preserve">Here C&amp;W offer their own definition of need: expenditure required to </w:t>
            </w:r>
            <w:proofErr w:type="gramStart"/>
            <w:r w:rsidRPr="008F66A9">
              <w:rPr>
                <w:sz w:val="20"/>
                <w:szCs w:val="20"/>
                <w:lang w:eastAsia="en-GB"/>
              </w:rPr>
              <w:t>effect</w:t>
            </w:r>
            <w:proofErr w:type="gramEnd"/>
            <w:r w:rsidRPr="008F66A9">
              <w:rPr>
                <w:sz w:val="20"/>
                <w:szCs w:val="20"/>
                <w:lang w:eastAsia="en-GB"/>
              </w:rPr>
              <w:t xml:space="preserve"> the maximum possible health improvement (or to maintain a full health status), or, equivalently, the expenditure required to reduce the individual’s capacity to benefit to zero.</w:t>
            </w:r>
          </w:p>
        </w:tc>
        <w:tc>
          <w:tcPr>
            <w:tcW w:w="0" w:type="auto"/>
          </w:tcPr>
          <w:p w:rsidR="00F17F66" w:rsidRPr="008F66A9" w:rsidRDefault="00F17F66" w:rsidP="00CA11CB">
            <w:pPr>
              <w:spacing w:line="240" w:lineRule="auto"/>
              <w:rPr>
                <w:sz w:val="20"/>
                <w:szCs w:val="20"/>
                <w:lang w:eastAsia="en-GB"/>
              </w:rPr>
            </w:pPr>
            <w:r w:rsidRPr="008F66A9">
              <w:rPr>
                <w:sz w:val="20"/>
                <w:szCs w:val="20"/>
                <w:lang w:eastAsia="en-GB"/>
              </w:rPr>
              <w:t>None</w:t>
            </w:r>
          </w:p>
        </w:tc>
        <w:tc>
          <w:tcPr>
            <w:tcW w:w="0" w:type="auto"/>
          </w:tcPr>
          <w:p w:rsidR="00F17F66" w:rsidRPr="008F66A9" w:rsidRDefault="00F17F66" w:rsidP="00CA11CB">
            <w:pPr>
              <w:spacing w:line="240" w:lineRule="auto"/>
              <w:rPr>
                <w:sz w:val="20"/>
                <w:szCs w:val="20"/>
                <w:lang w:eastAsia="en-GB"/>
              </w:rPr>
            </w:pPr>
            <w:r w:rsidRPr="008F66A9">
              <w:rPr>
                <w:sz w:val="20"/>
                <w:szCs w:val="20"/>
                <w:lang w:eastAsia="en-GB"/>
              </w:rPr>
              <w:t>This is about measuring need, rather than defining it.</w:t>
            </w:r>
          </w:p>
        </w:tc>
        <w:tc>
          <w:tcPr>
            <w:tcW w:w="0" w:type="auto"/>
          </w:tcPr>
          <w:p w:rsidR="00F17F66" w:rsidRPr="008F66A9" w:rsidRDefault="00F17F66" w:rsidP="00CA11CB">
            <w:pPr>
              <w:spacing w:line="240" w:lineRule="auto"/>
              <w:rPr>
                <w:sz w:val="20"/>
                <w:szCs w:val="20"/>
                <w:lang w:eastAsia="en-GB"/>
              </w:rPr>
            </w:pPr>
            <w:r w:rsidRPr="008F66A9">
              <w:rPr>
                <w:sz w:val="20"/>
                <w:szCs w:val="20"/>
                <w:lang w:eastAsia="en-GB"/>
              </w:rPr>
              <w:t>No change to our working definition of need.</w:t>
            </w:r>
          </w:p>
        </w:tc>
      </w:tr>
    </w:tbl>
    <w:p w:rsidR="00F17F66" w:rsidRPr="00204402" w:rsidRDefault="00F17F66" w:rsidP="00F17F66">
      <w:pPr>
        <w:rPr>
          <w:sz w:val="22"/>
          <w:lang w:eastAsia="en-GB"/>
        </w:rPr>
      </w:pPr>
      <w:r w:rsidRPr="00204402">
        <w:rPr>
          <w:sz w:val="22"/>
          <w:lang w:eastAsia="en-GB"/>
        </w:rPr>
        <w:lastRenderedPageBreak/>
        <w:t xml:space="preserve">Source: </w:t>
      </w:r>
      <w:proofErr w:type="spellStart"/>
      <w:r w:rsidRPr="00204402">
        <w:rPr>
          <w:sz w:val="22"/>
          <w:lang w:eastAsia="en-GB"/>
        </w:rPr>
        <w:t>Culyer</w:t>
      </w:r>
      <w:proofErr w:type="spellEnd"/>
      <w:r w:rsidRPr="00204402">
        <w:rPr>
          <w:sz w:val="22"/>
          <w:lang w:eastAsia="en-GB"/>
        </w:rPr>
        <w:t xml:space="preserve"> and Wagstaff 1993 (C&amp;W) </w:t>
      </w:r>
      <w:r>
        <w:rPr>
          <w:sz w:val="22"/>
          <w:lang w:eastAsia="en-GB"/>
        </w:rPr>
        <w:fldChar w:fldCharType="begin"/>
      </w:r>
      <w:r>
        <w:rPr>
          <w:sz w:val="22"/>
          <w:lang w:eastAsia="en-GB"/>
        </w:rPr>
        <w:instrText xml:space="preserve"> ADDIN EN.CITE &lt;EndNote&gt;&lt;Cite&gt;&lt;Author&gt;Culyer&lt;/Author&gt;&lt;Year&gt;1993&lt;/Year&gt;&lt;RecNum&gt;3&lt;/RecNum&gt;&lt;DisplayText&gt;(Culyer and Wagstaff, 1993)&lt;/DisplayText&gt;&lt;record&gt;&lt;rec-number&gt;3&lt;/rec-number&gt;&lt;foreign-keys&gt;&lt;key app="EN" db-id="vfweffweo009d7esve6xxsrj2wst2traf9rp" timestamp="1554823346"&gt;3&lt;/key&gt;&lt;/foreign-keys&gt;&lt;ref-type name="Journal Article"&gt;17&lt;/ref-type&gt;&lt;contributors&gt;&lt;authors&gt;&lt;author&gt;Culyer, Anthony J&lt;/author&gt;&lt;author&gt;Wagstaff, Adam&lt;/author&gt;&lt;/authors&gt;&lt;/contributors&gt;&lt;titles&gt;&lt;title&gt;Equity and equality in health and health care&lt;/title&gt;&lt;secondary-title&gt;Journal of Health Economics&lt;/secondary-title&gt;&lt;/titles&gt;&lt;pages&gt;431-457&lt;/pages&gt;&lt;volume&gt;12&lt;/volume&gt;&lt;number&gt;4&lt;/number&gt;&lt;dates&gt;&lt;year&gt;1993&lt;/year&gt;&lt;/dates&gt;&lt;isbn&gt;0167-6296&lt;/isbn&gt;&lt;urls&gt;&lt;/urls&gt;&lt;/record&gt;&lt;/Cite&gt;&lt;/EndNote&gt;</w:instrText>
      </w:r>
      <w:r>
        <w:rPr>
          <w:sz w:val="22"/>
          <w:lang w:eastAsia="en-GB"/>
        </w:rPr>
        <w:fldChar w:fldCharType="separate"/>
      </w:r>
      <w:r>
        <w:rPr>
          <w:noProof/>
          <w:sz w:val="22"/>
          <w:lang w:eastAsia="en-GB"/>
        </w:rPr>
        <w:t>(Culyer and Wagstaff, 1993)</w:t>
      </w:r>
      <w:r>
        <w:rPr>
          <w:sz w:val="22"/>
          <w:lang w:eastAsia="en-GB"/>
        </w:rPr>
        <w:fldChar w:fldCharType="end"/>
      </w:r>
      <w:r w:rsidRPr="00204402">
        <w:rPr>
          <w:sz w:val="22"/>
          <w:lang w:eastAsia="en-GB"/>
        </w:rPr>
        <w:t xml:space="preserve">.  *Definitions 1-3 are from a literature review by C&amp;W.  Definition 4 is a new definition by C&amp;W. </w:t>
      </w:r>
    </w:p>
    <w:p w:rsidR="008E2CD4" w:rsidRDefault="008E2CD4">
      <w:pPr>
        <w:spacing w:line="259" w:lineRule="auto"/>
        <w:rPr>
          <w:iCs/>
          <w:color w:val="44546A" w:themeColor="text2"/>
          <w:sz w:val="20"/>
          <w:szCs w:val="18"/>
        </w:rPr>
      </w:pPr>
      <w:bookmarkStart w:id="4" w:name="_Ref49576925"/>
      <w:bookmarkStart w:id="5" w:name="_Toc43301688"/>
      <w:r>
        <w:br w:type="page"/>
      </w:r>
    </w:p>
    <w:p w:rsidR="00F17F66" w:rsidRDefault="00F17F66" w:rsidP="00F17F66">
      <w:pPr>
        <w:pStyle w:val="Caption"/>
      </w:pPr>
      <w:r>
        <w:lastRenderedPageBreak/>
        <w:t xml:space="preserve">Table A </w:t>
      </w:r>
      <w:fldSimple w:instr=" SEQ Table_A \* ARABIC ">
        <w:r>
          <w:rPr>
            <w:noProof/>
          </w:rPr>
          <w:t>2</w:t>
        </w:r>
      </w:fldSimple>
      <w:bookmarkEnd w:id="4"/>
      <w:r>
        <w:t>: Five definitions of access and their descriptions</w:t>
      </w:r>
      <w:bookmarkEnd w:id="5"/>
    </w:p>
    <w:tbl>
      <w:tblPr>
        <w:tblW w:w="0" w:type="auto"/>
        <w:tblBorders>
          <w:top w:val="single" w:sz="4" w:space="0" w:color="auto"/>
          <w:bottom w:val="single" w:sz="4" w:space="0" w:color="auto"/>
        </w:tblBorders>
        <w:tblLook w:val="04A0" w:firstRow="1" w:lastRow="0" w:firstColumn="1" w:lastColumn="0" w:noHBand="0" w:noVBand="1"/>
        <w:tblCaption w:val="Five definitions of access and their descriptions"/>
      </w:tblPr>
      <w:tblGrid>
        <w:gridCol w:w="1579"/>
        <w:gridCol w:w="6511"/>
        <w:gridCol w:w="3656"/>
        <w:gridCol w:w="2212"/>
      </w:tblGrid>
      <w:tr w:rsidR="00F17F66" w:rsidRPr="00AD02D9" w:rsidTr="008E2CD4">
        <w:trPr>
          <w:tblHeader/>
        </w:trPr>
        <w:tc>
          <w:tcPr>
            <w:tcW w:w="0" w:type="auto"/>
            <w:tcBorders>
              <w:bottom w:val="single" w:sz="4" w:space="0" w:color="auto"/>
            </w:tcBorders>
            <w:shd w:val="clear" w:color="auto" w:fill="auto"/>
            <w:noWrap/>
            <w:hideMark/>
          </w:tcPr>
          <w:p w:rsidR="00F17F66" w:rsidRPr="00BF08D4" w:rsidRDefault="00F17F66" w:rsidP="00CA11CB">
            <w:pPr>
              <w:spacing w:after="120" w:line="240" w:lineRule="auto"/>
              <w:rPr>
                <w:rFonts w:eastAsia="Times New Roman" w:cs="Times New Roman"/>
                <w:b/>
                <w:bCs/>
                <w:color w:val="000000"/>
                <w:sz w:val="20"/>
                <w:szCs w:val="20"/>
                <w:lang w:eastAsia="en-GB"/>
              </w:rPr>
            </w:pPr>
            <w:r w:rsidRPr="00BF08D4">
              <w:rPr>
                <w:rFonts w:eastAsia="Times New Roman" w:cs="Times New Roman"/>
                <w:b/>
                <w:bCs/>
                <w:color w:val="000000"/>
                <w:sz w:val="20"/>
                <w:szCs w:val="20"/>
                <w:lang w:eastAsia="en-GB"/>
              </w:rPr>
              <w:t>Definitions</w:t>
            </w:r>
          </w:p>
        </w:tc>
        <w:tc>
          <w:tcPr>
            <w:tcW w:w="6511" w:type="dxa"/>
            <w:tcBorders>
              <w:bottom w:val="single" w:sz="4" w:space="0" w:color="auto"/>
            </w:tcBorders>
            <w:shd w:val="clear" w:color="auto" w:fill="auto"/>
            <w:noWrap/>
            <w:hideMark/>
          </w:tcPr>
          <w:p w:rsidR="00F17F66" w:rsidRPr="00BF08D4" w:rsidRDefault="00F17F66" w:rsidP="00CA11CB">
            <w:pPr>
              <w:spacing w:after="120" w:line="240" w:lineRule="auto"/>
              <w:rPr>
                <w:rFonts w:eastAsia="Times New Roman" w:cs="Times New Roman"/>
                <w:b/>
                <w:bCs/>
                <w:color w:val="000000"/>
                <w:sz w:val="20"/>
                <w:szCs w:val="20"/>
                <w:lang w:eastAsia="en-GB"/>
              </w:rPr>
            </w:pPr>
            <w:r w:rsidRPr="00BF08D4">
              <w:rPr>
                <w:rFonts w:eastAsia="Times New Roman" w:cs="Times New Roman"/>
                <w:b/>
                <w:bCs/>
                <w:color w:val="000000"/>
                <w:sz w:val="20"/>
                <w:szCs w:val="20"/>
                <w:lang w:eastAsia="en-GB"/>
              </w:rPr>
              <w:t>Description</w:t>
            </w:r>
          </w:p>
        </w:tc>
        <w:tc>
          <w:tcPr>
            <w:tcW w:w="3656" w:type="dxa"/>
            <w:tcBorders>
              <w:bottom w:val="single" w:sz="4" w:space="0" w:color="auto"/>
            </w:tcBorders>
            <w:shd w:val="clear" w:color="auto" w:fill="auto"/>
            <w:noWrap/>
            <w:hideMark/>
          </w:tcPr>
          <w:p w:rsidR="00F17F66" w:rsidRPr="00BF08D4" w:rsidRDefault="00F17F66" w:rsidP="00CA11CB">
            <w:pPr>
              <w:spacing w:after="120" w:line="240" w:lineRule="auto"/>
              <w:rPr>
                <w:rFonts w:eastAsia="Times New Roman" w:cs="Times New Roman"/>
                <w:b/>
                <w:bCs/>
                <w:color w:val="000000"/>
                <w:sz w:val="20"/>
                <w:szCs w:val="20"/>
                <w:lang w:eastAsia="en-GB"/>
              </w:rPr>
            </w:pPr>
            <w:r w:rsidRPr="00BF08D4">
              <w:rPr>
                <w:rFonts w:eastAsia="Times New Roman" w:cs="Times New Roman"/>
                <w:b/>
                <w:bCs/>
                <w:color w:val="000000"/>
                <w:sz w:val="20"/>
                <w:szCs w:val="20"/>
                <w:lang w:eastAsia="en-GB"/>
              </w:rPr>
              <w:t>Observable measures of Access</w:t>
            </w:r>
          </w:p>
        </w:tc>
        <w:tc>
          <w:tcPr>
            <w:tcW w:w="2212" w:type="dxa"/>
            <w:tcBorders>
              <w:bottom w:val="single" w:sz="4" w:space="0" w:color="auto"/>
            </w:tcBorders>
          </w:tcPr>
          <w:p w:rsidR="00F17F66" w:rsidRPr="00BF08D4" w:rsidRDefault="00F17F66" w:rsidP="00CA11CB">
            <w:pPr>
              <w:spacing w:after="120" w:line="240" w:lineRule="auto"/>
              <w:rPr>
                <w:rFonts w:eastAsia="Times New Roman" w:cs="Times New Roman"/>
                <w:b/>
                <w:bCs/>
                <w:color w:val="000000"/>
                <w:sz w:val="20"/>
                <w:szCs w:val="20"/>
                <w:lang w:eastAsia="en-GB"/>
              </w:rPr>
            </w:pPr>
            <w:r w:rsidRPr="00BF08D4">
              <w:rPr>
                <w:rFonts w:eastAsia="Times New Roman" w:cs="Times New Roman"/>
                <w:b/>
                <w:bCs/>
                <w:color w:val="000000"/>
                <w:sz w:val="20"/>
                <w:szCs w:val="20"/>
                <w:lang w:eastAsia="en-GB"/>
              </w:rPr>
              <w:t>Correspondence to Venn diagram</w:t>
            </w:r>
            <w:r w:rsidR="00F41643">
              <w:rPr>
                <w:rFonts w:eastAsia="Times New Roman" w:cs="Times New Roman"/>
                <w:b/>
                <w:bCs/>
                <w:color w:val="000000"/>
                <w:sz w:val="20"/>
                <w:szCs w:val="20"/>
                <w:lang w:eastAsia="en-GB"/>
              </w:rPr>
              <w:t xml:space="preserve"> (Fig.1)</w:t>
            </w:r>
          </w:p>
        </w:tc>
      </w:tr>
      <w:tr w:rsidR="00F17F66" w:rsidRPr="00AD02D9" w:rsidTr="008E2CD4">
        <w:tc>
          <w:tcPr>
            <w:tcW w:w="0" w:type="auto"/>
            <w:tcBorders>
              <w:top w:val="single" w:sz="4" w:space="0" w:color="auto"/>
              <w:bottom w:val="nil"/>
            </w:tcBorders>
            <w:shd w:val="clear" w:color="auto" w:fill="auto"/>
            <w:vAlign w:val="center"/>
            <w:hideMark/>
          </w:tcPr>
          <w:p w:rsidR="00F17F66" w:rsidRPr="00BF08D4" w:rsidRDefault="00F17F66" w:rsidP="00CA11CB">
            <w:pPr>
              <w:spacing w:after="120" w:line="240" w:lineRule="auto"/>
              <w:rPr>
                <w:rFonts w:eastAsia="Times New Roman" w:cs="Times New Roman"/>
                <w:b/>
                <w:bCs/>
                <w:color w:val="000000"/>
                <w:sz w:val="20"/>
                <w:szCs w:val="20"/>
                <w:lang w:eastAsia="en-GB"/>
              </w:rPr>
            </w:pPr>
            <w:r>
              <w:rPr>
                <w:rFonts w:cs="Times New Roman"/>
                <w:color w:val="000000"/>
                <w:sz w:val="20"/>
                <w:szCs w:val="20"/>
              </w:rPr>
              <w:fldChar w:fldCharType="begin"/>
            </w:r>
            <w:r>
              <w:rPr>
                <w:rFonts w:cs="Times New Roman"/>
                <w:color w:val="000000"/>
                <w:sz w:val="20"/>
                <w:szCs w:val="20"/>
              </w:rPr>
              <w:instrText xml:space="preserve"> ADDIN EN.CITE &lt;EndNote&gt;&lt;Cite AuthorYear="1"&gt;&lt;Author&gt;Aday&lt;/Author&gt;&lt;Year&gt;1974&lt;/Year&gt;&lt;RecNum&gt;27&lt;/RecNum&gt;&lt;DisplayText&gt;Aday and Andersen (1974)&lt;/DisplayText&gt;&lt;record&gt;&lt;rec-number&gt;27&lt;/rec-number&gt;&lt;foreign-keys&gt;&lt;key app="EN" db-id="vfweffweo009d7esve6xxsrj2wst2traf9rp" timestamp="1562063123"&gt;27&lt;/key&gt;&lt;/foreign-keys&gt;&lt;ref-type name="Journal Article"&gt;17&lt;/ref-type&gt;&lt;contributors&gt;&lt;authors&gt;&lt;author&gt;Aday, Lu Ann&lt;/author&gt;&lt;author&gt;Andersen, Ronald &lt;/author&gt;&lt;/authors&gt;&lt;/contributors&gt;&lt;titles&gt;&lt;title&gt;A framework for the study of access to medical care&lt;/title&gt;&lt;secondary-title&gt;Health Serv Res.&lt;/secondary-title&gt;&lt;/titles&gt;&lt;pages&gt;208-220&lt;/pages&gt;&lt;volume&gt;9&lt;/volume&gt;&lt;number&gt;3&lt;/number&gt;&lt;dates&gt;&lt;year&gt;1974&lt;/year&gt;&lt;/dates&gt;&lt;urls&gt;&lt;/urls&gt;&lt;/record&gt;&lt;/Cite&gt;&lt;/EndNote&gt;</w:instrText>
            </w:r>
            <w:r>
              <w:rPr>
                <w:rFonts w:cs="Times New Roman"/>
                <w:color w:val="000000"/>
                <w:sz w:val="20"/>
                <w:szCs w:val="20"/>
              </w:rPr>
              <w:fldChar w:fldCharType="separate"/>
            </w:r>
            <w:r>
              <w:rPr>
                <w:rFonts w:cs="Times New Roman"/>
                <w:noProof/>
                <w:color w:val="000000"/>
                <w:sz w:val="20"/>
                <w:szCs w:val="20"/>
              </w:rPr>
              <w:t>Aday and Andersen (1974)</w:t>
            </w:r>
            <w:r>
              <w:rPr>
                <w:rFonts w:cs="Times New Roman"/>
                <w:color w:val="000000"/>
                <w:sz w:val="20"/>
                <w:szCs w:val="20"/>
              </w:rPr>
              <w:fldChar w:fldCharType="end"/>
            </w:r>
          </w:p>
        </w:tc>
        <w:tc>
          <w:tcPr>
            <w:tcW w:w="6511" w:type="dxa"/>
            <w:tcBorders>
              <w:top w:val="single" w:sz="4" w:space="0" w:color="auto"/>
              <w:bottom w:val="nil"/>
            </w:tcBorders>
            <w:shd w:val="clear" w:color="auto" w:fill="auto"/>
            <w:hideMark/>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 xml:space="preserve">One of the first studies to acknowledge that access is determined by the interrelationship between population characteristics and the healthcare system. The authors distinguished between potential access and realised access. </w:t>
            </w:r>
          </w:p>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b/>
                <w:color w:val="000000"/>
                <w:sz w:val="20"/>
                <w:szCs w:val="20"/>
                <w:lang w:eastAsia="en-GB"/>
              </w:rPr>
              <w:t>Potential access</w:t>
            </w:r>
            <w:r w:rsidRPr="00BF08D4">
              <w:rPr>
                <w:rFonts w:eastAsia="Times New Roman" w:cs="Times New Roman"/>
                <w:color w:val="000000"/>
                <w:sz w:val="20"/>
                <w:szCs w:val="20"/>
                <w:lang w:eastAsia="en-GB"/>
              </w:rPr>
              <w:t xml:space="preserve"> is determined by characteristics of health delivery system and characteristics of population at risk. </w:t>
            </w:r>
          </w:p>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b/>
                <w:color w:val="000000"/>
                <w:sz w:val="20"/>
                <w:szCs w:val="20"/>
                <w:lang w:eastAsia="en-GB"/>
              </w:rPr>
              <w:t>Realised access</w:t>
            </w:r>
            <w:r w:rsidRPr="00BF08D4">
              <w:rPr>
                <w:rFonts w:eastAsia="Times New Roman" w:cs="Times New Roman"/>
                <w:color w:val="000000"/>
                <w:sz w:val="20"/>
                <w:szCs w:val="20"/>
                <w:lang w:eastAsia="en-GB"/>
              </w:rPr>
              <w:t xml:space="preserve"> is determined by utilization of the health services and consumer satisfaction.</w:t>
            </w:r>
          </w:p>
        </w:tc>
        <w:tc>
          <w:tcPr>
            <w:tcW w:w="3656" w:type="dxa"/>
            <w:tcBorders>
              <w:top w:val="single" w:sz="4" w:space="0" w:color="auto"/>
              <w:bottom w:val="nil"/>
            </w:tcBorders>
            <w:shd w:val="clear" w:color="auto" w:fill="auto"/>
            <w:noWrap/>
            <w:hideMark/>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 xml:space="preserve">Potential access </w:t>
            </w:r>
          </w:p>
          <w:p w:rsidR="00F17F66" w:rsidRPr="00BF08D4" w:rsidRDefault="00F17F66" w:rsidP="00F17F66">
            <w:pPr>
              <w:pStyle w:val="ListParagraph"/>
              <w:numPr>
                <w:ilvl w:val="0"/>
                <w:numId w:val="3"/>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Service availability</w:t>
            </w:r>
          </w:p>
          <w:p w:rsidR="00F17F66" w:rsidRPr="00BF08D4" w:rsidRDefault="00F17F66" w:rsidP="00F17F66">
            <w:pPr>
              <w:pStyle w:val="ListParagraph"/>
              <w:numPr>
                <w:ilvl w:val="0"/>
                <w:numId w:val="3"/>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Population characteristics</w:t>
            </w:r>
          </w:p>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Realised access</w:t>
            </w:r>
          </w:p>
          <w:p w:rsidR="00F17F66" w:rsidRPr="00BF08D4" w:rsidRDefault="00F17F66" w:rsidP="00F17F66">
            <w:pPr>
              <w:pStyle w:val="ListParagraph"/>
              <w:numPr>
                <w:ilvl w:val="0"/>
                <w:numId w:val="3"/>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measures of utilization</w:t>
            </w:r>
          </w:p>
          <w:p w:rsidR="00F17F66" w:rsidRPr="00BF08D4" w:rsidRDefault="00F17F66" w:rsidP="00F17F66">
            <w:pPr>
              <w:pStyle w:val="ListParagraph"/>
              <w:numPr>
                <w:ilvl w:val="0"/>
                <w:numId w:val="3"/>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consumer satisfaction.</w:t>
            </w:r>
          </w:p>
        </w:tc>
        <w:tc>
          <w:tcPr>
            <w:tcW w:w="2212" w:type="dxa"/>
            <w:tcBorders>
              <w:top w:val="single" w:sz="4" w:space="0" w:color="auto"/>
              <w:bottom w:val="nil"/>
            </w:tcBorders>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Potential Access in areas:1, 2, 7</w:t>
            </w:r>
          </w:p>
          <w:p w:rsidR="00F17F66" w:rsidRPr="00BF08D4" w:rsidRDefault="00F17F66" w:rsidP="00CA11CB">
            <w:pPr>
              <w:spacing w:after="120" w:line="240" w:lineRule="auto"/>
              <w:rPr>
                <w:rFonts w:eastAsia="Times New Roman" w:cs="Times New Roman"/>
                <w:color w:val="000000"/>
                <w:sz w:val="20"/>
                <w:szCs w:val="20"/>
                <w:lang w:eastAsia="en-GB"/>
              </w:rPr>
            </w:pPr>
          </w:p>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Realised Access in areas: 4, 5 and 6</w:t>
            </w:r>
          </w:p>
        </w:tc>
      </w:tr>
      <w:tr w:rsidR="00F17F66" w:rsidRPr="00AD02D9" w:rsidTr="008E2CD4">
        <w:tc>
          <w:tcPr>
            <w:tcW w:w="0" w:type="auto"/>
            <w:tcBorders>
              <w:top w:val="nil"/>
            </w:tcBorders>
            <w:shd w:val="clear" w:color="auto" w:fill="auto"/>
            <w:vAlign w:val="center"/>
            <w:hideMark/>
          </w:tcPr>
          <w:p w:rsidR="00F17F66" w:rsidRPr="00BF08D4" w:rsidRDefault="00F17F66" w:rsidP="00CA11CB">
            <w:pPr>
              <w:spacing w:after="120" w:line="240" w:lineRule="auto"/>
              <w:rPr>
                <w:rFonts w:eastAsia="Times New Roman" w:cs="Times New Roman"/>
                <w:b/>
                <w:bCs/>
                <w:color w:val="000000"/>
                <w:sz w:val="20"/>
                <w:szCs w:val="20"/>
                <w:lang w:eastAsia="en-GB"/>
              </w:rPr>
            </w:pPr>
            <w:r>
              <w:rPr>
                <w:rFonts w:cs="Times New Roman"/>
                <w:color w:val="000000"/>
                <w:sz w:val="20"/>
                <w:szCs w:val="20"/>
              </w:rPr>
              <w:fldChar w:fldCharType="begin"/>
            </w:r>
            <w:r>
              <w:rPr>
                <w:rFonts w:cs="Times New Roman"/>
                <w:color w:val="000000"/>
                <w:sz w:val="20"/>
                <w:szCs w:val="20"/>
              </w:rPr>
              <w:instrText xml:space="preserve"> ADDIN EN.CITE &lt;EndNote&gt;&lt;Cite AuthorYear="1"&gt;&lt;Author&gt;Penchansky&lt;/Author&gt;&lt;Year&gt;1981&lt;/Year&gt;&lt;RecNum&gt;28&lt;/RecNum&gt;&lt;DisplayText&gt;Penchansky and Thomas (1981)&lt;/DisplayText&gt;&lt;record&gt;&lt;rec-number&gt;28&lt;/rec-number&gt;&lt;foreign-keys&gt;&lt;key app="EN" db-id="vfweffweo009d7esve6xxsrj2wst2traf9rp" timestamp="1562260674"&gt;28&lt;/key&gt;&lt;/foreign-keys&gt;&lt;ref-type name="Journal Article"&gt;17&lt;/ref-type&gt;&lt;contributors&gt;&lt;authors&gt;&lt;author&gt;Penchansky, Roy&lt;/author&gt;&lt;author&gt;Thomas, J William&lt;/author&gt;&lt;/authors&gt;&lt;/contributors&gt;&lt;titles&gt;&lt;title&gt;The concept of access: definition and relationship to consumer satisfaction&lt;/title&gt;&lt;secondary-title&gt;Medical Care&lt;/secondary-title&gt;&lt;/titles&gt;&lt;pages&gt;127-140&lt;/pages&gt;&lt;volume&gt;19&lt;/volume&gt;&lt;number&gt;2&lt;/number&gt;&lt;dates&gt;&lt;year&gt;1981&lt;/year&gt;&lt;/dates&gt;&lt;isbn&gt;0025-7079&lt;/isbn&gt;&lt;urls&gt;&lt;/urls&gt;&lt;/record&gt;&lt;/Cite&gt;&lt;/EndNote&gt;</w:instrText>
            </w:r>
            <w:r>
              <w:rPr>
                <w:rFonts w:cs="Times New Roman"/>
                <w:color w:val="000000"/>
                <w:sz w:val="20"/>
                <w:szCs w:val="20"/>
              </w:rPr>
              <w:fldChar w:fldCharType="separate"/>
            </w:r>
            <w:r>
              <w:rPr>
                <w:rFonts w:cs="Times New Roman"/>
                <w:noProof/>
                <w:color w:val="000000"/>
                <w:sz w:val="20"/>
                <w:szCs w:val="20"/>
              </w:rPr>
              <w:t>Penchansky and Thomas (1981)</w:t>
            </w:r>
            <w:r>
              <w:rPr>
                <w:rFonts w:cs="Times New Roman"/>
                <w:color w:val="000000"/>
                <w:sz w:val="20"/>
                <w:szCs w:val="20"/>
              </w:rPr>
              <w:fldChar w:fldCharType="end"/>
            </w:r>
          </w:p>
        </w:tc>
        <w:tc>
          <w:tcPr>
            <w:tcW w:w="6511" w:type="dxa"/>
            <w:tcBorders>
              <w:top w:val="nil"/>
            </w:tcBorders>
            <w:shd w:val="clear" w:color="auto" w:fill="auto"/>
            <w:hideMark/>
          </w:tcPr>
          <w:p w:rsidR="00F17F66" w:rsidRPr="00BF08D4" w:rsidRDefault="00F17F66" w:rsidP="00CA11CB">
            <w:pPr>
              <w:spacing w:after="120" w:line="240" w:lineRule="auto"/>
              <w:rPr>
                <w:rFonts w:eastAsia="Times New Roman" w:cs="Times New Roman"/>
                <w:bCs/>
                <w:color w:val="000000"/>
                <w:sz w:val="20"/>
                <w:szCs w:val="20"/>
                <w:lang w:eastAsia="en-GB"/>
              </w:rPr>
            </w:pPr>
            <w:r w:rsidRPr="00BF08D4">
              <w:rPr>
                <w:rFonts w:eastAsia="Times New Roman" w:cs="Times New Roman"/>
                <w:color w:val="000000"/>
                <w:sz w:val="20"/>
                <w:szCs w:val="20"/>
                <w:lang w:eastAsia="en-GB"/>
              </w:rPr>
              <w:t xml:space="preserve">Access defined as the degree of fit between the </w:t>
            </w:r>
            <w:r w:rsidRPr="00BF08D4">
              <w:rPr>
                <w:rFonts w:eastAsia="Times New Roman" w:cs="Times New Roman"/>
                <w:color w:val="000000"/>
                <w:sz w:val="20"/>
                <w:szCs w:val="20"/>
                <w:u w:val="single"/>
                <w:lang w:eastAsia="en-GB"/>
              </w:rPr>
              <w:t>patients</w:t>
            </w:r>
            <w:r w:rsidRPr="00BF08D4">
              <w:rPr>
                <w:rFonts w:eastAsia="Times New Roman" w:cs="Times New Roman"/>
                <w:color w:val="000000"/>
                <w:sz w:val="20"/>
                <w:szCs w:val="20"/>
                <w:lang w:eastAsia="en-GB"/>
              </w:rPr>
              <w:t xml:space="preserve"> and the </w:t>
            </w:r>
            <w:r w:rsidRPr="00BF08D4">
              <w:rPr>
                <w:rFonts w:eastAsia="Times New Roman" w:cs="Times New Roman"/>
                <w:color w:val="000000"/>
                <w:sz w:val="20"/>
                <w:szCs w:val="20"/>
                <w:u w:val="single"/>
                <w:lang w:eastAsia="en-GB"/>
              </w:rPr>
              <w:t>healthcare system</w:t>
            </w:r>
            <w:r w:rsidRPr="00BF08D4">
              <w:rPr>
                <w:rFonts w:eastAsia="Times New Roman" w:cs="Times New Roman"/>
                <w:color w:val="000000"/>
                <w:sz w:val="20"/>
                <w:szCs w:val="20"/>
                <w:lang w:eastAsia="en-GB"/>
              </w:rPr>
              <w:t xml:space="preserve">. Access </w:t>
            </w:r>
            <w:r w:rsidRPr="00BF08D4">
              <w:rPr>
                <w:rFonts w:eastAsia="Times New Roman" w:cs="Times New Roman"/>
                <w:bCs/>
                <w:color w:val="000000"/>
                <w:sz w:val="20"/>
                <w:szCs w:val="20"/>
                <w:lang w:eastAsia="en-GB"/>
              </w:rPr>
              <w:t xml:space="preserve">is summarised across five distinct dimensions: </w:t>
            </w:r>
          </w:p>
          <w:p w:rsidR="00F17F66" w:rsidRPr="00BF08D4" w:rsidRDefault="00F17F66" w:rsidP="00F17F66">
            <w:pPr>
              <w:pStyle w:val="ListParagraph"/>
              <w:numPr>
                <w:ilvl w:val="0"/>
                <w:numId w:val="2"/>
              </w:numPr>
              <w:spacing w:after="120" w:line="240" w:lineRule="auto"/>
              <w:ind w:left="714" w:hanging="357"/>
              <w:rPr>
                <w:rFonts w:eastAsia="Times New Roman" w:cs="Times New Roman"/>
                <w:bCs/>
                <w:color w:val="000000"/>
                <w:sz w:val="20"/>
                <w:szCs w:val="20"/>
                <w:lang w:eastAsia="en-GB"/>
              </w:rPr>
            </w:pPr>
            <w:r w:rsidRPr="00BF08D4">
              <w:rPr>
                <w:rFonts w:eastAsia="Times New Roman" w:cs="Times New Roman"/>
                <w:bCs/>
                <w:color w:val="000000"/>
                <w:sz w:val="20"/>
                <w:szCs w:val="20"/>
                <w:lang w:eastAsia="en-GB"/>
              </w:rPr>
              <w:t xml:space="preserve">Availability: </w:t>
            </w:r>
            <w:r w:rsidRPr="00BF08D4">
              <w:rPr>
                <w:rFonts w:eastAsia="Times New Roman" w:cs="Times New Roman"/>
                <w:color w:val="000000"/>
                <w:sz w:val="20"/>
                <w:szCs w:val="20"/>
                <w:lang w:eastAsia="en-GB"/>
              </w:rPr>
              <w:t>relationship between volume and type of services and need.</w:t>
            </w:r>
          </w:p>
          <w:p w:rsidR="00F17F66" w:rsidRPr="00BF08D4" w:rsidRDefault="00F17F66" w:rsidP="00F17F66">
            <w:pPr>
              <w:pStyle w:val="ListParagraph"/>
              <w:numPr>
                <w:ilvl w:val="0"/>
                <w:numId w:val="2"/>
              </w:numPr>
              <w:spacing w:after="120" w:line="240" w:lineRule="auto"/>
              <w:rPr>
                <w:rFonts w:eastAsia="Times New Roman" w:cs="Times New Roman"/>
                <w:bCs/>
                <w:color w:val="000000"/>
                <w:sz w:val="20"/>
                <w:szCs w:val="20"/>
                <w:lang w:eastAsia="en-GB"/>
              </w:rPr>
            </w:pPr>
            <w:r w:rsidRPr="00BF08D4">
              <w:rPr>
                <w:rFonts w:eastAsia="Times New Roman" w:cs="Times New Roman"/>
                <w:bCs/>
                <w:color w:val="000000"/>
                <w:sz w:val="20"/>
                <w:szCs w:val="20"/>
                <w:lang w:eastAsia="en-GB"/>
              </w:rPr>
              <w:t xml:space="preserve">Accessibility: relationship between location of supply and location of service users.  Includes travel time and cost. </w:t>
            </w:r>
          </w:p>
          <w:p w:rsidR="00F17F66" w:rsidRPr="00BF08D4" w:rsidRDefault="00F17F66" w:rsidP="00F17F66">
            <w:pPr>
              <w:pStyle w:val="ListParagraph"/>
              <w:numPr>
                <w:ilvl w:val="0"/>
                <w:numId w:val="2"/>
              </w:numPr>
              <w:spacing w:after="120" w:line="240" w:lineRule="auto"/>
              <w:rPr>
                <w:rFonts w:eastAsia="Times New Roman" w:cs="Times New Roman"/>
                <w:bCs/>
                <w:color w:val="000000"/>
                <w:sz w:val="20"/>
                <w:szCs w:val="20"/>
                <w:lang w:eastAsia="en-GB"/>
              </w:rPr>
            </w:pPr>
            <w:r w:rsidRPr="00BF08D4">
              <w:rPr>
                <w:rFonts w:eastAsia="Times New Roman" w:cs="Times New Roman"/>
                <w:bCs/>
                <w:color w:val="000000"/>
                <w:sz w:val="20"/>
                <w:szCs w:val="20"/>
                <w:lang w:eastAsia="en-GB"/>
              </w:rPr>
              <w:t>Accommodation: relationship between how services are organised and service users’ ability to ‘accommodate’ them.</w:t>
            </w:r>
          </w:p>
          <w:p w:rsidR="00F17F66" w:rsidRPr="00BF08D4" w:rsidRDefault="00F17F66" w:rsidP="00F17F66">
            <w:pPr>
              <w:pStyle w:val="ListParagraph"/>
              <w:numPr>
                <w:ilvl w:val="0"/>
                <w:numId w:val="2"/>
              </w:numPr>
              <w:spacing w:after="120" w:line="240" w:lineRule="auto"/>
              <w:rPr>
                <w:rFonts w:eastAsia="Times New Roman" w:cs="Times New Roman"/>
                <w:bCs/>
                <w:color w:val="000000"/>
                <w:sz w:val="20"/>
                <w:szCs w:val="20"/>
                <w:lang w:eastAsia="en-GB"/>
              </w:rPr>
            </w:pPr>
            <w:r w:rsidRPr="00BF08D4">
              <w:rPr>
                <w:rFonts w:eastAsia="Times New Roman" w:cs="Times New Roman"/>
                <w:bCs/>
                <w:color w:val="000000"/>
                <w:sz w:val="20"/>
                <w:szCs w:val="20"/>
                <w:lang w:eastAsia="en-GB"/>
              </w:rPr>
              <w:t>Affordability: relationship between prices and ability to pay.</w:t>
            </w:r>
          </w:p>
          <w:p w:rsidR="00F17F66" w:rsidRPr="00BF08D4" w:rsidRDefault="00F17F66" w:rsidP="00F17F66">
            <w:pPr>
              <w:pStyle w:val="ListParagraph"/>
              <w:numPr>
                <w:ilvl w:val="0"/>
                <w:numId w:val="2"/>
              </w:numPr>
              <w:spacing w:after="120" w:line="240" w:lineRule="auto"/>
              <w:rPr>
                <w:rFonts w:eastAsia="Times New Roman" w:cs="Times New Roman"/>
                <w:color w:val="000000"/>
                <w:sz w:val="20"/>
                <w:szCs w:val="20"/>
                <w:lang w:eastAsia="en-GB"/>
              </w:rPr>
            </w:pPr>
            <w:r w:rsidRPr="00BF08D4">
              <w:rPr>
                <w:rFonts w:eastAsia="Times New Roman" w:cs="Times New Roman"/>
                <w:bCs/>
                <w:color w:val="000000"/>
                <w:sz w:val="20"/>
                <w:szCs w:val="20"/>
                <w:lang w:eastAsia="en-GB"/>
              </w:rPr>
              <w:t>Acceptability: relationship between service user attitudes to provider characteristics and vice versa.</w:t>
            </w:r>
          </w:p>
        </w:tc>
        <w:tc>
          <w:tcPr>
            <w:tcW w:w="3656" w:type="dxa"/>
            <w:tcBorders>
              <w:top w:val="nil"/>
            </w:tcBorders>
            <w:shd w:val="clear" w:color="auto" w:fill="auto"/>
            <w:noWrap/>
            <w:hideMark/>
          </w:tcPr>
          <w:p w:rsidR="00F17F66" w:rsidRPr="00BF08D4" w:rsidRDefault="00F17F66" w:rsidP="00CA11CB">
            <w:pPr>
              <w:spacing w:after="120" w:line="240" w:lineRule="auto"/>
              <w:rPr>
                <w:rFonts w:eastAsia="Times New Roman" w:cs="Times New Roman"/>
                <w:bCs/>
                <w:color w:val="000000"/>
                <w:sz w:val="20"/>
                <w:szCs w:val="20"/>
                <w:lang w:eastAsia="en-GB"/>
              </w:rPr>
            </w:pPr>
            <w:proofErr w:type="spellStart"/>
            <w:r w:rsidRPr="00BF08D4">
              <w:rPr>
                <w:rFonts w:eastAsia="Times New Roman" w:cs="Times New Roman"/>
                <w:bCs/>
                <w:color w:val="000000"/>
                <w:sz w:val="20"/>
                <w:szCs w:val="20"/>
                <w:lang w:eastAsia="en-GB"/>
              </w:rPr>
              <w:t>Penchansky</w:t>
            </w:r>
            <w:proofErr w:type="spellEnd"/>
            <w:r w:rsidRPr="00BF08D4">
              <w:rPr>
                <w:rFonts w:eastAsia="Times New Roman" w:cs="Times New Roman"/>
                <w:bCs/>
                <w:color w:val="000000"/>
                <w:sz w:val="20"/>
                <w:szCs w:val="20"/>
                <w:lang w:eastAsia="en-GB"/>
              </w:rPr>
              <w:t xml:space="preserve"> and Thomas use patient satisfaction data to derive measures for each of the five dimensions. </w:t>
            </w:r>
          </w:p>
        </w:tc>
        <w:tc>
          <w:tcPr>
            <w:tcW w:w="2212" w:type="dxa"/>
            <w:tcBorders>
              <w:top w:val="nil"/>
            </w:tcBorders>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Access in areas: 4, 5 and 6</w:t>
            </w:r>
          </w:p>
        </w:tc>
      </w:tr>
      <w:tr w:rsidR="00F17F66" w:rsidRPr="00AD02D9" w:rsidTr="008E2CD4">
        <w:tc>
          <w:tcPr>
            <w:tcW w:w="0" w:type="auto"/>
            <w:shd w:val="clear" w:color="auto" w:fill="auto"/>
            <w:vAlign w:val="center"/>
            <w:hideMark/>
          </w:tcPr>
          <w:p w:rsidR="00F17F66" w:rsidRPr="00BF08D4" w:rsidRDefault="00F17F66" w:rsidP="00CA11CB">
            <w:pPr>
              <w:spacing w:after="120" w:line="240" w:lineRule="auto"/>
              <w:rPr>
                <w:rFonts w:eastAsia="Times New Roman" w:cs="Times New Roman"/>
                <w:b/>
                <w:bCs/>
                <w:color w:val="000000"/>
                <w:sz w:val="20"/>
                <w:szCs w:val="20"/>
                <w:lang w:eastAsia="en-GB"/>
              </w:rPr>
            </w:pPr>
            <w:r>
              <w:rPr>
                <w:rFonts w:cs="Times New Roman"/>
                <w:color w:val="000000"/>
                <w:sz w:val="20"/>
                <w:szCs w:val="20"/>
              </w:rPr>
              <w:fldChar w:fldCharType="begin"/>
            </w:r>
            <w:r>
              <w:rPr>
                <w:rFonts w:cs="Times New Roman"/>
                <w:color w:val="000000"/>
                <w:sz w:val="20"/>
                <w:szCs w:val="20"/>
              </w:rPr>
              <w:instrText xml:space="preserve"> ADDIN EN.CITE &lt;EndNote&gt;&lt;Cite AuthorYear="1"&gt;&lt;Author&gt;Goddard&lt;/Author&gt;&lt;Year&gt;2001&lt;/Year&gt;&lt;RecNum&gt;21&lt;/RecNum&gt;&lt;DisplayText&gt;Goddard and Smith (2001)&lt;/DisplayText&gt;&lt;record&gt;&lt;rec-number&gt;21&lt;/rec-number&gt;&lt;foreign-keys&gt;&lt;key app="EN" db-id="vfweffweo009d7esve6xxsrj2wst2traf9rp" timestamp="1560185033"&gt;21&lt;/key&gt;&lt;/foreign-keys&gt;&lt;ref-type name="Journal Article"&gt;17&lt;/ref-type&gt;&lt;contributors&gt;&lt;authors&gt;&lt;author&gt;Goddard, Maria&lt;/author&gt;&lt;author&gt;Smith, Peter &lt;/author&gt;&lt;/authors&gt;&lt;/contributors&gt;&lt;titles&gt;&lt;title&gt;Equity of access to health care services: Theory and evidence from the UK&lt;/title&gt;&lt;secondary-title&gt;Soc Sci Med.&lt;/secondary-title&gt;&lt;/titles&gt;&lt;pages&gt;1149-1162&lt;/pages&gt;&lt;volume&gt;53&lt;/volume&gt;&lt;number&gt;9&lt;/number&gt;&lt;dates&gt;&lt;year&gt;2001&lt;/year&gt;&lt;/dates&gt;&lt;isbn&gt;0277-9536&lt;/isbn&gt;&lt;urls&gt;&lt;/urls&gt;&lt;/record&gt;&lt;/Cite&gt;&lt;/EndNote&gt;</w:instrText>
            </w:r>
            <w:r>
              <w:rPr>
                <w:rFonts w:cs="Times New Roman"/>
                <w:color w:val="000000"/>
                <w:sz w:val="20"/>
                <w:szCs w:val="20"/>
              </w:rPr>
              <w:fldChar w:fldCharType="separate"/>
            </w:r>
            <w:r>
              <w:rPr>
                <w:rFonts w:cs="Times New Roman"/>
                <w:noProof/>
                <w:color w:val="000000"/>
                <w:sz w:val="20"/>
                <w:szCs w:val="20"/>
              </w:rPr>
              <w:t>Goddard and Smith (2001)</w:t>
            </w:r>
            <w:r>
              <w:rPr>
                <w:rFonts w:cs="Times New Roman"/>
                <w:color w:val="000000"/>
                <w:sz w:val="20"/>
                <w:szCs w:val="20"/>
              </w:rPr>
              <w:fldChar w:fldCharType="end"/>
            </w:r>
          </w:p>
        </w:tc>
        <w:tc>
          <w:tcPr>
            <w:tcW w:w="6511" w:type="dxa"/>
            <w:shd w:val="clear" w:color="auto" w:fill="auto"/>
            <w:hideMark/>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 xml:space="preserve">Access as a supply side issue (equal services made available for those in equal need). The authors define access as the ability to secure a specified range of services, at a specified level of quality, subject to a maximum level of opportunity cost, whilst in possession of a specified level of information. Hence, variations in (supply side) access might arise from variations in: </w:t>
            </w:r>
          </w:p>
          <w:p w:rsidR="00F17F66" w:rsidRPr="00BF08D4" w:rsidRDefault="00F17F66" w:rsidP="00F17F66">
            <w:pPr>
              <w:pStyle w:val="ListParagraph"/>
              <w:numPr>
                <w:ilvl w:val="0"/>
                <w:numId w:val="9"/>
              </w:numPr>
              <w:spacing w:line="240" w:lineRule="auto"/>
              <w:rPr>
                <w:rFonts w:cs="Times New Roman"/>
                <w:sz w:val="20"/>
                <w:szCs w:val="20"/>
                <w:lang w:eastAsia="en-GB"/>
              </w:rPr>
            </w:pPr>
            <w:r w:rsidRPr="00BF08D4">
              <w:rPr>
                <w:rFonts w:cs="Times New Roman"/>
                <w:sz w:val="20"/>
                <w:szCs w:val="20"/>
                <w:lang w:eastAsia="en-GB"/>
              </w:rPr>
              <w:t>availability of services/treatments</w:t>
            </w:r>
          </w:p>
          <w:p w:rsidR="00F17F66" w:rsidRPr="00BF08D4" w:rsidRDefault="00F17F66" w:rsidP="00F17F66">
            <w:pPr>
              <w:pStyle w:val="ListParagraph"/>
              <w:numPr>
                <w:ilvl w:val="0"/>
                <w:numId w:val="9"/>
              </w:numPr>
              <w:spacing w:line="240" w:lineRule="auto"/>
              <w:rPr>
                <w:rFonts w:cs="Times New Roman"/>
                <w:sz w:val="20"/>
                <w:szCs w:val="20"/>
                <w:lang w:eastAsia="en-GB"/>
              </w:rPr>
            </w:pPr>
            <w:r w:rsidRPr="00BF08D4">
              <w:rPr>
                <w:rFonts w:cs="Times New Roman"/>
                <w:sz w:val="20"/>
                <w:szCs w:val="20"/>
                <w:lang w:eastAsia="en-GB"/>
              </w:rPr>
              <w:t>quality of services</w:t>
            </w:r>
          </w:p>
          <w:p w:rsidR="00F17F66" w:rsidRPr="00BF08D4" w:rsidRDefault="00F17F66" w:rsidP="00F17F66">
            <w:pPr>
              <w:pStyle w:val="ListParagraph"/>
              <w:numPr>
                <w:ilvl w:val="0"/>
                <w:numId w:val="9"/>
              </w:numPr>
              <w:spacing w:line="240" w:lineRule="auto"/>
              <w:rPr>
                <w:rFonts w:cs="Times New Roman"/>
                <w:sz w:val="20"/>
                <w:szCs w:val="20"/>
                <w:lang w:eastAsia="en-GB"/>
              </w:rPr>
            </w:pPr>
            <w:r w:rsidRPr="00BF08D4">
              <w:rPr>
                <w:rFonts w:cs="Times New Roman"/>
                <w:sz w:val="20"/>
                <w:szCs w:val="20"/>
                <w:lang w:eastAsia="en-GB"/>
              </w:rPr>
              <w:t>cost (financial / non-financial) of services</w:t>
            </w:r>
          </w:p>
          <w:p w:rsidR="00F17F66" w:rsidRPr="00BF08D4" w:rsidRDefault="00F17F66" w:rsidP="00F17F66">
            <w:pPr>
              <w:pStyle w:val="ListParagraph"/>
              <w:numPr>
                <w:ilvl w:val="0"/>
                <w:numId w:val="9"/>
              </w:numPr>
              <w:spacing w:line="240" w:lineRule="auto"/>
              <w:rPr>
                <w:rFonts w:cs="Times New Roman"/>
                <w:sz w:val="20"/>
                <w:szCs w:val="20"/>
                <w:lang w:eastAsia="en-GB"/>
              </w:rPr>
            </w:pPr>
            <w:r w:rsidRPr="00BF08D4">
              <w:rPr>
                <w:rFonts w:cs="Times New Roman"/>
                <w:sz w:val="20"/>
                <w:szCs w:val="20"/>
                <w:lang w:eastAsia="en-GB"/>
              </w:rPr>
              <w:t xml:space="preserve">information availability </w:t>
            </w:r>
          </w:p>
        </w:tc>
        <w:tc>
          <w:tcPr>
            <w:tcW w:w="3656" w:type="dxa"/>
            <w:shd w:val="clear" w:color="auto" w:fill="auto"/>
            <w:hideMark/>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The authors note that access as defined here cannot be observed directly. Some individual elements can be measured (e.g. resource availability, waiting times, user charges, barriers to care), but often only utilisation is observed.</w:t>
            </w:r>
          </w:p>
        </w:tc>
        <w:tc>
          <w:tcPr>
            <w:tcW w:w="2212" w:type="dxa"/>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Access in areas: 4, 5, 6 and 7</w:t>
            </w:r>
          </w:p>
        </w:tc>
      </w:tr>
      <w:tr w:rsidR="00F17F66" w:rsidRPr="00AD02D9" w:rsidTr="008E2CD4">
        <w:tc>
          <w:tcPr>
            <w:tcW w:w="0" w:type="auto"/>
            <w:shd w:val="clear" w:color="auto" w:fill="auto"/>
            <w:vAlign w:val="center"/>
            <w:hideMark/>
          </w:tcPr>
          <w:p w:rsidR="00F17F66" w:rsidRPr="00BF08D4" w:rsidRDefault="00F17F66" w:rsidP="00CA11CB">
            <w:pPr>
              <w:spacing w:after="120" w:line="240" w:lineRule="auto"/>
              <w:rPr>
                <w:rFonts w:eastAsia="Times New Roman" w:cs="Times New Roman"/>
                <w:b/>
                <w:bCs/>
                <w:color w:val="231F20"/>
                <w:sz w:val="20"/>
                <w:szCs w:val="20"/>
                <w:lang w:eastAsia="en-GB"/>
              </w:rPr>
            </w:pPr>
            <w:r>
              <w:rPr>
                <w:rFonts w:cs="Times New Roman"/>
                <w:color w:val="000000"/>
                <w:sz w:val="20"/>
                <w:szCs w:val="20"/>
              </w:rPr>
              <w:fldChar w:fldCharType="begin"/>
            </w:r>
            <w:r>
              <w:rPr>
                <w:rFonts w:cs="Times New Roman"/>
                <w:color w:val="000000"/>
                <w:sz w:val="20"/>
                <w:szCs w:val="20"/>
              </w:rPr>
              <w:instrText xml:space="preserve"> ADDIN EN.CITE &lt;EndNote&gt;&lt;Cite AuthorYear="1"&gt;&lt;Author&gt;Gulliford&lt;/Author&gt;&lt;Year&gt;2002&lt;/Year&gt;&lt;RecNum&gt;23&lt;/RecNum&gt;&lt;DisplayText&gt;Gulliford et al. (2002)&lt;/DisplayText&gt;&lt;record&gt;&lt;rec-number&gt;23&lt;/rec-number&gt;&lt;foreign-keys&gt;&lt;key app="EN" db-id="vfweffweo009d7esve6xxsrj2wst2traf9rp" timestamp="1561473360"&gt;23&lt;/key&gt;&lt;/foreign-keys&gt;&lt;ref-type name="Journal Article"&gt;17&lt;/ref-type&gt;&lt;contributors&gt;&lt;authors&gt;&lt;author&gt;Gulliford, Martin&lt;/author&gt;&lt;author&gt;Figueroa-Munoz, Jose&lt;/author&gt;&lt;author&gt;Morgan, Myfanwy&lt;/author&gt;&lt;author&gt;Hughes, David&lt;/author&gt;&lt;author&gt;Gibson, Barry&lt;/author&gt;&lt;author&gt;Beech, Roger&lt;/author&gt;&lt;author&gt;Hudson, Meryl &lt;/author&gt;&lt;/authors&gt;&lt;/contributors&gt;&lt;titles&gt;&lt;title&gt;What does&amp;apos; access to health care&amp;apos;mean?&lt;/title&gt;&lt;secondary-title&gt;J Health Serv Res Policy&lt;/secondary-title&gt;&lt;/titles&gt;&lt;pages&gt;186-188&lt;/pages&gt;&lt;volume&gt;7&lt;/volume&gt;&lt;number&gt;3&lt;/number&gt;&lt;dates&gt;&lt;year&gt;2002&lt;/year&gt;&lt;/dates&gt;&lt;isbn&gt;1355-8196&lt;/isbn&gt;&lt;urls&gt;&lt;/urls&gt;&lt;/record&gt;&lt;/Cite&gt;&lt;/EndNote&gt;</w:instrText>
            </w:r>
            <w:r>
              <w:rPr>
                <w:rFonts w:cs="Times New Roman"/>
                <w:color w:val="000000"/>
                <w:sz w:val="20"/>
                <w:szCs w:val="20"/>
              </w:rPr>
              <w:fldChar w:fldCharType="separate"/>
            </w:r>
            <w:r>
              <w:rPr>
                <w:rFonts w:cs="Times New Roman"/>
                <w:noProof/>
                <w:color w:val="000000"/>
                <w:sz w:val="20"/>
                <w:szCs w:val="20"/>
              </w:rPr>
              <w:t>Gulliford et al. (2002)</w:t>
            </w:r>
            <w:r>
              <w:rPr>
                <w:rFonts w:cs="Times New Roman"/>
                <w:color w:val="000000"/>
                <w:sz w:val="20"/>
                <w:szCs w:val="20"/>
              </w:rPr>
              <w:fldChar w:fldCharType="end"/>
            </w:r>
          </w:p>
        </w:tc>
        <w:tc>
          <w:tcPr>
            <w:tcW w:w="6511" w:type="dxa"/>
            <w:shd w:val="clear" w:color="auto" w:fill="auto"/>
            <w:hideMark/>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 xml:space="preserve">The authors focus on the British NHS, arguing that access is a complex concept that should be measured on at least four dimensions and that none of these dimensions is sufficient in its own right. The four dimensions are: </w:t>
            </w:r>
          </w:p>
          <w:p w:rsidR="00F17F66" w:rsidRPr="00BF08D4" w:rsidRDefault="00F17F66" w:rsidP="00F17F66">
            <w:pPr>
              <w:pStyle w:val="ListParagraph"/>
              <w:numPr>
                <w:ilvl w:val="0"/>
                <w:numId w:val="5"/>
              </w:numPr>
              <w:spacing w:line="240" w:lineRule="auto"/>
              <w:rPr>
                <w:rFonts w:cs="Times New Roman"/>
                <w:sz w:val="20"/>
                <w:szCs w:val="20"/>
                <w:lang w:eastAsia="en-GB"/>
              </w:rPr>
            </w:pPr>
            <w:r w:rsidRPr="00BF08D4">
              <w:rPr>
                <w:rFonts w:cs="Times New Roman"/>
                <w:sz w:val="20"/>
                <w:szCs w:val="20"/>
                <w:lang w:eastAsia="en-GB"/>
              </w:rPr>
              <w:lastRenderedPageBreak/>
              <w:t>Service availability: this is about the opportunity (potential) to obtain health care – whether individuals ‘</w:t>
            </w:r>
            <w:r w:rsidRPr="00BF08D4">
              <w:rPr>
                <w:rFonts w:cs="Times New Roman"/>
                <w:sz w:val="20"/>
                <w:szCs w:val="20"/>
                <w:u w:val="single"/>
                <w:lang w:eastAsia="en-GB"/>
              </w:rPr>
              <w:t>have access’</w:t>
            </w:r>
            <w:r w:rsidRPr="00BF08D4">
              <w:rPr>
                <w:rFonts w:cs="Times New Roman"/>
                <w:sz w:val="20"/>
                <w:szCs w:val="20"/>
                <w:lang w:eastAsia="en-GB"/>
              </w:rPr>
              <w:t>, and</w:t>
            </w:r>
            <w:r w:rsidRPr="00BF08D4">
              <w:rPr>
                <w:rFonts w:cs="Times New Roman"/>
                <w:sz w:val="20"/>
                <w:szCs w:val="20"/>
                <w:u w:val="single"/>
                <w:lang w:eastAsia="en-GB"/>
              </w:rPr>
              <w:t xml:space="preserve"> </w:t>
            </w:r>
            <w:r w:rsidRPr="00BF08D4">
              <w:rPr>
                <w:rFonts w:cs="Times New Roman"/>
                <w:sz w:val="20"/>
                <w:szCs w:val="20"/>
                <w:lang w:eastAsia="en-GB"/>
              </w:rPr>
              <w:t xml:space="preserve">is determined by the adequacy of supply. </w:t>
            </w:r>
          </w:p>
          <w:p w:rsidR="00F17F66" w:rsidRPr="00BF08D4" w:rsidRDefault="00F17F66" w:rsidP="00F17F66">
            <w:pPr>
              <w:pStyle w:val="ListParagraph"/>
              <w:numPr>
                <w:ilvl w:val="0"/>
                <w:numId w:val="5"/>
              </w:numPr>
              <w:spacing w:line="240" w:lineRule="auto"/>
              <w:rPr>
                <w:rFonts w:cs="Times New Roman"/>
                <w:sz w:val="20"/>
                <w:szCs w:val="20"/>
                <w:lang w:eastAsia="en-GB"/>
              </w:rPr>
            </w:pPr>
            <w:r w:rsidRPr="00BF08D4">
              <w:rPr>
                <w:rFonts w:cs="Times New Roman"/>
                <w:sz w:val="20"/>
                <w:szCs w:val="20"/>
                <w:lang w:eastAsia="en-GB"/>
              </w:rPr>
              <w:t>Utilisation of services and barriers to access (personal, financial and organisational): this is about whether individuals ‘</w:t>
            </w:r>
            <w:r w:rsidRPr="00BF08D4">
              <w:rPr>
                <w:rFonts w:cs="Times New Roman"/>
                <w:sz w:val="20"/>
                <w:szCs w:val="20"/>
                <w:u w:val="single"/>
                <w:lang w:eastAsia="en-GB"/>
              </w:rPr>
              <w:t xml:space="preserve">gain </w:t>
            </w:r>
            <w:proofErr w:type="gramStart"/>
            <w:r w:rsidRPr="00BF08D4">
              <w:rPr>
                <w:rFonts w:cs="Times New Roman"/>
                <w:sz w:val="20"/>
                <w:szCs w:val="20"/>
                <w:u w:val="single"/>
                <w:lang w:eastAsia="en-GB"/>
              </w:rPr>
              <w:t>access’</w:t>
            </w:r>
            <w:proofErr w:type="gramEnd"/>
            <w:r w:rsidRPr="00BF08D4">
              <w:rPr>
                <w:rFonts w:cs="Times New Roman"/>
                <w:sz w:val="20"/>
                <w:szCs w:val="20"/>
                <w:u w:val="single"/>
                <w:lang w:eastAsia="en-GB"/>
              </w:rPr>
              <w:t xml:space="preserve">. </w:t>
            </w:r>
            <w:r w:rsidRPr="00BF08D4">
              <w:rPr>
                <w:rFonts w:cs="Times New Roman"/>
                <w:sz w:val="20"/>
                <w:szCs w:val="20"/>
                <w:lang w:eastAsia="en-GB"/>
              </w:rPr>
              <w:t>Covers affordability, accessibility and acceptability.</w:t>
            </w:r>
          </w:p>
          <w:p w:rsidR="00F17F66" w:rsidRPr="00BF08D4" w:rsidRDefault="00F17F66" w:rsidP="00F17F66">
            <w:pPr>
              <w:pStyle w:val="ListParagraph"/>
              <w:numPr>
                <w:ilvl w:val="0"/>
                <w:numId w:val="5"/>
              </w:numPr>
              <w:spacing w:line="240" w:lineRule="auto"/>
              <w:rPr>
                <w:rFonts w:cs="Times New Roman"/>
                <w:sz w:val="20"/>
                <w:szCs w:val="20"/>
                <w:lang w:eastAsia="en-GB"/>
              </w:rPr>
            </w:pPr>
            <w:r w:rsidRPr="00BF08D4">
              <w:rPr>
                <w:rFonts w:cs="Times New Roman"/>
                <w:sz w:val="20"/>
                <w:szCs w:val="20"/>
                <w:lang w:eastAsia="en-GB"/>
              </w:rPr>
              <w:t xml:space="preserve">Relevance and effectiveness: utilisation of appropriate services determines the health outcomes resulting from gaining access. This is </w:t>
            </w:r>
            <w:r w:rsidRPr="00BF08D4">
              <w:rPr>
                <w:rFonts w:cs="Times New Roman"/>
                <w:sz w:val="20"/>
                <w:szCs w:val="20"/>
                <w:u w:val="single"/>
                <w:lang w:eastAsia="en-GB"/>
              </w:rPr>
              <w:t>relevant access</w:t>
            </w:r>
            <w:r w:rsidRPr="00BF08D4">
              <w:rPr>
                <w:rFonts w:cs="Times New Roman"/>
                <w:sz w:val="20"/>
                <w:szCs w:val="20"/>
                <w:lang w:eastAsia="en-GB"/>
              </w:rPr>
              <w:t>.</w:t>
            </w:r>
          </w:p>
          <w:p w:rsidR="00F17F66" w:rsidRPr="00BF08D4" w:rsidRDefault="00F17F66" w:rsidP="00F17F66">
            <w:pPr>
              <w:pStyle w:val="ListParagraph"/>
              <w:numPr>
                <w:ilvl w:val="0"/>
                <w:numId w:val="5"/>
              </w:numPr>
              <w:spacing w:line="240" w:lineRule="auto"/>
              <w:rPr>
                <w:rFonts w:cs="Times New Roman"/>
                <w:sz w:val="20"/>
                <w:szCs w:val="20"/>
                <w:lang w:eastAsia="en-GB"/>
              </w:rPr>
            </w:pPr>
            <w:r w:rsidRPr="00BF08D4">
              <w:rPr>
                <w:rFonts w:cs="Times New Roman"/>
                <w:sz w:val="20"/>
                <w:szCs w:val="20"/>
                <w:lang w:eastAsia="en-GB"/>
              </w:rPr>
              <w:t xml:space="preserve">Equity: vertical and horizontal equity can be measured in terms of availability (#1), utilisation (#2), or outcomes (#3).  </w:t>
            </w:r>
          </w:p>
          <w:p w:rsidR="00F17F66" w:rsidRPr="00BF08D4" w:rsidRDefault="00F17F66" w:rsidP="00CA11CB">
            <w:pPr>
              <w:spacing w:after="120" w:line="240" w:lineRule="auto"/>
              <w:rPr>
                <w:rFonts w:eastAsia="Times New Roman" w:cs="Times New Roman"/>
                <w:color w:val="000000"/>
                <w:sz w:val="20"/>
                <w:szCs w:val="20"/>
                <w:lang w:eastAsia="en-GB"/>
              </w:rPr>
            </w:pPr>
          </w:p>
        </w:tc>
        <w:tc>
          <w:tcPr>
            <w:tcW w:w="3656" w:type="dxa"/>
            <w:shd w:val="clear" w:color="auto" w:fill="auto"/>
            <w:hideMark/>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lastRenderedPageBreak/>
              <w:t xml:space="preserve">Ways to measure the dimensions: </w:t>
            </w:r>
          </w:p>
          <w:p w:rsidR="00F17F66" w:rsidRPr="00BF08D4" w:rsidRDefault="00F17F66" w:rsidP="00F17F66">
            <w:pPr>
              <w:pStyle w:val="ListParagraph"/>
              <w:numPr>
                <w:ilvl w:val="0"/>
                <w:numId w:val="6"/>
              </w:numPr>
              <w:spacing w:line="240" w:lineRule="auto"/>
              <w:rPr>
                <w:rFonts w:cs="Times New Roman"/>
                <w:sz w:val="20"/>
                <w:szCs w:val="20"/>
                <w:lang w:eastAsia="en-GB"/>
              </w:rPr>
            </w:pPr>
            <w:r w:rsidRPr="00BF08D4">
              <w:rPr>
                <w:rFonts w:cs="Times New Roman"/>
                <w:sz w:val="20"/>
                <w:szCs w:val="20"/>
                <w:lang w:eastAsia="en-GB"/>
              </w:rPr>
              <w:t xml:space="preserve">Service availability: GP per capita, %pop registered with </w:t>
            </w:r>
            <w:r w:rsidRPr="00BF08D4">
              <w:rPr>
                <w:rFonts w:cs="Times New Roman"/>
                <w:sz w:val="20"/>
                <w:szCs w:val="20"/>
                <w:lang w:eastAsia="en-GB"/>
              </w:rPr>
              <w:lastRenderedPageBreak/>
              <w:t>dentist, %pop accessing specialist surgical services); from a health economics perspective service availability may be measured in terms of the costs to individuals of obtaining care (travel, time, benefits foregone).</w:t>
            </w:r>
          </w:p>
          <w:p w:rsidR="00F17F66" w:rsidRPr="00BF08D4" w:rsidRDefault="00F17F66" w:rsidP="00F17F66">
            <w:pPr>
              <w:pStyle w:val="ListParagraph"/>
              <w:numPr>
                <w:ilvl w:val="0"/>
                <w:numId w:val="6"/>
              </w:numPr>
              <w:spacing w:line="240" w:lineRule="auto"/>
              <w:rPr>
                <w:rFonts w:cs="Times New Roman"/>
                <w:sz w:val="20"/>
                <w:szCs w:val="20"/>
                <w:lang w:eastAsia="en-GB"/>
              </w:rPr>
            </w:pPr>
            <w:r w:rsidRPr="00BF08D4">
              <w:rPr>
                <w:rFonts w:cs="Times New Roman"/>
                <w:sz w:val="20"/>
                <w:szCs w:val="20"/>
                <w:lang w:eastAsia="en-GB"/>
              </w:rPr>
              <w:t xml:space="preserve">Barriers to access. Financial: services charges, co-payment and other costs such as time, travel and earning Lost; Organisational: waiting times and ii. Variation /mode of referral from primary to secondary care. </w:t>
            </w:r>
          </w:p>
          <w:p w:rsidR="00F17F66" w:rsidRPr="00BF08D4" w:rsidRDefault="00F17F66" w:rsidP="00F17F66">
            <w:pPr>
              <w:pStyle w:val="ListParagraph"/>
              <w:numPr>
                <w:ilvl w:val="0"/>
                <w:numId w:val="6"/>
              </w:numPr>
              <w:spacing w:line="240" w:lineRule="auto"/>
              <w:rPr>
                <w:rFonts w:cs="Times New Roman"/>
                <w:sz w:val="20"/>
                <w:szCs w:val="20"/>
                <w:lang w:eastAsia="en-GB"/>
              </w:rPr>
            </w:pPr>
            <w:r w:rsidRPr="00BF08D4">
              <w:rPr>
                <w:rFonts w:cs="Times New Roman"/>
                <w:sz w:val="20"/>
                <w:szCs w:val="20"/>
                <w:lang w:eastAsia="en-GB"/>
              </w:rPr>
              <w:t xml:space="preserve">Relevance and effectiveness: appropriate indicators of health status. </w:t>
            </w:r>
          </w:p>
        </w:tc>
        <w:tc>
          <w:tcPr>
            <w:tcW w:w="2212" w:type="dxa"/>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b/>
                <w:color w:val="000000"/>
                <w:sz w:val="20"/>
                <w:szCs w:val="20"/>
                <w:lang w:eastAsia="en-GB"/>
              </w:rPr>
              <w:lastRenderedPageBreak/>
              <w:t xml:space="preserve">Service availability: </w:t>
            </w:r>
            <w:r w:rsidRPr="00BF08D4">
              <w:rPr>
                <w:rFonts w:eastAsia="Times New Roman" w:cs="Times New Roman"/>
                <w:color w:val="000000"/>
                <w:sz w:val="20"/>
                <w:szCs w:val="20"/>
                <w:lang w:eastAsia="en-GB"/>
              </w:rPr>
              <w:t>Access in areas: 1, 2, 4, 5, 6, 7</w:t>
            </w:r>
          </w:p>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b/>
                <w:color w:val="000000"/>
                <w:sz w:val="20"/>
                <w:szCs w:val="20"/>
                <w:lang w:eastAsia="en-GB"/>
              </w:rPr>
              <w:lastRenderedPageBreak/>
              <w:t>Utilisation</w:t>
            </w:r>
            <w:r w:rsidRPr="00BF08D4">
              <w:rPr>
                <w:rFonts w:eastAsia="Times New Roman" w:cs="Times New Roman"/>
                <w:color w:val="000000"/>
                <w:sz w:val="20"/>
                <w:szCs w:val="20"/>
                <w:lang w:eastAsia="en-GB"/>
              </w:rPr>
              <w:t>: Access in areas: 4, 5, and 6</w:t>
            </w:r>
          </w:p>
          <w:p w:rsidR="00F17F66" w:rsidRPr="00BF08D4" w:rsidRDefault="00F17F66" w:rsidP="00CA11CB">
            <w:pPr>
              <w:spacing w:after="120" w:line="240" w:lineRule="auto"/>
              <w:rPr>
                <w:rFonts w:eastAsia="Times New Roman" w:cs="Times New Roman"/>
                <w:b/>
                <w:color w:val="000000"/>
                <w:sz w:val="20"/>
                <w:szCs w:val="20"/>
                <w:lang w:eastAsia="en-GB"/>
              </w:rPr>
            </w:pPr>
            <w:r w:rsidRPr="00BF08D4">
              <w:rPr>
                <w:rFonts w:eastAsia="Times New Roman" w:cs="Times New Roman"/>
                <w:b/>
                <w:color w:val="000000"/>
                <w:sz w:val="20"/>
                <w:szCs w:val="20"/>
                <w:lang w:eastAsia="en-GB"/>
              </w:rPr>
              <w:t>Relevance and effectiveness</w:t>
            </w:r>
            <w:r w:rsidRPr="00BF08D4">
              <w:rPr>
                <w:rFonts w:eastAsia="Times New Roman" w:cs="Times New Roman"/>
                <w:color w:val="000000"/>
                <w:sz w:val="20"/>
                <w:szCs w:val="20"/>
                <w:lang w:eastAsia="en-GB"/>
              </w:rPr>
              <w:t>: Access in areas: 4 and 5</w:t>
            </w:r>
          </w:p>
        </w:tc>
      </w:tr>
      <w:tr w:rsidR="00F17F66" w:rsidRPr="00AD02D9" w:rsidTr="008E2CD4">
        <w:tc>
          <w:tcPr>
            <w:tcW w:w="0" w:type="auto"/>
            <w:shd w:val="clear" w:color="auto" w:fill="auto"/>
            <w:vAlign w:val="center"/>
            <w:hideMark/>
          </w:tcPr>
          <w:p w:rsidR="00F17F66" w:rsidRPr="00BF08D4" w:rsidRDefault="00F17F66" w:rsidP="00CA11CB">
            <w:pPr>
              <w:spacing w:after="120" w:line="240" w:lineRule="auto"/>
              <w:rPr>
                <w:rFonts w:eastAsia="Times New Roman" w:cs="Times New Roman"/>
                <w:b/>
                <w:bCs/>
                <w:color w:val="000000"/>
                <w:sz w:val="20"/>
                <w:szCs w:val="20"/>
                <w:lang w:eastAsia="en-GB"/>
              </w:rPr>
            </w:pPr>
            <w:r>
              <w:rPr>
                <w:rFonts w:cs="Times New Roman"/>
                <w:color w:val="000000"/>
                <w:sz w:val="20"/>
                <w:szCs w:val="20"/>
              </w:rPr>
              <w:lastRenderedPageBreak/>
              <w:fldChar w:fldCharType="begin"/>
            </w:r>
            <w:r>
              <w:rPr>
                <w:rFonts w:cs="Times New Roman"/>
                <w:color w:val="000000"/>
                <w:sz w:val="20"/>
                <w:szCs w:val="20"/>
              </w:rPr>
              <w:instrText xml:space="preserve"> ADDIN EN.CITE &lt;EndNote&gt;&lt;Cite AuthorYear="1"&gt;&lt;Author&gt;Levesque&lt;/Author&gt;&lt;Year&gt;2013&lt;/Year&gt;&lt;RecNum&gt;25&lt;/RecNum&gt;&lt;DisplayText&gt;Levesque et al. (2013)&lt;/DisplayText&gt;&lt;record&gt;&lt;rec-number&gt;25&lt;/rec-number&gt;&lt;foreign-keys&gt;&lt;key app="EN" db-id="vfweffweo009d7esve6xxsrj2wst2traf9rp" timestamp="1561473546"&gt;25&lt;/key&gt;&lt;/foreign-keys&gt;&lt;ref-type name="Journal Article"&gt;17&lt;/ref-type&gt;&lt;contributors&gt;&lt;authors&gt;&lt;author&gt;Levesque, Jean-Frederic&lt;/author&gt;&lt;author&gt;Harris, Mark F&lt;/author&gt;&lt;author&gt;Russell, Grant.&lt;/author&gt;&lt;/authors&gt;&lt;/contributors&gt;&lt;titles&gt;&lt;title&gt;Patient-centred access to health care: conceptualising access at the interface of health systems and populations&lt;/title&gt;&lt;secondary-title&gt;International Journal for Equity in Health&lt;/secondary-title&gt;&lt;/titles&gt;&lt;pages&gt;18&lt;/pages&gt;&lt;volume&gt;12&lt;/volume&gt;&lt;number&gt;1&lt;/number&gt;&lt;dates&gt;&lt;year&gt;2013&lt;/year&gt;&lt;/dates&gt;&lt;isbn&gt;1475-9276&lt;/isbn&gt;&lt;urls&gt;&lt;/urls&gt;&lt;/record&gt;&lt;/Cite&gt;&lt;/EndNote&gt;</w:instrText>
            </w:r>
            <w:r>
              <w:rPr>
                <w:rFonts w:cs="Times New Roman"/>
                <w:color w:val="000000"/>
                <w:sz w:val="20"/>
                <w:szCs w:val="20"/>
              </w:rPr>
              <w:fldChar w:fldCharType="separate"/>
            </w:r>
            <w:r>
              <w:rPr>
                <w:rFonts w:cs="Times New Roman"/>
                <w:noProof/>
                <w:color w:val="000000"/>
                <w:sz w:val="20"/>
                <w:szCs w:val="20"/>
              </w:rPr>
              <w:t>Levesque et al. (2013)</w:t>
            </w:r>
            <w:r>
              <w:rPr>
                <w:rFonts w:cs="Times New Roman"/>
                <w:color w:val="000000"/>
                <w:sz w:val="20"/>
                <w:szCs w:val="20"/>
              </w:rPr>
              <w:fldChar w:fldCharType="end"/>
            </w:r>
            <w:r w:rsidRPr="00BF08D4">
              <w:rPr>
                <w:rFonts w:cs="Times New Roman"/>
                <w:color w:val="000000"/>
                <w:sz w:val="20"/>
                <w:szCs w:val="20"/>
              </w:rPr>
              <w:t>:</w:t>
            </w:r>
          </w:p>
        </w:tc>
        <w:tc>
          <w:tcPr>
            <w:tcW w:w="6511" w:type="dxa"/>
            <w:shd w:val="clear" w:color="auto" w:fill="auto"/>
            <w:hideMark/>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 xml:space="preserve">Access as the opportunity to reach and obtain appropriate healthcare services in situations of perceived need for care. Access is a dynamic process that results from the interface between supply side features of health systems and organisations and demand-side features of populations. In this framework, five corresponding abilities of populations interact with the dimensions of accessibility to generate access. The authors conceptualise five dimensions of accessibility (supply-side factors): </w:t>
            </w:r>
          </w:p>
          <w:p w:rsidR="00F17F66" w:rsidRPr="00BF08D4" w:rsidRDefault="00F17F66" w:rsidP="00F17F66">
            <w:pPr>
              <w:pStyle w:val="ListParagraph"/>
              <w:numPr>
                <w:ilvl w:val="0"/>
                <w:numId w:val="1"/>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Approachability</w:t>
            </w:r>
          </w:p>
          <w:p w:rsidR="00F17F66" w:rsidRPr="00BF08D4" w:rsidRDefault="00F17F66" w:rsidP="00F17F66">
            <w:pPr>
              <w:pStyle w:val="ListParagraph"/>
              <w:numPr>
                <w:ilvl w:val="0"/>
                <w:numId w:val="1"/>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Acceptability</w:t>
            </w:r>
          </w:p>
          <w:p w:rsidR="00F17F66" w:rsidRPr="00BF08D4" w:rsidRDefault="00F17F66" w:rsidP="00F17F66">
            <w:pPr>
              <w:pStyle w:val="ListParagraph"/>
              <w:numPr>
                <w:ilvl w:val="0"/>
                <w:numId w:val="1"/>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Availability and accommodation</w:t>
            </w:r>
          </w:p>
          <w:p w:rsidR="00F17F66" w:rsidRPr="00BF08D4" w:rsidRDefault="00F17F66" w:rsidP="00F17F66">
            <w:pPr>
              <w:pStyle w:val="ListParagraph"/>
              <w:numPr>
                <w:ilvl w:val="0"/>
                <w:numId w:val="1"/>
              </w:numPr>
              <w:spacing w:after="120" w:line="240" w:lineRule="auto"/>
              <w:ind w:left="714" w:hanging="357"/>
              <w:rPr>
                <w:rFonts w:eastAsia="Times New Roman" w:cs="Times New Roman"/>
                <w:color w:val="000000"/>
                <w:sz w:val="20"/>
                <w:szCs w:val="20"/>
                <w:lang w:eastAsia="en-GB"/>
              </w:rPr>
            </w:pPr>
            <w:r w:rsidRPr="00BF08D4">
              <w:rPr>
                <w:rFonts w:eastAsia="Times New Roman" w:cs="Times New Roman"/>
                <w:color w:val="000000"/>
                <w:sz w:val="20"/>
                <w:szCs w:val="20"/>
                <w:lang w:eastAsia="en-GB"/>
              </w:rPr>
              <w:t>Affordability</w:t>
            </w:r>
          </w:p>
          <w:p w:rsidR="00F17F66" w:rsidRPr="00BF08D4" w:rsidRDefault="00F17F66" w:rsidP="00F17F66">
            <w:pPr>
              <w:pStyle w:val="ListParagraph"/>
              <w:numPr>
                <w:ilvl w:val="0"/>
                <w:numId w:val="1"/>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Appropriateness.</w:t>
            </w:r>
          </w:p>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 xml:space="preserve">Five corollary dimensions of abilities (demand side-factors): </w:t>
            </w:r>
          </w:p>
          <w:p w:rsidR="00F17F66" w:rsidRPr="00BF08D4" w:rsidRDefault="00F17F66" w:rsidP="00F17F66">
            <w:pPr>
              <w:pStyle w:val="ListParagraph"/>
              <w:numPr>
                <w:ilvl w:val="0"/>
                <w:numId w:val="4"/>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Ability to perceive</w:t>
            </w:r>
          </w:p>
          <w:p w:rsidR="00F17F66" w:rsidRPr="00BF08D4" w:rsidRDefault="00F17F66" w:rsidP="00F17F66">
            <w:pPr>
              <w:pStyle w:val="ListParagraph"/>
              <w:numPr>
                <w:ilvl w:val="0"/>
                <w:numId w:val="4"/>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Ability to seek</w:t>
            </w:r>
          </w:p>
          <w:p w:rsidR="00F17F66" w:rsidRPr="00BF08D4" w:rsidRDefault="00F17F66" w:rsidP="00F17F66">
            <w:pPr>
              <w:pStyle w:val="ListParagraph"/>
              <w:numPr>
                <w:ilvl w:val="0"/>
                <w:numId w:val="4"/>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Ability to reach</w:t>
            </w:r>
          </w:p>
          <w:p w:rsidR="00F17F66" w:rsidRPr="00BF08D4" w:rsidRDefault="00F17F66" w:rsidP="00F17F66">
            <w:pPr>
              <w:pStyle w:val="ListParagraph"/>
              <w:numPr>
                <w:ilvl w:val="0"/>
                <w:numId w:val="4"/>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t>Ability to pay</w:t>
            </w:r>
          </w:p>
          <w:p w:rsidR="00F17F66" w:rsidRPr="00BF08D4" w:rsidRDefault="00F17F66" w:rsidP="00F17F66">
            <w:pPr>
              <w:pStyle w:val="ListParagraph"/>
              <w:numPr>
                <w:ilvl w:val="0"/>
                <w:numId w:val="4"/>
              </w:num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lastRenderedPageBreak/>
              <w:t>Ability to engage.</w:t>
            </w:r>
          </w:p>
        </w:tc>
        <w:tc>
          <w:tcPr>
            <w:tcW w:w="3656" w:type="dxa"/>
            <w:shd w:val="clear" w:color="auto" w:fill="auto"/>
            <w:hideMark/>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lastRenderedPageBreak/>
              <w:t>Supply side:</w:t>
            </w:r>
          </w:p>
          <w:p w:rsidR="00F17F66" w:rsidRPr="00BF08D4" w:rsidRDefault="00F17F66" w:rsidP="00F17F66">
            <w:pPr>
              <w:pStyle w:val="ListParagraph"/>
              <w:numPr>
                <w:ilvl w:val="0"/>
                <w:numId w:val="7"/>
              </w:numPr>
              <w:spacing w:line="240" w:lineRule="auto"/>
              <w:rPr>
                <w:rFonts w:cs="Times New Roman"/>
                <w:sz w:val="20"/>
                <w:szCs w:val="20"/>
                <w:lang w:eastAsia="en-GB"/>
              </w:rPr>
            </w:pPr>
            <w:r w:rsidRPr="00BF08D4">
              <w:rPr>
                <w:rFonts w:cs="Times New Roman"/>
                <w:sz w:val="20"/>
                <w:szCs w:val="20"/>
                <w:lang w:eastAsia="en-GB"/>
              </w:rPr>
              <w:t>Approachability: Transparency, Outreach, Information, Screening</w:t>
            </w:r>
          </w:p>
          <w:p w:rsidR="00F17F66" w:rsidRPr="00BF08D4" w:rsidRDefault="00F17F66" w:rsidP="00F17F66">
            <w:pPr>
              <w:pStyle w:val="ListParagraph"/>
              <w:numPr>
                <w:ilvl w:val="0"/>
                <w:numId w:val="7"/>
              </w:numPr>
              <w:spacing w:line="240" w:lineRule="auto"/>
              <w:rPr>
                <w:rFonts w:cs="Times New Roman"/>
                <w:sz w:val="20"/>
                <w:szCs w:val="20"/>
                <w:lang w:eastAsia="en-GB"/>
              </w:rPr>
            </w:pPr>
            <w:r w:rsidRPr="00BF08D4">
              <w:rPr>
                <w:rFonts w:cs="Times New Roman"/>
                <w:sz w:val="20"/>
                <w:szCs w:val="20"/>
                <w:lang w:eastAsia="en-GB"/>
              </w:rPr>
              <w:t xml:space="preserve">Acceptability: Professional values, norms, culture, gender </w:t>
            </w:r>
          </w:p>
          <w:p w:rsidR="00F17F66" w:rsidRPr="00BF08D4" w:rsidRDefault="00F17F66" w:rsidP="00F17F66">
            <w:pPr>
              <w:pStyle w:val="ListParagraph"/>
              <w:numPr>
                <w:ilvl w:val="0"/>
                <w:numId w:val="7"/>
              </w:numPr>
              <w:spacing w:line="240" w:lineRule="auto"/>
              <w:rPr>
                <w:rFonts w:cs="Times New Roman"/>
                <w:sz w:val="20"/>
                <w:szCs w:val="20"/>
                <w:lang w:eastAsia="en-GB"/>
              </w:rPr>
            </w:pPr>
            <w:r w:rsidRPr="00BF08D4">
              <w:rPr>
                <w:rFonts w:cs="Times New Roman"/>
                <w:sz w:val="20"/>
                <w:szCs w:val="20"/>
                <w:lang w:eastAsia="en-GB"/>
              </w:rPr>
              <w:t>Availability and accommodation: Geographic location, Accommodation, Hours of opening, Appointments mechanisms</w:t>
            </w:r>
          </w:p>
          <w:p w:rsidR="00F17F66" w:rsidRPr="00BF08D4" w:rsidRDefault="00F17F66" w:rsidP="00F17F66">
            <w:pPr>
              <w:pStyle w:val="ListParagraph"/>
              <w:numPr>
                <w:ilvl w:val="0"/>
                <w:numId w:val="7"/>
              </w:numPr>
              <w:spacing w:line="240" w:lineRule="auto"/>
              <w:rPr>
                <w:rFonts w:cs="Times New Roman"/>
                <w:sz w:val="20"/>
                <w:szCs w:val="20"/>
                <w:lang w:eastAsia="en-GB"/>
              </w:rPr>
            </w:pPr>
            <w:r w:rsidRPr="00BF08D4">
              <w:rPr>
                <w:rFonts w:cs="Times New Roman"/>
                <w:sz w:val="20"/>
                <w:szCs w:val="20"/>
                <w:lang w:eastAsia="en-GB"/>
              </w:rPr>
              <w:t xml:space="preserve">Affordability: Direct costs, Indirect costs, Opportunity costs </w:t>
            </w:r>
          </w:p>
          <w:p w:rsidR="00F17F66" w:rsidRPr="00BF08D4" w:rsidRDefault="00F17F66" w:rsidP="00F17F66">
            <w:pPr>
              <w:pStyle w:val="ListParagraph"/>
              <w:numPr>
                <w:ilvl w:val="0"/>
                <w:numId w:val="7"/>
              </w:numPr>
              <w:spacing w:line="240" w:lineRule="auto"/>
              <w:rPr>
                <w:rFonts w:cs="Times New Roman"/>
                <w:sz w:val="20"/>
                <w:szCs w:val="20"/>
                <w:lang w:eastAsia="en-GB"/>
              </w:rPr>
            </w:pPr>
            <w:r w:rsidRPr="00BF08D4">
              <w:rPr>
                <w:rFonts w:cs="Times New Roman"/>
                <w:sz w:val="20"/>
                <w:szCs w:val="20"/>
                <w:lang w:eastAsia="en-GB"/>
              </w:rPr>
              <w:t xml:space="preserve">Appropriateness: Technical and interpersonal quality, </w:t>
            </w:r>
            <w:r w:rsidR="00027D31" w:rsidRPr="00BF08D4">
              <w:rPr>
                <w:rFonts w:cs="Times New Roman"/>
                <w:sz w:val="20"/>
                <w:szCs w:val="20"/>
                <w:lang w:eastAsia="en-GB"/>
              </w:rPr>
              <w:t>Adequacy, Coordination</w:t>
            </w:r>
            <w:r w:rsidRPr="00BF08D4">
              <w:rPr>
                <w:rFonts w:cs="Times New Roman"/>
                <w:sz w:val="20"/>
                <w:szCs w:val="20"/>
                <w:lang w:eastAsia="en-GB"/>
              </w:rPr>
              <w:t xml:space="preserve"> and continuity</w:t>
            </w:r>
          </w:p>
          <w:p w:rsidR="00F17F66" w:rsidRPr="00BF08D4" w:rsidRDefault="00F17F66" w:rsidP="00CA11CB">
            <w:pPr>
              <w:pStyle w:val="ListParagraph"/>
              <w:spacing w:after="120" w:line="240" w:lineRule="auto"/>
              <w:ind w:left="0"/>
              <w:rPr>
                <w:rFonts w:eastAsia="Times New Roman" w:cs="Times New Roman"/>
                <w:color w:val="000000"/>
                <w:sz w:val="20"/>
                <w:szCs w:val="20"/>
                <w:lang w:eastAsia="en-GB"/>
              </w:rPr>
            </w:pPr>
            <w:r w:rsidRPr="00BF08D4">
              <w:rPr>
                <w:rFonts w:eastAsia="Times New Roman" w:cs="Times New Roman"/>
                <w:color w:val="000000"/>
                <w:sz w:val="20"/>
                <w:szCs w:val="20"/>
                <w:lang w:eastAsia="en-GB"/>
              </w:rPr>
              <w:t>Demand side:</w:t>
            </w:r>
          </w:p>
          <w:p w:rsidR="00F17F66" w:rsidRPr="00BF08D4" w:rsidRDefault="00F17F66" w:rsidP="00F17F66">
            <w:pPr>
              <w:pStyle w:val="ListParagraph"/>
              <w:numPr>
                <w:ilvl w:val="0"/>
                <w:numId w:val="8"/>
              </w:numPr>
              <w:spacing w:line="240" w:lineRule="auto"/>
              <w:rPr>
                <w:rFonts w:cs="Times New Roman"/>
                <w:sz w:val="20"/>
                <w:szCs w:val="20"/>
                <w:lang w:eastAsia="en-GB"/>
              </w:rPr>
            </w:pPr>
            <w:r w:rsidRPr="00BF08D4">
              <w:rPr>
                <w:rFonts w:cs="Times New Roman"/>
                <w:sz w:val="20"/>
                <w:szCs w:val="20"/>
                <w:lang w:eastAsia="en-GB"/>
              </w:rPr>
              <w:lastRenderedPageBreak/>
              <w:t>Ability to perceive: Health literacy, Health beliefs, Trust and expectations</w:t>
            </w:r>
          </w:p>
          <w:p w:rsidR="00F17F66" w:rsidRPr="00BF08D4" w:rsidRDefault="00F17F66" w:rsidP="00F17F66">
            <w:pPr>
              <w:pStyle w:val="ListParagraph"/>
              <w:numPr>
                <w:ilvl w:val="0"/>
                <w:numId w:val="8"/>
              </w:numPr>
              <w:spacing w:line="240" w:lineRule="auto"/>
              <w:rPr>
                <w:rFonts w:cs="Times New Roman"/>
                <w:sz w:val="20"/>
                <w:szCs w:val="20"/>
                <w:lang w:eastAsia="en-GB"/>
              </w:rPr>
            </w:pPr>
            <w:r w:rsidRPr="00BF08D4">
              <w:rPr>
                <w:rFonts w:cs="Times New Roman"/>
                <w:sz w:val="20"/>
                <w:szCs w:val="20"/>
                <w:lang w:eastAsia="en-GB"/>
              </w:rPr>
              <w:t xml:space="preserve">Ability to seek: Personal and social values, culture, gender, autonomy </w:t>
            </w:r>
          </w:p>
          <w:p w:rsidR="00F17F66" w:rsidRPr="00BF08D4" w:rsidRDefault="00F17F66" w:rsidP="00F17F66">
            <w:pPr>
              <w:pStyle w:val="ListParagraph"/>
              <w:numPr>
                <w:ilvl w:val="0"/>
                <w:numId w:val="8"/>
              </w:numPr>
              <w:spacing w:line="240" w:lineRule="auto"/>
              <w:rPr>
                <w:rFonts w:cs="Times New Roman"/>
                <w:sz w:val="20"/>
                <w:szCs w:val="20"/>
                <w:lang w:eastAsia="en-GB"/>
              </w:rPr>
            </w:pPr>
            <w:r w:rsidRPr="00BF08D4">
              <w:rPr>
                <w:rFonts w:cs="Times New Roman"/>
                <w:sz w:val="20"/>
                <w:szCs w:val="20"/>
                <w:lang w:eastAsia="en-GB"/>
              </w:rPr>
              <w:t>Ability to reach: Living environments, Transport, Mobility, Social support</w:t>
            </w:r>
          </w:p>
          <w:p w:rsidR="00F17F66" w:rsidRPr="00BF08D4" w:rsidRDefault="00F17F66" w:rsidP="00F17F66">
            <w:pPr>
              <w:pStyle w:val="ListParagraph"/>
              <w:numPr>
                <w:ilvl w:val="0"/>
                <w:numId w:val="8"/>
              </w:numPr>
              <w:spacing w:line="240" w:lineRule="auto"/>
              <w:rPr>
                <w:rFonts w:cs="Times New Roman"/>
                <w:sz w:val="20"/>
                <w:szCs w:val="20"/>
                <w:lang w:eastAsia="en-GB"/>
              </w:rPr>
            </w:pPr>
            <w:r w:rsidRPr="00BF08D4">
              <w:rPr>
                <w:rFonts w:cs="Times New Roman"/>
                <w:sz w:val="20"/>
                <w:szCs w:val="20"/>
                <w:lang w:eastAsia="en-GB"/>
              </w:rPr>
              <w:t xml:space="preserve">Ability to pay: Income, Assets, Social capital, Health insurance </w:t>
            </w:r>
          </w:p>
          <w:p w:rsidR="00F17F66" w:rsidRPr="00BF08D4" w:rsidRDefault="00F17F66" w:rsidP="00F17F66">
            <w:pPr>
              <w:pStyle w:val="ListParagraph"/>
              <w:numPr>
                <w:ilvl w:val="0"/>
                <w:numId w:val="8"/>
              </w:numPr>
              <w:spacing w:line="240" w:lineRule="auto"/>
              <w:rPr>
                <w:rFonts w:cs="Times New Roman"/>
                <w:sz w:val="20"/>
                <w:szCs w:val="20"/>
                <w:lang w:eastAsia="en-GB"/>
              </w:rPr>
            </w:pPr>
            <w:r w:rsidRPr="00BF08D4">
              <w:rPr>
                <w:rFonts w:cs="Times New Roman"/>
                <w:sz w:val="20"/>
                <w:szCs w:val="20"/>
                <w:lang w:eastAsia="en-GB"/>
              </w:rPr>
              <w:t xml:space="preserve">Ability to engage: Empowerment, Information, Adherence, Caregiver support </w:t>
            </w:r>
          </w:p>
        </w:tc>
        <w:tc>
          <w:tcPr>
            <w:tcW w:w="2212" w:type="dxa"/>
          </w:tcPr>
          <w:p w:rsidR="00F17F66" w:rsidRPr="00BF08D4" w:rsidRDefault="00F17F66" w:rsidP="00CA11CB">
            <w:pPr>
              <w:spacing w:after="120" w:line="240" w:lineRule="auto"/>
              <w:rPr>
                <w:rFonts w:eastAsia="Times New Roman" w:cs="Times New Roman"/>
                <w:color w:val="000000"/>
                <w:sz w:val="20"/>
                <w:szCs w:val="20"/>
                <w:lang w:eastAsia="en-GB"/>
              </w:rPr>
            </w:pPr>
            <w:r w:rsidRPr="00BF08D4">
              <w:rPr>
                <w:rFonts w:eastAsia="Times New Roman" w:cs="Times New Roman"/>
                <w:color w:val="000000"/>
                <w:sz w:val="20"/>
                <w:szCs w:val="20"/>
                <w:lang w:eastAsia="en-GB"/>
              </w:rPr>
              <w:lastRenderedPageBreak/>
              <w:t>Access in areas: 4 and 5.</w:t>
            </w:r>
          </w:p>
        </w:tc>
      </w:tr>
    </w:tbl>
    <w:p w:rsidR="00C14094" w:rsidRDefault="009365A2"/>
    <w:sectPr w:rsidR="00C14094" w:rsidSect="008E2CD4">
      <w:footerReference w:type="default" r:id="rId7"/>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47D" w:rsidRDefault="008E2CD4">
      <w:pPr>
        <w:spacing w:after="0" w:line="240" w:lineRule="auto"/>
      </w:pPr>
      <w:r>
        <w:separator/>
      </w:r>
    </w:p>
  </w:endnote>
  <w:endnote w:type="continuationSeparator" w:id="0">
    <w:p w:rsidR="00C6347D" w:rsidRDefault="008E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549957"/>
      <w:docPartObj>
        <w:docPartGallery w:val="Page Numbers (Bottom of Page)"/>
        <w:docPartUnique/>
      </w:docPartObj>
    </w:sdtPr>
    <w:sdtEndPr>
      <w:rPr>
        <w:noProof/>
      </w:rPr>
    </w:sdtEndPr>
    <w:sdtContent>
      <w:p w:rsidR="00760687" w:rsidRDefault="00F17F66" w:rsidP="006C292E">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47D" w:rsidRDefault="008E2CD4">
      <w:pPr>
        <w:spacing w:after="0" w:line="240" w:lineRule="auto"/>
      </w:pPr>
      <w:r>
        <w:separator/>
      </w:r>
    </w:p>
  </w:footnote>
  <w:footnote w:type="continuationSeparator" w:id="0">
    <w:p w:rsidR="00C6347D" w:rsidRDefault="008E2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11DE"/>
    <w:multiLevelType w:val="hybridMultilevel"/>
    <w:tmpl w:val="2D884276"/>
    <w:lvl w:ilvl="0" w:tplc="5D4EF7A8">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27B63"/>
    <w:multiLevelType w:val="hybridMultilevel"/>
    <w:tmpl w:val="C716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F64B2"/>
    <w:multiLevelType w:val="hybridMultilevel"/>
    <w:tmpl w:val="92984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F078B"/>
    <w:multiLevelType w:val="hybridMultilevel"/>
    <w:tmpl w:val="40127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D53E6"/>
    <w:multiLevelType w:val="hybridMultilevel"/>
    <w:tmpl w:val="EA24F93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E7EB6"/>
    <w:multiLevelType w:val="hybridMultilevel"/>
    <w:tmpl w:val="A1D4B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5789F"/>
    <w:multiLevelType w:val="hybridMultilevel"/>
    <w:tmpl w:val="9162C430"/>
    <w:lvl w:ilvl="0" w:tplc="4FF029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D7C10"/>
    <w:multiLevelType w:val="hybridMultilevel"/>
    <w:tmpl w:val="8E5619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73B71"/>
    <w:multiLevelType w:val="hybridMultilevel"/>
    <w:tmpl w:val="37BEE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B129A5"/>
    <w:multiLevelType w:val="hybridMultilevel"/>
    <w:tmpl w:val="98625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C12272"/>
    <w:multiLevelType w:val="hybridMultilevel"/>
    <w:tmpl w:val="5C34A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1A7472"/>
    <w:multiLevelType w:val="hybridMultilevel"/>
    <w:tmpl w:val="22FC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0"/>
  </w:num>
  <w:num w:numId="5">
    <w:abstractNumId w:val="1"/>
  </w:num>
  <w:num w:numId="6">
    <w:abstractNumId w:val="8"/>
  </w:num>
  <w:num w:numId="7">
    <w:abstractNumId w:val="9"/>
  </w:num>
  <w:num w:numId="8">
    <w:abstractNumId w:val="3"/>
  </w:num>
  <w:num w:numId="9">
    <w:abstractNumId w:val="11"/>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66"/>
    <w:rsid w:val="00027D31"/>
    <w:rsid w:val="003D3DE9"/>
    <w:rsid w:val="008E2CD4"/>
    <w:rsid w:val="009365A2"/>
    <w:rsid w:val="00C6347D"/>
    <w:rsid w:val="00F17F66"/>
    <w:rsid w:val="00F41643"/>
    <w:rsid w:val="00F7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1E17"/>
  <w15:chartTrackingRefBased/>
  <w15:docId w15:val="{8FDFFAEB-8099-4EF5-8534-BA0C379E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F66"/>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F17F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F66"/>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F17F66"/>
    <w:pPr>
      <w:spacing w:after="200" w:line="240" w:lineRule="auto"/>
    </w:pPr>
    <w:rPr>
      <w:iCs/>
      <w:color w:val="44546A" w:themeColor="text2"/>
      <w:sz w:val="20"/>
      <w:szCs w:val="18"/>
    </w:rPr>
  </w:style>
  <w:style w:type="paragraph" w:styleId="ListParagraph">
    <w:name w:val="List Paragraph"/>
    <w:basedOn w:val="Normal"/>
    <w:uiPriority w:val="34"/>
    <w:qFormat/>
    <w:rsid w:val="00F17F66"/>
    <w:pPr>
      <w:ind w:left="720"/>
      <w:contextualSpacing/>
    </w:pPr>
  </w:style>
  <w:style w:type="table" w:styleId="TableGrid">
    <w:name w:val="Table Grid"/>
    <w:basedOn w:val="TableNormal"/>
    <w:uiPriority w:val="39"/>
    <w:rsid w:val="00F1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1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F6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Mason</dc:creator>
  <cp:keywords/>
  <dc:description/>
  <cp:lastModifiedBy>Anne Mason</cp:lastModifiedBy>
  <cp:revision>5</cp:revision>
  <dcterms:created xsi:type="dcterms:W3CDTF">2020-12-14T15:49:00Z</dcterms:created>
  <dcterms:modified xsi:type="dcterms:W3CDTF">2020-12-17T12:22:00Z</dcterms:modified>
</cp:coreProperties>
</file>