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8E4B" w14:textId="737DA9F3" w:rsidR="00E94A70" w:rsidRPr="00A8508C" w:rsidRDefault="008D6C66" w:rsidP="00CB6909">
      <w:pPr>
        <w:autoSpaceDE w:val="0"/>
        <w:autoSpaceDN w:val="0"/>
        <w:adjustRightInd w:val="0"/>
        <w:spacing w:line="276" w:lineRule="auto"/>
        <w:rPr>
          <w:rFonts w:cstheme="minorHAnsi"/>
          <w:b/>
          <w:bCs/>
          <w:color w:val="000000" w:themeColor="text1"/>
          <w:sz w:val="24"/>
          <w:szCs w:val="24"/>
          <w:shd w:val="clear" w:color="auto" w:fill="FFFFFF"/>
          <w:lang w:val="en-GB"/>
        </w:rPr>
      </w:pPr>
      <w:r w:rsidRPr="00A8508C">
        <w:rPr>
          <w:rFonts w:cstheme="minorHAnsi"/>
          <w:b/>
          <w:bCs/>
          <w:color w:val="000000" w:themeColor="text1"/>
          <w:sz w:val="24"/>
          <w:szCs w:val="24"/>
          <w:shd w:val="clear" w:color="auto" w:fill="FFFFFF"/>
          <w:lang w:val="en-GB"/>
        </w:rPr>
        <w:t xml:space="preserve">Online </w:t>
      </w:r>
      <w:r w:rsidR="00470150" w:rsidRPr="00A8508C">
        <w:rPr>
          <w:rFonts w:cstheme="minorHAnsi"/>
          <w:b/>
          <w:bCs/>
          <w:color w:val="000000" w:themeColor="text1"/>
          <w:sz w:val="24"/>
          <w:szCs w:val="24"/>
          <w:shd w:val="clear" w:color="auto" w:fill="FFFFFF"/>
          <w:lang w:val="en-GB"/>
        </w:rPr>
        <w:t>Appendix</w:t>
      </w:r>
    </w:p>
    <w:p w14:paraId="7CCDEE8E" w14:textId="6221BFCE" w:rsidR="00E51D78" w:rsidRPr="00A8508C" w:rsidRDefault="00381E1E" w:rsidP="005D27F0">
      <w:pPr>
        <w:autoSpaceDE w:val="0"/>
        <w:autoSpaceDN w:val="0"/>
        <w:adjustRightInd w:val="0"/>
        <w:spacing w:line="480" w:lineRule="auto"/>
        <w:rPr>
          <w:rFonts w:cstheme="minorHAnsi"/>
          <w:color w:val="000000" w:themeColor="text1"/>
          <w:sz w:val="24"/>
          <w:szCs w:val="24"/>
          <w:shd w:val="clear" w:color="auto" w:fill="FFFFFF"/>
          <w:lang w:val="en-GB"/>
        </w:rPr>
      </w:pPr>
      <w:r w:rsidRPr="00A8508C">
        <w:rPr>
          <w:rFonts w:cstheme="minorHAnsi"/>
          <w:color w:val="000000" w:themeColor="text1"/>
          <w:sz w:val="24"/>
          <w:szCs w:val="24"/>
          <w:shd w:val="clear" w:color="auto" w:fill="FFFFFF"/>
          <w:lang w:val="en-GB"/>
        </w:rPr>
        <w:t xml:space="preserve">Table </w:t>
      </w:r>
      <w:r w:rsidR="001271DF" w:rsidRPr="00A8508C">
        <w:rPr>
          <w:rFonts w:cstheme="minorHAnsi"/>
          <w:color w:val="000000" w:themeColor="text1"/>
          <w:sz w:val="24"/>
          <w:szCs w:val="24"/>
          <w:shd w:val="clear" w:color="auto" w:fill="FFFFFF"/>
          <w:lang w:val="en-GB"/>
        </w:rPr>
        <w:t>A1</w:t>
      </w:r>
      <w:r w:rsidRPr="00A8508C">
        <w:rPr>
          <w:rFonts w:cstheme="minorHAnsi"/>
          <w:color w:val="000000" w:themeColor="text1"/>
          <w:sz w:val="24"/>
          <w:szCs w:val="24"/>
          <w:shd w:val="clear" w:color="auto" w:fill="FFFFFF"/>
          <w:lang w:val="en-GB"/>
        </w:rPr>
        <w:t xml:space="preserve"> provides a</w:t>
      </w:r>
      <w:r w:rsidR="00B9166D" w:rsidRPr="00A8508C">
        <w:rPr>
          <w:rFonts w:cstheme="minorHAnsi"/>
          <w:color w:val="000000" w:themeColor="text1"/>
          <w:sz w:val="24"/>
          <w:szCs w:val="24"/>
          <w:shd w:val="clear" w:color="auto" w:fill="FFFFFF"/>
          <w:lang w:val="en-GB"/>
        </w:rPr>
        <w:t xml:space="preserve"> summary of </w:t>
      </w:r>
      <w:r w:rsidR="00D63EFA" w:rsidRPr="00A8508C">
        <w:rPr>
          <w:rFonts w:cstheme="minorHAnsi"/>
          <w:color w:val="000000" w:themeColor="text1"/>
          <w:sz w:val="24"/>
          <w:szCs w:val="24"/>
          <w:shd w:val="clear" w:color="auto" w:fill="FFFFFF"/>
          <w:lang w:val="en-GB"/>
        </w:rPr>
        <w:t xml:space="preserve">the </w:t>
      </w:r>
      <w:r w:rsidR="009A0DA1" w:rsidRPr="00A8508C">
        <w:rPr>
          <w:rFonts w:cstheme="minorHAnsi"/>
          <w:color w:val="000000" w:themeColor="text1"/>
          <w:sz w:val="24"/>
          <w:szCs w:val="24"/>
          <w:shd w:val="clear" w:color="auto" w:fill="FFFFFF"/>
          <w:lang w:val="en-GB"/>
        </w:rPr>
        <w:t>(</w:t>
      </w:r>
      <w:r w:rsidR="00D63EFA" w:rsidRPr="00A8508C">
        <w:rPr>
          <w:rFonts w:cstheme="minorHAnsi"/>
          <w:color w:val="000000" w:themeColor="text1"/>
          <w:sz w:val="24"/>
          <w:szCs w:val="24"/>
          <w:shd w:val="clear" w:color="auto" w:fill="FFFFFF"/>
          <w:lang w:val="en-GB"/>
        </w:rPr>
        <w:t>ch</w:t>
      </w:r>
      <w:r w:rsidR="00433A11" w:rsidRPr="00A8508C">
        <w:rPr>
          <w:rFonts w:cstheme="minorHAnsi"/>
          <w:color w:val="000000" w:themeColor="text1"/>
          <w:sz w:val="24"/>
          <w:szCs w:val="24"/>
          <w:shd w:val="clear" w:color="auto" w:fill="FFFFFF"/>
          <w:lang w:val="en-GB"/>
        </w:rPr>
        <w:t>anging</w:t>
      </w:r>
      <w:r w:rsidR="009A0DA1" w:rsidRPr="00A8508C">
        <w:rPr>
          <w:rFonts w:cstheme="minorHAnsi"/>
          <w:color w:val="000000" w:themeColor="text1"/>
          <w:sz w:val="24"/>
          <w:szCs w:val="24"/>
          <w:shd w:val="clear" w:color="auto" w:fill="FFFFFF"/>
          <w:lang w:val="en-GB"/>
        </w:rPr>
        <w:t>)</w:t>
      </w:r>
      <w:r w:rsidR="00433A11" w:rsidRPr="00A8508C">
        <w:rPr>
          <w:rFonts w:cstheme="minorHAnsi"/>
          <w:color w:val="000000" w:themeColor="text1"/>
          <w:sz w:val="24"/>
          <w:szCs w:val="24"/>
          <w:shd w:val="clear" w:color="auto" w:fill="FFFFFF"/>
          <w:lang w:val="en-GB"/>
        </w:rPr>
        <w:t xml:space="preserve"> role</w:t>
      </w:r>
      <w:r w:rsidR="009F25CA" w:rsidRPr="00A8508C">
        <w:rPr>
          <w:rFonts w:cstheme="minorHAnsi"/>
          <w:color w:val="000000" w:themeColor="text1"/>
          <w:sz w:val="24"/>
          <w:szCs w:val="24"/>
          <w:shd w:val="clear" w:color="auto" w:fill="FFFFFF"/>
          <w:lang w:val="en-GB"/>
        </w:rPr>
        <w:t>s</w:t>
      </w:r>
      <w:r w:rsidR="00433A11" w:rsidRPr="00A8508C">
        <w:rPr>
          <w:rFonts w:cstheme="minorHAnsi"/>
          <w:color w:val="000000" w:themeColor="text1"/>
          <w:sz w:val="24"/>
          <w:szCs w:val="24"/>
          <w:shd w:val="clear" w:color="auto" w:fill="FFFFFF"/>
          <w:lang w:val="en-GB"/>
        </w:rPr>
        <w:t xml:space="preserve"> of Frenc</w:t>
      </w:r>
      <w:r w:rsidR="00813F41" w:rsidRPr="00A8508C">
        <w:rPr>
          <w:rFonts w:cstheme="minorHAnsi"/>
          <w:color w:val="000000" w:themeColor="text1"/>
          <w:sz w:val="24"/>
          <w:szCs w:val="24"/>
          <w:shd w:val="clear" w:color="auto" w:fill="FFFFFF"/>
          <w:lang w:val="en-GB"/>
        </w:rPr>
        <w:t>h, German</w:t>
      </w:r>
      <w:r w:rsidR="009A0DA1" w:rsidRPr="00A8508C">
        <w:rPr>
          <w:rFonts w:cstheme="minorHAnsi"/>
          <w:color w:val="000000" w:themeColor="text1"/>
          <w:sz w:val="24"/>
          <w:szCs w:val="24"/>
          <w:shd w:val="clear" w:color="auto" w:fill="FFFFFF"/>
          <w:lang w:val="en-GB"/>
        </w:rPr>
        <w:t>,</w:t>
      </w:r>
      <w:r w:rsidR="00813F41" w:rsidRPr="00A8508C">
        <w:rPr>
          <w:rFonts w:cstheme="minorHAnsi"/>
          <w:color w:val="000000" w:themeColor="text1"/>
          <w:sz w:val="24"/>
          <w:szCs w:val="24"/>
          <w:shd w:val="clear" w:color="auto" w:fill="FFFFFF"/>
          <w:lang w:val="en-GB"/>
        </w:rPr>
        <w:t xml:space="preserve"> and Dutch </w:t>
      </w:r>
      <w:r w:rsidR="00D551F8" w:rsidRPr="00A8508C">
        <w:rPr>
          <w:rFonts w:cstheme="minorHAnsi"/>
          <w:color w:val="000000" w:themeColor="text1"/>
          <w:sz w:val="24"/>
          <w:szCs w:val="24"/>
          <w:shd w:val="clear" w:color="auto" w:fill="FFFFFF"/>
          <w:lang w:val="en-GB"/>
        </w:rPr>
        <w:t xml:space="preserve">health insurers </w:t>
      </w:r>
      <w:r w:rsidR="008D3376" w:rsidRPr="00A8508C">
        <w:rPr>
          <w:rFonts w:cstheme="minorHAnsi"/>
          <w:sz w:val="24"/>
          <w:szCs w:val="24"/>
          <w:lang w:val="en-GB"/>
        </w:rPr>
        <w:t xml:space="preserve">in setting prices, </w:t>
      </w:r>
      <w:r w:rsidR="00916AB6" w:rsidRPr="00A8508C">
        <w:rPr>
          <w:rFonts w:cstheme="minorHAnsi"/>
          <w:sz w:val="24"/>
          <w:szCs w:val="24"/>
          <w:lang w:val="en-GB"/>
        </w:rPr>
        <w:t xml:space="preserve">regulating </w:t>
      </w:r>
      <w:r w:rsidR="000A65B0" w:rsidRPr="00A8508C">
        <w:rPr>
          <w:rFonts w:cstheme="minorHAnsi"/>
          <w:sz w:val="24"/>
          <w:szCs w:val="24"/>
          <w:lang w:val="en-GB"/>
        </w:rPr>
        <w:t>volume and supply</w:t>
      </w:r>
      <w:r w:rsidR="00D67377" w:rsidRPr="00A8508C">
        <w:rPr>
          <w:rFonts w:cstheme="minorHAnsi"/>
          <w:sz w:val="24"/>
          <w:szCs w:val="24"/>
          <w:lang w:val="en-GB"/>
        </w:rPr>
        <w:t>,</w:t>
      </w:r>
      <w:r w:rsidR="000A65B0" w:rsidRPr="00A8508C">
        <w:rPr>
          <w:rFonts w:cstheme="minorHAnsi"/>
          <w:sz w:val="24"/>
          <w:szCs w:val="24"/>
          <w:lang w:val="en-GB"/>
        </w:rPr>
        <w:t xml:space="preserve"> and </w:t>
      </w:r>
      <w:r w:rsidR="008D3376" w:rsidRPr="00A8508C">
        <w:rPr>
          <w:rFonts w:cstheme="minorHAnsi"/>
          <w:sz w:val="24"/>
          <w:szCs w:val="24"/>
          <w:lang w:val="en-GB"/>
        </w:rPr>
        <w:t>assuring quality of care across the ambulatory, hospital, and pharmaceutical</w:t>
      </w:r>
      <w:r w:rsidR="009F25CA" w:rsidRPr="00A8508C">
        <w:rPr>
          <w:rFonts w:cstheme="minorHAnsi"/>
          <w:sz w:val="24"/>
          <w:szCs w:val="24"/>
          <w:lang w:val="en-GB"/>
        </w:rPr>
        <w:t xml:space="preserve"> sectors during the past two decades</w:t>
      </w:r>
      <w:r w:rsidR="008D3376" w:rsidRPr="00A8508C">
        <w:rPr>
          <w:rFonts w:cstheme="minorHAnsi"/>
          <w:sz w:val="24"/>
          <w:szCs w:val="24"/>
          <w:lang w:val="en-GB"/>
        </w:rPr>
        <w:t>.</w:t>
      </w:r>
    </w:p>
    <w:p w14:paraId="497C6EC9" w14:textId="292627C8" w:rsidR="00CD08D3" w:rsidRPr="00A8508C" w:rsidRDefault="00CD08D3" w:rsidP="00CB6909">
      <w:pPr>
        <w:autoSpaceDE w:val="0"/>
        <w:autoSpaceDN w:val="0"/>
        <w:adjustRightInd w:val="0"/>
        <w:spacing w:line="276" w:lineRule="auto"/>
        <w:rPr>
          <w:rFonts w:cstheme="minorHAnsi"/>
          <w:b/>
          <w:bCs/>
          <w:color w:val="000000" w:themeColor="text1"/>
          <w:sz w:val="24"/>
          <w:szCs w:val="24"/>
          <w:shd w:val="clear" w:color="auto" w:fill="FFFFFF"/>
          <w:lang w:val="en-GB"/>
        </w:rPr>
      </w:pPr>
      <w:r w:rsidRPr="00A8508C">
        <w:rPr>
          <w:rFonts w:cstheme="minorHAnsi"/>
          <w:b/>
          <w:bCs/>
          <w:color w:val="000000" w:themeColor="text1"/>
          <w:sz w:val="24"/>
          <w:szCs w:val="24"/>
          <w:shd w:val="clear" w:color="auto" w:fill="FFFFFF"/>
          <w:lang w:val="en-GB"/>
        </w:rPr>
        <w:t xml:space="preserve">Table </w:t>
      </w:r>
      <w:r w:rsidR="001271DF" w:rsidRPr="00A8508C">
        <w:rPr>
          <w:rFonts w:cstheme="minorHAnsi"/>
          <w:b/>
          <w:bCs/>
          <w:color w:val="000000" w:themeColor="text1"/>
          <w:sz w:val="24"/>
          <w:szCs w:val="24"/>
          <w:shd w:val="clear" w:color="auto" w:fill="FFFFFF"/>
          <w:lang w:val="en-GB"/>
        </w:rPr>
        <w:t>A1</w:t>
      </w:r>
      <w:r w:rsidRPr="00A8508C">
        <w:rPr>
          <w:rFonts w:cstheme="minorHAnsi"/>
          <w:b/>
          <w:bCs/>
          <w:color w:val="000000" w:themeColor="text1"/>
          <w:sz w:val="24"/>
          <w:szCs w:val="24"/>
          <w:shd w:val="clear" w:color="auto" w:fill="FFFFFF"/>
          <w:lang w:val="en-GB"/>
        </w:rPr>
        <w:t xml:space="preserve">. Overview of the </w:t>
      </w:r>
      <w:r w:rsidR="009A0DA1" w:rsidRPr="00A8508C">
        <w:rPr>
          <w:rFonts w:cstheme="minorHAnsi"/>
          <w:b/>
          <w:bCs/>
          <w:color w:val="000000" w:themeColor="text1"/>
          <w:sz w:val="24"/>
          <w:szCs w:val="24"/>
          <w:shd w:val="clear" w:color="auto" w:fill="FFFFFF"/>
          <w:lang w:val="en-GB"/>
        </w:rPr>
        <w:t>(</w:t>
      </w:r>
      <w:r w:rsidR="00313608" w:rsidRPr="00A8508C">
        <w:rPr>
          <w:rFonts w:cstheme="minorHAnsi"/>
          <w:b/>
          <w:bCs/>
          <w:color w:val="000000" w:themeColor="text1"/>
          <w:sz w:val="24"/>
          <w:szCs w:val="24"/>
          <w:shd w:val="clear" w:color="auto" w:fill="FFFFFF"/>
          <w:lang w:val="en-GB"/>
        </w:rPr>
        <w:t>c</w:t>
      </w:r>
      <w:r w:rsidRPr="00A8508C">
        <w:rPr>
          <w:rFonts w:cstheme="minorHAnsi"/>
          <w:b/>
          <w:bCs/>
          <w:color w:val="000000" w:themeColor="text1"/>
          <w:sz w:val="24"/>
          <w:szCs w:val="24"/>
          <w:shd w:val="clear" w:color="auto" w:fill="FFFFFF"/>
          <w:lang w:val="en-GB"/>
        </w:rPr>
        <w:t>hanging</w:t>
      </w:r>
      <w:r w:rsidR="009A0DA1" w:rsidRPr="00A8508C">
        <w:rPr>
          <w:rFonts w:cstheme="minorHAnsi"/>
          <w:b/>
          <w:bCs/>
          <w:color w:val="000000" w:themeColor="text1"/>
          <w:sz w:val="24"/>
          <w:szCs w:val="24"/>
          <w:shd w:val="clear" w:color="auto" w:fill="FFFFFF"/>
          <w:lang w:val="en-GB"/>
        </w:rPr>
        <w:t>)</w:t>
      </w:r>
      <w:r w:rsidRPr="00A8508C">
        <w:rPr>
          <w:rFonts w:cstheme="minorHAnsi"/>
          <w:b/>
          <w:bCs/>
          <w:color w:val="000000" w:themeColor="text1"/>
          <w:sz w:val="24"/>
          <w:szCs w:val="24"/>
          <w:shd w:val="clear" w:color="auto" w:fill="FFFFFF"/>
          <w:lang w:val="en-GB"/>
        </w:rPr>
        <w:t xml:space="preserve"> roles of health insurers in France, Germany</w:t>
      </w:r>
      <w:r w:rsidR="0028463F">
        <w:rPr>
          <w:rFonts w:cstheme="minorHAnsi"/>
          <w:b/>
          <w:bCs/>
          <w:color w:val="000000" w:themeColor="text1"/>
          <w:sz w:val="24"/>
          <w:szCs w:val="24"/>
          <w:shd w:val="clear" w:color="auto" w:fill="FFFFFF"/>
          <w:lang w:val="en-GB"/>
        </w:rPr>
        <w:t>,</w:t>
      </w:r>
      <w:r w:rsidRPr="00A8508C">
        <w:rPr>
          <w:rFonts w:cstheme="minorHAnsi"/>
          <w:b/>
          <w:bCs/>
          <w:color w:val="000000" w:themeColor="text1"/>
          <w:sz w:val="24"/>
          <w:szCs w:val="24"/>
          <w:shd w:val="clear" w:color="auto" w:fill="FFFFFF"/>
          <w:lang w:val="en-GB"/>
        </w:rPr>
        <w:t xml:space="preserve"> and the Netherlands</w:t>
      </w:r>
      <w:r w:rsidR="00313608" w:rsidRPr="00A8508C">
        <w:rPr>
          <w:rFonts w:cstheme="minorHAnsi"/>
          <w:b/>
          <w:bCs/>
          <w:color w:val="000000" w:themeColor="text1"/>
          <w:sz w:val="24"/>
          <w:szCs w:val="24"/>
          <w:shd w:val="clear" w:color="auto" w:fill="FFFFFF"/>
          <w:lang w:val="en-GB"/>
        </w:rPr>
        <w:t xml:space="preserve"> since 2000</w:t>
      </w:r>
    </w:p>
    <w:tbl>
      <w:tblPr>
        <w:tblStyle w:val="Tabellenraster"/>
        <w:tblW w:w="14312" w:type="dxa"/>
        <w:tblLook w:val="04A0" w:firstRow="1" w:lastRow="0" w:firstColumn="1" w:lastColumn="0" w:noHBand="0" w:noVBand="1"/>
      </w:tblPr>
      <w:tblGrid>
        <w:gridCol w:w="1696"/>
        <w:gridCol w:w="4111"/>
        <w:gridCol w:w="4394"/>
        <w:gridCol w:w="4111"/>
      </w:tblGrid>
      <w:tr w:rsidR="00E51D78" w:rsidRPr="00A8508C" w14:paraId="3A4C8913" w14:textId="77777777" w:rsidTr="00A13CD8">
        <w:trPr>
          <w:tblHeader/>
        </w:trPr>
        <w:tc>
          <w:tcPr>
            <w:tcW w:w="1696" w:type="dxa"/>
            <w:shd w:val="clear" w:color="auto" w:fill="BFBFBF" w:themeFill="background1" w:themeFillShade="BF"/>
          </w:tcPr>
          <w:p w14:paraId="11DD9D45" w14:textId="77777777" w:rsidR="00E51D78" w:rsidRPr="00A8508C" w:rsidRDefault="00E51D78" w:rsidP="001F4FBA">
            <w:pPr>
              <w:spacing w:after="60"/>
              <w:rPr>
                <w:rFonts w:cstheme="minorHAnsi"/>
                <w:b/>
                <w:bCs/>
                <w:sz w:val="18"/>
                <w:szCs w:val="18"/>
                <w:lang w:val="en-GB"/>
              </w:rPr>
            </w:pPr>
            <w:bookmarkStart w:id="0" w:name="_Hlk142389671"/>
            <w:r w:rsidRPr="00A8508C">
              <w:rPr>
                <w:rFonts w:cstheme="minorHAnsi"/>
                <w:b/>
                <w:bCs/>
                <w:sz w:val="18"/>
                <w:szCs w:val="18"/>
                <w:lang w:val="en-GB"/>
              </w:rPr>
              <w:t xml:space="preserve">Role of insurers in </w:t>
            </w:r>
          </w:p>
        </w:tc>
        <w:tc>
          <w:tcPr>
            <w:tcW w:w="4111" w:type="dxa"/>
            <w:shd w:val="clear" w:color="auto" w:fill="BFBFBF" w:themeFill="background1" w:themeFillShade="BF"/>
          </w:tcPr>
          <w:p w14:paraId="7DE720CD" w14:textId="77777777" w:rsidR="00E51D78" w:rsidRPr="00A8508C" w:rsidRDefault="00E51D78" w:rsidP="001F4FBA">
            <w:pPr>
              <w:spacing w:after="60"/>
              <w:rPr>
                <w:rFonts w:cstheme="minorHAnsi"/>
                <w:b/>
                <w:bCs/>
                <w:sz w:val="18"/>
                <w:szCs w:val="18"/>
                <w:lang w:val="en-GB"/>
              </w:rPr>
            </w:pPr>
            <w:r w:rsidRPr="00A8508C">
              <w:rPr>
                <w:rFonts w:cstheme="minorHAnsi"/>
                <w:b/>
                <w:bCs/>
                <w:sz w:val="18"/>
                <w:szCs w:val="18"/>
                <w:lang w:val="en-GB"/>
              </w:rPr>
              <w:t>France</w:t>
            </w:r>
          </w:p>
        </w:tc>
        <w:tc>
          <w:tcPr>
            <w:tcW w:w="4394" w:type="dxa"/>
            <w:shd w:val="clear" w:color="auto" w:fill="BFBFBF" w:themeFill="background1" w:themeFillShade="BF"/>
          </w:tcPr>
          <w:p w14:paraId="26E25647" w14:textId="77777777" w:rsidR="00E51D78" w:rsidRPr="00A8508C" w:rsidRDefault="00E51D78" w:rsidP="001F4FBA">
            <w:pPr>
              <w:spacing w:after="60"/>
              <w:rPr>
                <w:rFonts w:cstheme="minorHAnsi"/>
                <w:b/>
                <w:bCs/>
                <w:sz w:val="18"/>
                <w:szCs w:val="18"/>
                <w:lang w:val="en-GB"/>
              </w:rPr>
            </w:pPr>
            <w:r w:rsidRPr="00A8508C">
              <w:rPr>
                <w:rFonts w:cstheme="minorHAnsi"/>
                <w:b/>
                <w:bCs/>
                <w:sz w:val="18"/>
                <w:szCs w:val="18"/>
                <w:lang w:val="en-GB"/>
              </w:rPr>
              <w:t>Germany</w:t>
            </w:r>
          </w:p>
        </w:tc>
        <w:tc>
          <w:tcPr>
            <w:tcW w:w="4111" w:type="dxa"/>
            <w:shd w:val="clear" w:color="auto" w:fill="BFBFBF" w:themeFill="background1" w:themeFillShade="BF"/>
          </w:tcPr>
          <w:p w14:paraId="5414BABB" w14:textId="77777777" w:rsidR="00E51D78" w:rsidRPr="00A8508C" w:rsidRDefault="00E51D78" w:rsidP="001F4FBA">
            <w:pPr>
              <w:spacing w:after="60"/>
              <w:rPr>
                <w:rFonts w:cstheme="minorHAnsi"/>
                <w:b/>
                <w:bCs/>
                <w:sz w:val="18"/>
                <w:szCs w:val="18"/>
                <w:lang w:val="en-GB"/>
              </w:rPr>
            </w:pPr>
            <w:r w:rsidRPr="00A8508C">
              <w:rPr>
                <w:rFonts w:cstheme="minorHAnsi"/>
                <w:b/>
                <w:bCs/>
                <w:sz w:val="18"/>
                <w:szCs w:val="18"/>
                <w:lang w:val="en-GB"/>
              </w:rPr>
              <w:t>Netherlands</w:t>
            </w:r>
          </w:p>
        </w:tc>
      </w:tr>
      <w:tr w:rsidR="00E51D78" w:rsidRPr="00A8508C" w14:paraId="441DB355" w14:textId="77777777" w:rsidTr="00A13CD8">
        <w:trPr>
          <w:cantSplit/>
          <w:trHeight w:val="192"/>
        </w:trPr>
        <w:tc>
          <w:tcPr>
            <w:tcW w:w="14312" w:type="dxa"/>
            <w:gridSpan w:val="4"/>
            <w:shd w:val="clear" w:color="auto" w:fill="E7E6E6" w:themeFill="background2"/>
          </w:tcPr>
          <w:p w14:paraId="25338262" w14:textId="77777777" w:rsidR="00E51D78" w:rsidRPr="00A8508C" w:rsidRDefault="00E51D78" w:rsidP="001F4FBA">
            <w:pPr>
              <w:tabs>
                <w:tab w:val="left" w:pos="7230"/>
              </w:tabs>
              <w:spacing w:after="60"/>
              <w:rPr>
                <w:rFonts w:cstheme="minorHAnsi"/>
                <w:b/>
                <w:bCs/>
                <w:sz w:val="18"/>
                <w:szCs w:val="18"/>
                <w:lang w:val="en-GB"/>
              </w:rPr>
            </w:pPr>
            <w:r w:rsidRPr="00A8508C">
              <w:rPr>
                <w:rFonts w:cstheme="minorHAnsi"/>
                <w:b/>
                <w:bCs/>
                <w:sz w:val="18"/>
                <w:szCs w:val="18"/>
                <w:lang w:val="en-GB"/>
              </w:rPr>
              <w:t>Ambulatory sector</w:t>
            </w:r>
            <w:r w:rsidRPr="00A8508C">
              <w:rPr>
                <w:rFonts w:cstheme="minorHAnsi"/>
                <w:b/>
                <w:bCs/>
                <w:sz w:val="18"/>
                <w:szCs w:val="18"/>
                <w:lang w:val="en-GB"/>
              </w:rPr>
              <w:tab/>
            </w:r>
          </w:p>
        </w:tc>
      </w:tr>
      <w:bookmarkEnd w:id="0"/>
      <w:tr w:rsidR="00E51D78" w:rsidRPr="00A8508C" w14:paraId="0CEE1EF7" w14:textId="77777777" w:rsidTr="001F4FBA">
        <w:trPr>
          <w:cantSplit/>
          <w:trHeight w:val="1134"/>
        </w:trPr>
        <w:tc>
          <w:tcPr>
            <w:tcW w:w="1696" w:type="dxa"/>
          </w:tcPr>
          <w:p w14:paraId="42759387" w14:textId="415EDAC3"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Price setting</w:t>
            </w:r>
          </w:p>
        </w:tc>
        <w:tc>
          <w:tcPr>
            <w:tcW w:w="4111" w:type="dxa"/>
          </w:tcPr>
          <w:p w14:paraId="33A97F1B"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Yes. </w:t>
            </w:r>
            <w:r w:rsidRPr="00A8508C">
              <w:rPr>
                <w:rFonts w:cstheme="minorHAnsi"/>
                <w:sz w:val="18"/>
                <w:szCs w:val="18"/>
                <w:lang w:val="en-GB"/>
              </w:rPr>
              <w:t>Traditional</w:t>
            </w:r>
            <w:r w:rsidRPr="00A8508C">
              <w:rPr>
                <w:rFonts w:cstheme="minorHAnsi"/>
                <w:b/>
                <w:bCs/>
                <w:sz w:val="18"/>
                <w:szCs w:val="18"/>
                <w:lang w:val="en-GB"/>
              </w:rPr>
              <w:t xml:space="preserve"> </w:t>
            </w:r>
            <w:r w:rsidRPr="00A8508C">
              <w:rPr>
                <w:rFonts w:cstheme="minorHAnsi"/>
                <w:sz w:val="18"/>
                <w:szCs w:val="18"/>
                <w:lang w:val="en-GB"/>
              </w:rPr>
              <w:t>role of the SHI funds: Fees (for FFS providers) are set through collective negotiations between 1) the government, 2) the union of social health insurance schemes (UNCAM), 3) the union of complementary health insurance schemes and 4) unions of health professionals. UNCAM provides a proposal which considers financial constraints set by ONDAM for the ambulatory sector. Medical professionals’ unions exert considerable power through lobbying in the parliament. Therefore, the Ministry of Health also plays a significant role in the negotiations.</w:t>
            </w:r>
          </w:p>
          <w:p w14:paraId="087DF937"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P4P in ambulatory setting (out of collective negotiations) which provides incentive to improve individual performance.</w:t>
            </w:r>
            <w:r w:rsidRPr="00A8508C">
              <w:rPr>
                <w:lang w:val="en-GB"/>
              </w:rPr>
              <w:t xml:space="preserve"> </w:t>
            </w:r>
            <w:r w:rsidRPr="00A8508C">
              <w:rPr>
                <w:rFonts w:cstheme="minorHAnsi"/>
                <w:sz w:val="18"/>
                <w:szCs w:val="18"/>
                <w:lang w:val="en-GB"/>
              </w:rPr>
              <w:t>Moreover, SHI has been piloting new payment modes (capitation, episode base, etc.).</w:t>
            </w:r>
          </w:p>
        </w:tc>
        <w:tc>
          <w:tcPr>
            <w:tcW w:w="4394" w:type="dxa"/>
          </w:tcPr>
          <w:p w14:paraId="63CE749E" w14:textId="3706426D"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Partly.</w:t>
            </w:r>
            <w:r w:rsidRPr="00A8508C">
              <w:rPr>
                <w:rFonts w:cstheme="minorHAnsi"/>
                <w:sz w:val="18"/>
                <w:szCs w:val="18"/>
                <w:lang w:val="en-GB"/>
              </w:rPr>
              <w:t xml:space="preserve"> Basic definition pursuant to federal law; details delegated to corporatist institutions at the federal (point values) and state (monetary valuation) levels. </w:t>
            </w:r>
            <w:r w:rsidRPr="00A8508C">
              <w:rPr>
                <w:rFonts w:cstheme="minorHAnsi"/>
                <w:sz w:val="18"/>
                <w:szCs w:val="18"/>
                <w:u w:val="single"/>
                <w:lang w:val="en-GB"/>
              </w:rPr>
              <w:t>Collective contracting</w:t>
            </w:r>
            <w:r w:rsidRPr="00A8508C">
              <w:rPr>
                <w:rFonts w:cstheme="minorHAnsi"/>
                <w:sz w:val="18"/>
                <w:szCs w:val="18"/>
                <w:lang w:val="en-GB"/>
              </w:rPr>
              <w:t>: Two-step process for payment: (1) Sickness funds make total payments (prospective budget) to the regional physicians’ associations for remunerating physicians. Amount of overall remuneration is negotiated between regional physicians’ associations and regional associations of sickness funds. (2) Total payments (i.e.</w:t>
            </w:r>
            <w:r w:rsidR="00BD0EF2" w:rsidRPr="00A8508C">
              <w:rPr>
                <w:rFonts w:cstheme="minorHAnsi"/>
                <w:sz w:val="18"/>
                <w:szCs w:val="18"/>
                <w:lang w:val="en-GB"/>
              </w:rPr>
              <w:t>,</w:t>
            </w:r>
            <w:r w:rsidRPr="00A8508C">
              <w:rPr>
                <w:rFonts w:cstheme="minorHAnsi"/>
                <w:sz w:val="18"/>
                <w:szCs w:val="18"/>
                <w:lang w:val="en-GB"/>
              </w:rPr>
              <w:t xml:space="preserve"> pooled from all sickness funds) are distributed among SHI-affiliated physicians according to a national Uniform Value Scale (UVS). Prices of the UVS: multiplication of points of a service with the respective regionally valid point value agreed at regional level. </w:t>
            </w:r>
            <w:r w:rsidRPr="00A8508C">
              <w:rPr>
                <w:rFonts w:cstheme="minorHAnsi"/>
                <w:sz w:val="18"/>
                <w:szCs w:val="18"/>
                <w:u w:val="single"/>
                <w:lang w:val="en-GB"/>
              </w:rPr>
              <w:t>Selective contracting on prices</w:t>
            </w:r>
            <w:r w:rsidRPr="00A8508C">
              <w:rPr>
                <w:rFonts w:cstheme="minorHAnsi"/>
                <w:sz w:val="18"/>
                <w:szCs w:val="18"/>
                <w:lang w:val="en-GB"/>
              </w:rPr>
              <w:t xml:space="preserve"> (e.g., P4P) is possible.</w:t>
            </w:r>
          </w:p>
          <w:p w14:paraId="025CAFBD"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Important changes/recent reforms</w:t>
            </w:r>
            <w:r w:rsidRPr="00A8508C">
              <w:rPr>
                <w:rFonts w:cstheme="minorHAnsi"/>
                <w:sz w:val="18"/>
                <w:szCs w:val="18"/>
                <w:lang w:val="en-GB"/>
              </w:rPr>
              <w:t>: In 2000, introduction of option for direct selective contracting on integrated care between sickness fund and providers.</w:t>
            </w:r>
          </w:p>
        </w:tc>
        <w:tc>
          <w:tcPr>
            <w:tcW w:w="4111" w:type="dxa"/>
          </w:tcPr>
          <w:p w14:paraId="38CE8D13" w14:textId="7CDF1055"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Prices are freely negotiable in some ambulatory care sectors (e.g., physical therapists, community nurses), but for providers in other sectors (e.g., GPs and mental care providers) maximum prices are set by the Dutch Healthcare Authority (</w:t>
            </w:r>
            <w:proofErr w:type="spellStart"/>
            <w:r w:rsidRPr="00A8508C">
              <w:rPr>
                <w:rFonts w:cstheme="minorHAnsi"/>
                <w:sz w:val="18"/>
                <w:szCs w:val="18"/>
                <w:lang w:val="en-GB"/>
              </w:rPr>
              <w:t>NZa</w:t>
            </w:r>
            <w:proofErr w:type="spellEnd"/>
            <w:r w:rsidRPr="00A8508C">
              <w:rPr>
                <w:rFonts w:cstheme="minorHAnsi"/>
                <w:sz w:val="18"/>
                <w:szCs w:val="18"/>
                <w:lang w:val="en-GB"/>
              </w:rPr>
              <w:t xml:space="preserve">). For instance, GP are paid by a combination of a maximum capitation payment per registered patient, a maximum fee per visit, and freely negotiable fees for multidisciplinary care for patients with chronic conditions and for meeting certain performance criteria (e.g., about innovative practices and prescription and/or referral </w:t>
            </w:r>
            <w:r w:rsidR="00F74839" w:rsidRPr="00A8508C">
              <w:rPr>
                <w:rFonts w:cstheme="minorHAnsi"/>
                <w:sz w:val="18"/>
                <w:szCs w:val="18"/>
                <w:lang w:val="en-GB"/>
              </w:rPr>
              <w:t>behaviour</w:t>
            </w:r>
            <w:r w:rsidRPr="00A8508C">
              <w:rPr>
                <w:rFonts w:cstheme="minorHAnsi"/>
                <w:sz w:val="18"/>
                <w:szCs w:val="18"/>
                <w:lang w:val="en-GB"/>
              </w:rPr>
              <w:t xml:space="preserve">) </w:t>
            </w:r>
          </w:p>
          <w:p w14:paraId="6706DA35" w14:textId="5251700F"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Important changes/recent reforms:</w:t>
            </w:r>
            <w:r w:rsidRPr="00A8508C">
              <w:rPr>
                <w:rFonts w:cstheme="minorHAnsi"/>
                <w:sz w:val="18"/>
                <w:szCs w:val="18"/>
                <w:lang w:val="en-GB"/>
              </w:rPr>
              <w:t xml:space="preserve"> Gradual price liberali</w:t>
            </w:r>
            <w:r w:rsidR="000673AF" w:rsidRPr="00A8508C">
              <w:rPr>
                <w:rFonts w:cstheme="minorHAnsi"/>
                <w:sz w:val="18"/>
                <w:szCs w:val="18"/>
                <w:lang w:val="en-GB"/>
              </w:rPr>
              <w:t>s</w:t>
            </w:r>
            <w:r w:rsidRPr="00A8508C">
              <w:rPr>
                <w:rFonts w:cstheme="minorHAnsi"/>
                <w:sz w:val="18"/>
                <w:szCs w:val="18"/>
                <w:lang w:val="en-GB"/>
              </w:rPr>
              <w:t>ation since 2006, introduction of bundled payment for patients with diabetes, COPD/</w:t>
            </w:r>
            <w:r w:rsidR="009707EA" w:rsidRPr="00A8508C">
              <w:rPr>
                <w:rFonts w:cstheme="minorHAnsi"/>
                <w:sz w:val="18"/>
                <w:szCs w:val="18"/>
                <w:lang w:val="en-GB"/>
              </w:rPr>
              <w:t>asthma,</w:t>
            </w:r>
            <w:r w:rsidRPr="00A8508C">
              <w:rPr>
                <w:rFonts w:cstheme="minorHAnsi"/>
                <w:sz w:val="18"/>
                <w:szCs w:val="18"/>
                <w:lang w:val="en-GB"/>
              </w:rPr>
              <w:t xml:space="preserve"> and vascular problems (since 2010). In 2022 the payment method for ambulatory mental health care has been profoundly changed from payment per treatment trajectory to payment per visit. </w:t>
            </w:r>
          </w:p>
        </w:tc>
      </w:tr>
      <w:tr w:rsidR="00E51D78" w:rsidRPr="00A8508C" w14:paraId="0E6B05F0" w14:textId="77777777" w:rsidTr="001F4FBA">
        <w:tc>
          <w:tcPr>
            <w:tcW w:w="1696" w:type="dxa"/>
          </w:tcPr>
          <w:p w14:paraId="262698F0" w14:textId="6EFB474C"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Regulating care volumes </w:t>
            </w:r>
          </w:p>
        </w:tc>
        <w:tc>
          <w:tcPr>
            <w:tcW w:w="4111" w:type="dxa"/>
          </w:tcPr>
          <w:p w14:paraId="31C5F34C" w14:textId="59A6273F"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No</w:t>
            </w:r>
            <w:r w:rsidRPr="00A8508C">
              <w:rPr>
                <w:rFonts w:cstheme="minorHAnsi"/>
                <w:sz w:val="18"/>
                <w:szCs w:val="18"/>
                <w:lang w:val="en-GB"/>
              </w:rPr>
              <w:t>.</w:t>
            </w:r>
            <w:r w:rsidRPr="00A8508C">
              <w:rPr>
                <w:rFonts w:cstheme="minorHAnsi"/>
                <w:b/>
                <w:bCs/>
                <w:sz w:val="18"/>
                <w:szCs w:val="18"/>
                <w:lang w:val="en-GB"/>
              </w:rPr>
              <w:t xml:space="preserve"> </w:t>
            </w:r>
            <w:r w:rsidRPr="00A8508C">
              <w:rPr>
                <w:rFonts w:cstheme="minorHAnsi"/>
                <w:sz w:val="18"/>
                <w:szCs w:val="18"/>
                <w:lang w:val="en-GB"/>
              </w:rPr>
              <w:t xml:space="preserve">Since, private providers are mostly paid by FFS and a per-case basis retrospectively, ensuring that SHI health expenditure will match the (approved) national ceiling for SHI health expenditure is difficult. </w:t>
            </w:r>
            <w:r w:rsidR="00BD0EF2" w:rsidRPr="00A8508C">
              <w:rPr>
                <w:rFonts w:cstheme="minorHAnsi"/>
                <w:sz w:val="18"/>
                <w:szCs w:val="18"/>
                <w:lang w:val="en-GB"/>
              </w:rPr>
              <w:t>SHI try</w:t>
            </w:r>
            <w:r w:rsidRPr="00A8508C">
              <w:rPr>
                <w:rFonts w:cstheme="minorHAnsi"/>
                <w:sz w:val="18"/>
                <w:szCs w:val="18"/>
                <w:lang w:val="en-GB"/>
              </w:rPr>
              <w:t xml:space="preserve"> to keep </w:t>
            </w:r>
            <w:r w:rsidR="00BD0EF2" w:rsidRPr="00A8508C">
              <w:rPr>
                <w:rFonts w:cstheme="minorHAnsi"/>
                <w:sz w:val="18"/>
                <w:szCs w:val="18"/>
                <w:lang w:val="en-GB"/>
              </w:rPr>
              <w:t>the tariffs</w:t>
            </w:r>
            <w:r w:rsidRPr="00A8508C">
              <w:rPr>
                <w:rFonts w:cstheme="minorHAnsi"/>
                <w:sz w:val="18"/>
                <w:szCs w:val="18"/>
                <w:lang w:val="en-GB"/>
              </w:rPr>
              <w:t xml:space="preserve"> low but does not control volumes as there is still freedom of choice and no mechanism to limit supply.</w:t>
            </w:r>
          </w:p>
        </w:tc>
        <w:tc>
          <w:tcPr>
            <w:tcW w:w="4394" w:type="dxa"/>
          </w:tcPr>
          <w:p w14:paraId="121388B9"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No. </w:t>
            </w:r>
            <w:r w:rsidRPr="00A8508C">
              <w:rPr>
                <w:rFonts w:cstheme="minorHAnsi"/>
                <w:sz w:val="18"/>
                <w:szCs w:val="18"/>
                <w:lang w:val="en-GB"/>
              </w:rPr>
              <w:t>Each SHI-affiliated physician is assigned a volume per quarter consisting of the volume of standard services allocated to his medical practice and any qualification-based additional volumes. The volume is a quantity limit up to which a practice receives payment for its services at the (full) prices of the Uniform Value Scale.</w:t>
            </w:r>
          </w:p>
        </w:tc>
        <w:tc>
          <w:tcPr>
            <w:tcW w:w="4111" w:type="dxa"/>
          </w:tcPr>
          <w:p w14:paraId="1270DA15"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Partly. </w:t>
            </w:r>
            <w:r w:rsidRPr="00A8508C">
              <w:rPr>
                <w:rFonts w:cstheme="minorHAnsi"/>
                <w:sz w:val="18"/>
                <w:szCs w:val="18"/>
                <w:lang w:val="en-GB"/>
              </w:rPr>
              <w:t>For community nursing and mental health care insurers and providers negotiate contracts with expenditure caps, which put a restriction on volumes (if the cap is exceeded additional volume may not be reimbursed)</w:t>
            </w:r>
            <w:r w:rsidRPr="00A8508C">
              <w:rPr>
                <w:rFonts w:cstheme="minorHAnsi"/>
                <w:b/>
                <w:bCs/>
                <w:sz w:val="18"/>
                <w:szCs w:val="18"/>
                <w:lang w:val="en-GB"/>
              </w:rPr>
              <w:t xml:space="preserve">. </w:t>
            </w:r>
            <w:r w:rsidRPr="00A8508C">
              <w:rPr>
                <w:rFonts w:cstheme="minorHAnsi"/>
                <w:sz w:val="18"/>
                <w:szCs w:val="18"/>
                <w:lang w:val="en-GB"/>
              </w:rPr>
              <w:t xml:space="preserve">In addition, the government negotiates with provider associations separate annual macro-budgets for GP-care, community nursing and mental health care. </w:t>
            </w:r>
            <w:bookmarkStart w:id="1" w:name="_Hlk121335002"/>
            <w:r w:rsidRPr="00A8508C">
              <w:rPr>
                <w:rFonts w:cstheme="minorHAnsi"/>
                <w:sz w:val="18"/>
                <w:szCs w:val="18"/>
                <w:lang w:val="en-GB"/>
              </w:rPr>
              <w:t xml:space="preserve">These macro-budgets are laid down in sectoral agreements (in 2022 an intersectoral care agreement (IZA) was concluded, but still with </w:t>
            </w:r>
            <w:r w:rsidRPr="00A8508C">
              <w:rPr>
                <w:rFonts w:cstheme="minorHAnsi"/>
                <w:sz w:val="18"/>
                <w:szCs w:val="18"/>
                <w:lang w:val="en-GB"/>
              </w:rPr>
              <w:lastRenderedPageBreak/>
              <w:t>sectoral macro-budgets). In case a macro-budget is exceeded, the government can impose a uniform fine to all providers in the same sector in proportion to their revenue.</w:t>
            </w:r>
            <w:bookmarkEnd w:id="1"/>
          </w:p>
        </w:tc>
      </w:tr>
      <w:tr w:rsidR="00E51D78" w:rsidRPr="00A8508C" w14:paraId="366BCFED" w14:textId="77777777" w:rsidTr="00C84DEC">
        <w:tc>
          <w:tcPr>
            <w:tcW w:w="1696" w:type="dxa"/>
            <w:tcBorders>
              <w:bottom w:val="single" w:sz="4" w:space="0" w:color="auto"/>
            </w:tcBorders>
          </w:tcPr>
          <w:p w14:paraId="3ACF8568" w14:textId="38EB345B" w:rsidR="00E51D78" w:rsidRPr="00A8508C" w:rsidRDefault="00E51D78" w:rsidP="001F4FBA">
            <w:pPr>
              <w:spacing w:after="60"/>
              <w:rPr>
                <w:rFonts w:cstheme="minorHAnsi"/>
                <w:sz w:val="18"/>
                <w:szCs w:val="18"/>
                <w:lang w:val="en-GB"/>
              </w:rPr>
            </w:pPr>
            <w:r w:rsidRPr="00A8508C">
              <w:rPr>
                <w:rFonts w:cstheme="minorHAnsi"/>
                <w:b/>
                <w:bCs/>
                <w:sz w:val="18"/>
                <w:szCs w:val="18"/>
                <w:lang w:val="en-GB"/>
              </w:rPr>
              <w:lastRenderedPageBreak/>
              <w:t xml:space="preserve">Regulating supply </w:t>
            </w:r>
          </w:p>
        </w:tc>
        <w:tc>
          <w:tcPr>
            <w:tcW w:w="4111" w:type="dxa"/>
            <w:tcBorders>
              <w:bottom w:val="single" w:sz="4" w:space="0" w:color="auto"/>
            </w:tcBorders>
          </w:tcPr>
          <w:p w14:paraId="463DA99E"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No. </w:t>
            </w:r>
            <w:r w:rsidRPr="00A8508C">
              <w:rPr>
                <w:rFonts w:cstheme="minorHAnsi"/>
                <w:sz w:val="18"/>
                <w:szCs w:val="18"/>
                <w:lang w:val="en-GB"/>
              </w:rPr>
              <w:t>The Ministry of Health decides on the supply: number of doctors, number of nurses, amount of heavy medical equipment, including expensive medical technology, etc.</w:t>
            </w:r>
          </w:p>
          <w:p w14:paraId="46A0ED23" w14:textId="5CA9EF9A"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Important changes/recent reforms: </w:t>
            </w:r>
            <w:r w:rsidRPr="00E56049">
              <w:rPr>
                <w:rFonts w:cstheme="minorHAnsi"/>
                <w:sz w:val="18"/>
                <w:szCs w:val="18"/>
                <w:lang w:val="en-GB"/>
              </w:rPr>
              <w:t>SHI supports e</w:t>
            </w:r>
            <w:r w:rsidRPr="00A8508C">
              <w:rPr>
                <w:rFonts w:cstheme="minorHAnsi"/>
                <w:sz w:val="18"/>
                <w:szCs w:val="18"/>
                <w:lang w:val="en-GB"/>
              </w:rPr>
              <w:t xml:space="preserve">fforts for task shifting and </w:t>
            </w:r>
            <w:r w:rsidR="0097263F" w:rsidRPr="00A8508C">
              <w:rPr>
                <w:rFonts w:cstheme="minorHAnsi"/>
                <w:sz w:val="18"/>
                <w:szCs w:val="18"/>
                <w:lang w:val="en-GB"/>
              </w:rPr>
              <w:t>better geographic</w:t>
            </w:r>
            <w:r w:rsidRPr="00A8508C">
              <w:rPr>
                <w:rFonts w:cstheme="minorHAnsi"/>
                <w:sz w:val="18"/>
                <w:szCs w:val="18"/>
                <w:lang w:val="en-GB"/>
              </w:rPr>
              <w:t xml:space="preserve"> distribution of providers mostly by carrots (additional funding) for healthcare </w:t>
            </w:r>
            <w:r w:rsidR="006717C4" w:rsidRPr="00A8508C">
              <w:rPr>
                <w:rFonts w:cstheme="minorHAnsi"/>
                <w:sz w:val="18"/>
                <w:szCs w:val="18"/>
                <w:lang w:val="en-GB"/>
              </w:rPr>
              <w:t>centres</w:t>
            </w:r>
            <w:r w:rsidRPr="00A8508C">
              <w:rPr>
                <w:rFonts w:cstheme="minorHAnsi"/>
                <w:sz w:val="18"/>
                <w:szCs w:val="18"/>
                <w:lang w:val="en-GB"/>
              </w:rPr>
              <w:t xml:space="preserve"> and physicians. </w:t>
            </w:r>
          </w:p>
        </w:tc>
        <w:tc>
          <w:tcPr>
            <w:tcW w:w="4394" w:type="dxa"/>
            <w:tcBorders>
              <w:bottom w:val="single" w:sz="4" w:space="0" w:color="auto"/>
            </w:tcBorders>
          </w:tcPr>
          <w:p w14:paraId="26B63048"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Yes. </w:t>
            </w:r>
            <w:r w:rsidRPr="00A8508C">
              <w:rPr>
                <w:rFonts w:cstheme="minorHAnsi"/>
                <w:sz w:val="18"/>
                <w:szCs w:val="18"/>
                <w:lang w:val="en-GB"/>
              </w:rPr>
              <w:t xml:space="preserve">General rules according to federal law; details delegated to corporatist institutions at the federal level. Usually, </w:t>
            </w:r>
            <w:r w:rsidRPr="00A8508C">
              <w:rPr>
                <w:rFonts w:cstheme="minorHAnsi"/>
                <w:sz w:val="18"/>
                <w:szCs w:val="18"/>
                <w:u w:val="single"/>
                <w:lang w:val="en-GB"/>
              </w:rPr>
              <w:t>collective care contracts:</w:t>
            </w:r>
            <w:r w:rsidRPr="00A8508C">
              <w:rPr>
                <w:rFonts w:cstheme="minorHAnsi"/>
                <w:sz w:val="18"/>
                <w:szCs w:val="18"/>
                <w:lang w:val="en-GB"/>
              </w:rPr>
              <w:t xml:space="preserve"> Determined by negotiations between regional associations of physicians and sickness funds.</w:t>
            </w:r>
            <w:r w:rsidRPr="00A8508C">
              <w:rPr>
                <w:rFonts w:cstheme="minorHAnsi"/>
                <w:b/>
                <w:bCs/>
                <w:sz w:val="18"/>
                <w:szCs w:val="18"/>
                <w:lang w:val="en-GB"/>
              </w:rPr>
              <w:t xml:space="preserve"> </w:t>
            </w:r>
            <w:r w:rsidRPr="00A8508C">
              <w:rPr>
                <w:rFonts w:cstheme="minorHAnsi"/>
                <w:sz w:val="18"/>
                <w:szCs w:val="18"/>
                <w:lang w:val="en-GB"/>
              </w:rPr>
              <w:t>Physicians’ associations must guarantee availability of ambulatory services, ensuring that physicians from all specialties are available according to community needs and are located within a reasonable distance. Planning of SHI providers and services is the responsibility of the FJC and physicians’ regional associations.</w:t>
            </w:r>
          </w:p>
        </w:tc>
        <w:tc>
          <w:tcPr>
            <w:tcW w:w="4111" w:type="dxa"/>
            <w:tcBorders>
              <w:bottom w:val="single" w:sz="4" w:space="0" w:color="auto"/>
            </w:tcBorders>
          </w:tcPr>
          <w:p w14:paraId="36670875"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Indirectly via selective contracting.</w:t>
            </w:r>
          </w:p>
          <w:p w14:paraId="29BC433A"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Selective contracting has been slightly increased since 2010. Especially since 2015 there is a growing entry of small providers of nursing care and mental health care, voluntary choosing not to contract with insurers. </w:t>
            </w:r>
          </w:p>
        </w:tc>
      </w:tr>
      <w:tr w:rsidR="00E51D78" w:rsidRPr="00A8508C" w14:paraId="0787C3F0" w14:textId="77777777" w:rsidTr="00C84DEC">
        <w:tc>
          <w:tcPr>
            <w:tcW w:w="1696" w:type="dxa"/>
            <w:tcBorders>
              <w:bottom w:val="single" w:sz="4" w:space="0" w:color="auto"/>
            </w:tcBorders>
          </w:tcPr>
          <w:p w14:paraId="52D46B04" w14:textId="34CB6D12" w:rsidR="00E51D78" w:rsidRPr="00A8508C" w:rsidRDefault="00F52C6F" w:rsidP="001F4FBA">
            <w:pPr>
              <w:spacing w:after="60"/>
              <w:rPr>
                <w:rFonts w:cstheme="minorHAnsi"/>
                <w:b/>
                <w:bCs/>
                <w:sz w:val="18"/>
                <w:szCs w:val="18"/>
                <w:lang w:val="en-GB"/>
              </w:rPr>
            </w:pPr>
            <w:r w:rsidRPr="00A8508C">
              <w:rPr>
                <w:rFonts w:cstheme="minorHAnsi"/>
                <w:b/>
                <w:bCs/>
                <w:sz w:val="18"/>
                <w:szCs w:val="18"/>
                <w:lang w:val="en-GB"/>
              </w:rPr>
              <w:t>Assuring</w:t>
            </w:r>
            <w:r w:rsidR="00E51D78" w:rsidRPr="00A8508C">
              <w:rPr>
                <w:rFonts w:cstheme="minorHAnsi"/>
                <w:b/>
                <w:bCs/>
                <w:sz w:val="18"/>
                <w:szCs w:val="18"/>
                <w:lang w:val="en-GB"/>
              </w:rPr>
              <w:t xml:space="preserve"> quality of care</w:t>
            </w:r>
          </w:p>
          <w:p w14:paraId="6114985A" w14:textId="11D27B64" w:rsidR="00DD0435" w:rsidRPr="00A8508C" w:rsidRDefault="00DD0435" w:rsidP="001F4FBA">
            <w:pPr>
              <w:spacing w:after="60"/>
              <w:rPr>
                <w:rFonts w:cstheme="minorHAnsi"/>
                <w:sz w:val="18"/>
                <w:szCs w:val="18"/>
                <w:lang w:val="en-GB"/>
              </w:rPr>
            </w:pPr>
          </w:p>
        </w:tc>
        <w:tc>
          <w:tcPr>
            <w:tcW w:w="4111" w:type="dxa"/>
            <w:tcBorders>
              <w:bottom w:val="single" w:sz="4" w:space="0" w:color="auto"/>
            </w:tcBorders>
          </w:tcPr>
          <w:p w14:paraId="6E25AC0E" w14:textId="222072B1"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xml:space="preserve"> P4P for GPs and in primary care settings: SHI offers individual contracts on a voluntary basis to GPs. Since 2011, this P4P scheme was incorporated into the physicians’ collective bargaining agreement and extended to specialists. P4P scheme has extended gradually to propose 29 quality indicators with intermediate and final targets. Indicators focus mostly on prevention (e.g., vaccination and cancer screening</w:t>
            </w:r>
            <w:r w:rsidR="0097263F" w:rsidRPr="00A8508C">
              <w:rPr>
                <w:rFonts w:cstheme="minorHAnsi"/>
                <w:sz w:val="18"/>
                <w:szCs w:val="18"/>
                <w:lang w:val="en-GB"/>
              </w:rPr>
              <w:t>), follow</w:t>
            </w:r>
            <w:r w:rsidRPr="00A8508C">
              <w:rPr>
                <w:rFonts w:cstheme="minorHAnsi"/>
                <w:sz w:val="18"/>
                <w:szCs w:val="18"/>
                <w:lang w:val="en-GB"/>
              </w:rPr>
              <w:t>-up of chronic disorders (e.g., cardiovascular risk) and generic prescription.</w:t>
            </w:r>
          </w:p>
        </w:tc>
        <w:tc>
          <w:tcPr>
            <w:tcW w:w="4394" w:type="dxa"/>
            <w:tcBorders>
              <w:bottom w:val="single" w:sz="4" w:space="0" w:color="auto"/>
            </w:tcBorders>
          </w:tcPr>
          <w:p w14:paraId="36467C7D" w14:textId="7777777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Partly. </w:t>
            </w:r>
            <w:r w:rsidRPr="00A8508C">
              <w:rPr>
                <w:rFonts w:cstheme="minorHAnsi"/>
                <w:sz w:val="18"/>
                <w:szCs w:val="18"/>
                <w:lang w:val="en-GB"/>
              </w:rPr>
              <w:t>FJC determines mandatory quality assurance measures, which are then further developed in collective contracts.</w:t>
            </w:r>
          </w:p>
          <w:p w14:paraId="4922945C" w14:textId="111797B4" w:rsidR="00E51D78" w:rsidRPr="00A8508C" w:rsidRDefault="00E51D78" w:rsidP="001F4FBA">
            <w:pPr>
              <w:spacing w:after="60"/>
              <w:rPr>
                <w:rFonts w:cstheme="minorHAnsi"/>
                <w:sz w:val="18"/>
                <w:szCs w:val="18"/>
                <w:lang w:val="en-GB"/>
              </w:rPr>
            </w:pPr>
            <w:r w:rsidRPr="00A8508C">
              <w:rPr>
                <w:rFonts w:cstheme="minorHAnsi"/>
                <w:sz w:val="18"/>
                <w:szCs w:val="18"/>
                <w:lang w:val="en-GB"/>
              </w:rPr>
              <w:t xml:space="preserve">Individual sickness funds must offer their insureds GP </w:t>
            </w:r>
            <w:r w:rsidR="006717C4" w:rsidRPr="00A8508C">
              <w:rPr>
                <w:rFonts w:cstheme="minorHAnsi"/>
                <w:sz w:val="18"/>
                <w:szCs w:val="18"/>
                <w:lang w:val="en-GB"/>
              </w:rPr>
              <w:t>centred</w:t>
            </w:r>
            <w:r w:rsidRPr="00A8508C">
              <w:rPr>
                <w:rFonts w:cstheme="minorHAnsi"/>
                <w:sz w:val="18"/>
                <w:szCs w:val="18"/>
                <w:lang w:val="en-GB"/>
              </w:rPr>
              <w:t xml:space="preserve"> programs. They can offer disease management programs according to the guidelines of the FJC. Further elements include specific integrated care programs that promote enhancing the quality of care and efficiency across sectors. Alternative payment models out of collective contracts are possible. Most programs are indications based, while population-based programs are still rather an exception.</w:t>
            </w:r>
          </w:p>
          <w:p w14:paraId="4EA27C2A" w14:textId="4FBC167F" w:rsidR="007F1A03"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Several options of selective contracts including quality elements and new alternative payment models are possible. Nevertheless, participating is voluntary for insureds.</w:t>
            </w:r>
          </w:p>
        </w:tc>
        <w:tc>
          <w:tcPr>
            <w:tcW w:w="4111" w:type="dxa"/>
            <w:tcBorders>
              <w:bottom w:val="single" w:sz="4" w:space="0" w:color="auto"/>
            </w:tcBorders>
          </w:tcPr>
          <w:p w14:paraId="4A8242EE" w14:textId="3E2C7E97"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P4P elements in payment for GPs, physical therapists, bundled payments for chronic diseases (diabetes, asthma/</w:t>
            </w:r>
            <w:r w:rsidR="00C938A8">
              <w:rPr>
                <w:rFonts w:cstheme="minorHAnsi"/>
                <w:sz w:val="18"/>
                <w:szCs w:val="18"/>
                <w:lang w:val="en-GB"/>
              </w:rPr>
              <w:t>COPD</w:t>
            </w:r>
            <w:r w:rsidRPr="00A8508C">
              <w:rPr>
                <w:rFonts w:cstheme="minorHAnsi"/>
                <w:sz w:val="18"/>
                <w:szCs w:val="18"/>
                <w:lang w:val="en-GB"/>
              </w:rPr>
              <w:t>, vascular problems)</w:t>
            </w:r>
            <w:r w:rsidR="00C938A8">
              <w:rPr>
                <w:rFonts w:cstheme="minorHAnsi"/>
                <w:sz w:val="18"/>
                <w:szCs w:val="18"/>
                <w:lang w:val="en-GB"/>
              </w:rPr>
              <w:t>.</w:t>
            </w:r>
          </w:p>
          <w:p w14:paraId="024E7EFA" w14:textId="12ACB083" w:rsidR="00E51D78" w:rsidRPr="00A8508C" w:rsidRDefault="00E51D78" w:rsidP="001F4FBA">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Gradually more focus on quality in contracting process, but still limited</w:t>
            </w:r>
            <w:r w:rsidR="000B1571" w:rsidRPr="00A8508C">
              <w:rPr>
                <w:rFonts w:cstheme="minorHAnsi"/>
                <w:sz w:val="18"/>
                <w:szCs w:val="18"/>
                <w:lang w:val="en-GB"/>
              </w:rPr>
              <w:t>.</w:t>
            </w:r>
          </w:p>
          <w:p w14:paraId="186A007C" w14:textId="77777777" w:rsidR="00E51D78" w:rsidRPr="00A8508C" w:rsidRDefault="00E51D78" w:rsidP="001F4FBA">
            <w:pPr>
              <w:spacing w:after="60"/>
              <w:rPr>
                <w:rFonts w:cstheme="minorHAnsi"/>
                <w:sz w:val="18"/>
                <w:szCs w:val="18"/>
                <w:lang w:val="en-GB"/>
              </w:rPr>
            </w:pPr>
          </w:p>
          <w:p w14:paraId="35A1495A" w14:textId="77777777" w:rsidR="00E51D78" w:rsidRPr="00A8508C" w:rsidRDefault="00E51D78" w:rsidP="001F4FBA">
            <w:pPr>
              <w:spacing w:after="60"/>
              <w:rPr>
                <w:rFonts w:cstheme="minorHAnsi"/>
                <w:sz w:val="18"/>
                <w:szCs w:val="18"/>
                <w:lang w:val="en-GB"/>
              </w:rPr>
            </w:pPr>
          </w:p>
        </w:tc>
      </w:tr>
    </w:tbl>
    <w:p w14:paraId="45E4B3E4" w14:textId="77777777" w:rsidR="00264F0A" w:rsidRDefault="00264F0A" w:rsidP="00CB6909">
      <w:pPr>
        <w:autoSpaceDE w:val="0"/>
        <w:autoSpaceDN w:val="0"/>
        <w:adjustRightInd w:val="0"/>
        <w:spacing w:line="276" w:lineRule="auto"/>
        <w:rPr>
          <w:rFonts w:cstheme="minorHAnsi"/>
          <w:sz w:val="24"/>
          <w:szCs w:val="24"/>
          <w:lang w:val="en-GB"/>
        </w:rPr>
      </w:pPr>
    </w:p>
    <w:p w14:paraId="51861907" w14:textId="77777777" w:rsidR="000C4A73" w:rsidRDefault="000C4A73" w:rsidP="00CB6909">
      <w:pPr>
        <w:autoSpaceDE w:val="0"/>
        <w:autoSpaceDN w:val="0"/>
        <w:adjustRightInd w:val="0"/>
        <w:spacing w:line="276" w:lineRule="auto"/>
        <w:rPr>
          <w:rFonts w:cstheme="minorHAnsi"/>
          <w:sz w:val="24"/>
          <w:szCs w:val="24"/>
          <w:lang w:val="en-GB"/>
        </w:rPr>
      </w:pPr>
    </w:p>
    <w:tbl>
      <w:tblPr>
        <w:tblStyle w:val="Tabellenraster"/>
        <w:tblW w:w="14312" w:type="dxa"/>
        <w:tblLook w:val="04A0" w:firstRow="1" w:lastRow="0" w:firstColumn="1" w:lastColumn="0" w:noHBand="0" w:noVBand="1"/>
      </w:tblPr>
      <w:tblGrid>
        <w:gridCol w:w="1696"/>
        <w:gridCol w:w="4111"/>
        <w:gridCol w:w="4394"/>
        <w:gridCol w:w="4111"/>
      </w:tblGrid>
      <w:tr w:rsidR="00B47B02" w:rsidRPr="00A8508C" w14:paraId="018B27E3" w14:textId="77777777" w:rsidTr="00DA4F6C">
        <w:trPr>
          <w:tblHeader/>
        </w:trPr>
        <w:tc>
          <w:tcPr>
            <w:tcW w:w="1696" w:type="dxa"/>
            <w:shd w:val="clear" w:color="auto" w:fill="BFBFBF" w:themeFill="background1" w:themeFillShade="BF"/>
          </w:tcPr>
          <w:p w14:paraId="608E051B" w14:textId="77777777" w:rsidR="00B47B02" w:rsidRPr="00A8508C" w:rsidRDefault="00B47B02" w:rsidP="00DA4F6C">
            <w:pPr>
              <w:spacing w:after="60"/>
              <w:rPr>
                <w:rFonts w:cstheme="minorHAnsi"/>
                <w:b/>
                <w:bCs/>
                <w:sz w:val="18"/>
                <w:szCs w:val="18"/>
                <w:lang w:val="en-GB"/>
              </w:rPr>
            </w:pPr>
            <w:r w:rsidRPr="00A8508C">
              <w:rPr>
                <w:rFonts w:cstheme="minorHAnsi"/>
                <w:b/>
                <w:bCs/>
                <w:sz w:val="18"/>
                <w:szCs w:val="18"/>
                <w:lang w:val="en-GB"/>
              </w:rPr>
              <w:t xml:space="preserve">Role of insurers in </w:t>
            </w:r>
          </w:p>
        </w:tc>
        <w:tc>
          <w:tcPr>
            <w:tcW w:w="4111" w:type="dxa"/>
            <w:shd w:val="clear" w:color="auto" w:fill="BFBFBF" w:themeFill="background1" w:themeFillShade="BF"/>
          </w:tcPr>
          <w:p w14:paraId="4366D84A" w14:textId="77777777" w:rsidR="00B47B02" w:rsidRPr="00A8508C" w:rsidRDefault="00B47B02" w:rsidP="00DA4F6C">
            <w:pPr>
              <w:spacing w:after="60"/>
              <w:rPr>
                <w:rFonts w:cstheme="minorHAnsi"/>
                <w:b/>
                <w:bCs/>
                <w:sz w:val="18"/>
                <w:szCs w:val="18"/>
                <w:lang w:val="en-GB"/>
              </w:rPr>
            </w:pPr>
            <w:r w:rsidRPr="00A8508C">
              <w:rPr>
                <w:rFonts w:cstheme="minorHAnsi"/>
                <w:b/>
                <w:bCs/>
                <w:sz w:val="18"/>
                <w:szCs w:val="18"/>
                <w:lang w:val="en-GB"/>
              </w:rPr>
              <w:t>France</w:t>
            </w:r>
          </w:p>
        </w:tc>
        <w:tc>
          <w:tcPr>
            <w:tcW w:w="4394" w:type="dxa"/>
            <w:shd w:val="clear" w:color="auto" w:fill="BFBFBF" w:themeFill="background1" w:themeFillShade="BF"/>
          </w:tcPr>
          <w:p w14:paraId="5B8475E8" w14:textId="77777777" w:rsidR="00B47B02" w:rsidRPr="00A8508C" w:rsidRDefault="00B47B02" w:rsidP="00DA4F6C">
            <w:pPr>
              <w:spacing w:after="60"/>
              <w:rPr>
                <w:rFonts w:cstheme="minorHAnsi"/>
                <w:b/>
                <w:bCs/>
                <w:sz w:val="18"/>
                <w:szCs w:val="18"/>
                <w:lang w:val="en-GB"/>
              </w:rPr>
            </w:pPr>
            <w:r w:rsidRPr="00A8508C">
              <w:rPr>
                <w:rFonts w:cstheme="minorHAnsi"/>
                <w:b/>
                <w:bCs/>
                <w:sz w:val="18"/>
                <w:szCs w:val="18"/>
                <w:lang w:val="en-GB"/>
              </w:rPr>
              <w:t>Germany</w:t>
            </w:r>
          </w:p>
        </w:tc>
        <w:tc>
          <w:tcPr>
            <w:tcW w:w="4111" w:type="dxa"/>
            <w:shd w:val="clear" w:color="auto" w:fill="BFBFBF" w:themeFill="background1" w:themeFillShade="BF"/>
          </w:tcPr>
          <w:p w14:paraId="03AC3C1F" w14:textId="77777777" w:rsidR="00B47B02" w:rsidRPr="00A8508C" w:rsidRDefault="00B47B02" w:rsidP="00DA4F6C">
            <w:pPr>
              <w:spacing w:after="60"/>
              <w:rPr>
                <w:rFonts w:cstheme="minorHAnsi"/>
                <w:b/>
                <w:bCs/>
                <w:sz w:val="18"/>
                <w:szCs w:val="18"/>
                <w:lang w:val="en-GB"/>
              </w:rPr>
            </w:pPr>
            <w:r w:rsidRPr="00A8508C">
              <w:rPr>
                <w:rFonts w:cstheme="minorHAnsi"/>
                <w:b/>
                <w:bCs/>
                <w:sz w:val="18"/>
                <w:szCs w:val="18"/>
                <w:lang w:val="en-GB"/>
              </w:rPr>
              <w:t>Netherlands</w:t>
            </w:r>
          </w:p>
        </w:tc>
      </w:tr>
      <w:tr w:rsidR="00B47B02" w:rsidRPr="00A8508C" w14:paraId="77C44DAD" w14:textId="77777777" w:rsidTr="00DA4F6C">
        <w:trPr>
          <w:cantSplit/>
          <w:trHeight w:val="192"/>
        </w:trPr>
        <w:tc>
          <w:tcPr>
            <w:tcW w:w="14312" w:type="dxa"/>
            <w:gridSpan w:val="4"/>
            <w:shd w:val="clear" w:color="auto" w:fill="E7E6E6" w:themeFill="background2"/>
          </w:tcPr>
          <w:p w14:paraId="5285F2E6" w14:textId="6396B2B2" w:rsidR="00B47B02" w:rsidRPr="00A8508C" w:rsidRDefault="00B47B02" w:rsidP="00DA4F6C">
            <w:pPr>
              <w:tabs>
                <w:tab w:val="left" w:pos="7230"/>
              </w:tabs>
              <w:spacing w:after="60"/>
              <w:rPr>
                <w:rFonts w:cstheme="minorHAnsi"/>
                <w:b/>
                <w:bCs/>
                <w:sz w:val="18"/>
                <w:szCs w:val="18"/>
                <w:lang w:val="en-GB"/>
              </w:rPr>
            </w:pPr>
            <w:r w:rsidRPr="00A8508C">
              <w:rPr>
                <w:rFonts w:cstheme="minorHAnsi"/>
                <w:b/>
                <w:bCs/>
                <w:sz w:val="18"/>
                <w:szCs w:val="18"/>
                <w:lang w:val="en-GB"/>
              </w:rPr>
              <w:t>Hospital sector</w:t>
            </w:r>
            <w:r w:rsidRPr="00A8508C">
              <w:rPr>
                <w:rFonts w:cstheme="minorHAnsi"/>
                <w:b/>
                <w:bCs/>
                <w:sz w:val="18"/>
                <w:szCs w:val="18"/>
                <w:lang w:val="en-GB"/>
              </w:rPr>
              <w:tab/>
            </w:r>
          </w:p>
        </w:tc>
      </w:tr>
      <w:tr w:rsidR="000C4A73" w:rsidRPr="00A8508C" w14:paraId="31D8A169" w14:textId="77777777" w:rsidTr="00DA4F6C">
        <w:trPr>
          <w:cantSplit/>
          <w:trHeight w:val="1134"/>
        </w:trPr>
        <w:tc>
          <w:tcPr>
            <w:tcW w:w="1696" w:type="dxa"/>
            <w:tcBorders>
              <w:top w:val="single" w:sz="4" w:space="0" w:color="auto"/>
            </w:tcBorders>
          </w:tcPr>
          <w:p w14:paraId="3D8C730A"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Price setting</w:t>
            </w:r>
          </w:p>
        </w:tc>
        <w:tc>
          <w:tcPr>
            <w:tcW w:w="4111" w:type="dxa"/>
            <w:tcBorders>
              <w:top w:val="single" w:sz="4" w:space="0" w:color="auto"/>
            </w:tcBorders>
          </w:tcPr>
          <w:p w14:paraId="5026141C"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No. </w:t>
            </w:r>
            <w:r w:rsidRPr="00A8508C">
              <w:rPr>
                <w:rFonts w:cstheme="minorHAnsi"/>
                <w:sz w:val="18"/>
                <w:szCs w:val="18"/>
                <w:lang w:val="en-GB"/>
              </w:rPr>
              <w:t>All hospitals, except for long-term and psychiatry, are funded using DRGs, Prices are set by the Ministry of Health considering the cost scale and budget of the acute hospital sector (ONDAM target expenditure) and public health priorities.</w:t>
            </w:r>
          </w:p>
        </w:tc>
        <w:tc>
          <w:tcPr>
            <w:tcW w:w="4394" w:type="dxa"/>
            <w:tcBorders>
              <w:top w:val="single" w:sz="4" w:space="0" w:color="auto"/>
            </w:tcBorders>
          </w:tcPr>
          <w:p w14:paraId="5FDE48F7"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Partly.</w:t>
            </w:r>
            <w:r w:rsidRPr="00A8508C">
              <w:rPr>
                <w:rFonts w:cstheme="minorHAnsi"/>
                <w:sz w:val="18"/>
                <w:szCs w:val="18"/>
                <w:lang w:val="en-GB"/>
              </w:rPr>
              <w:t xml:space="preserve"> Operating costs by sickness funds are paid mainly via case-based payments (DRGs). DRG prices are determined by multiplying the countrywide relative weight of a DRG by a state-wide price. Prices for new diagnostic or treatment methods can be negotiated between hospitals and sickness funds.</w:t>
            </w:r>
          </w:p>
          <w:p w14:paraId="6DA220EA"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Selective contracting in the context of integrated care is possible.</w:t>
            </w:r>
          </w:p>
        </w:tc>
        <w:tc>
          <w:tcPr>
            <w:tcW w:w="4111" w:type="dxa"/>
            <w:tcBorders>
              <w:top w:val="single" w:sz="4" w:space="0" w:color="auto"/>
            </w:tcBorders>
          </w:tcPr>
          <w:p w14:paraId="7FD5B481"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xml:space="preserve"> Prices are freely negotiable for on average 70 % of hospital revenues; for complex hospital products (Diagnosis Treatment Combinations) maximum prices are set by the Dutch Healthcare Authority (</w:t>
            </w:r>
            <w:proofErr w:type="spellStart"/>
            <w:r w:rsidRPr="00A8508C">
              <w:rPr>
                <w:rFonts w:cstheme="minorHAnsi"/>
                <w:sz w:val="18"/>
                <w:szCs w:val="18"/>
                <w:lang w:val="en-GB"/>
              </w:rPr>
              <w:t>NZa</w:t>
            </w:r>
            <w:proofErr w:type="spellEnd"/>
            <w:r w:rsidRPr="00A8508C">
              <w:rPr>
                <w:rFonts w:cstheme="minorHAnsi"/>
                <w:sz w:val="18"/>
                <w:szCs w:val="18"/>
                <w:lang w:val="en-GB"/>
              </w:rPr>
              <w:t>). The government can enforce a macro budget if total hospital expenditure exceeds this budget, by imposing a fine to all hospitals (as a proportion of their revenue).</w:t>
            </w:r>
          </w:p>
          <w:p w14:paraId="447AB0AC"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Yes, gradual price liberalisation since 2006. Since 2015 payments for self-employed hospital-based medical specialists have been integrated in hospital product prices.  </w:t>
            </w:r>
          </w:p>
        </w:tc>
      </w:tr>
      <w:tr w:rsidR="000C4A73" w:rsidRPr="00A8508C" w14:paraId="13B3A3AF" w14:textId="77777777" w:rsidTr="00DA4F6C">
        <w:tc>
          <w:tcPr>
            <w:tcW w:w="1696" w:type="dxa"/>
          </w:tcPr>
          <w:p w14:paraId="5EB4F456"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Regulating care volumes </w:t>
            </w:r>
          </w:p>
        </w:tc>
        <w:tc>
          <w:tcPr>
            <w:tcW w:w="4111" w:type="dxa"/>
          </w:tcPr>
          <w:p w14:paraId="5F0E741D" w14:textId="77777777" w:rsidR="000C4A73" w:rsidRPr="00A8508C" w:rsidRDefault="000C4A73" w:rsidP="00DA4F6C">
            <w:pPr>
              <w:spacing w:after="60"/>
              <w:rPr>
                <w:rFonts w:cstheme="minorHAnsi"/>
                <w:b/>
                <w:bCs/>
                <w:sz w:val="18"/>
                <w:szCs w:val="18"/>
                <w:lang w:val="en-GB"/>
              </w:rPr>
            </w:pPr>
            <w:r w:rsidRPr="00A8508C">
              <w:rPr>
                <w:rFonts w:cstheme="minorHAnsi"/>
                <w:b/>
                <w:bCs/>
                <w:sz w:val="18"/>
                <w:szCs w:val="18"/>
                <w:lang w:val="en-GB"/>
              </w:rPr>
              <w:t>No.</w:t>
            </w:r>
          </w:p>
        </w:tc>
        <w:tc>
          <w:tcPr>
            <w:tcW w:w="4394" w:type="dxa"/>
          </w:tcPr>
          <w:p w14:paraId="48895374"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Indirectly. </w:t>
            </w:r>
            <w:r w:rsidRPr="00A8508C">
              <w:rPr>
                <w:rFonts w:cstheme="minorHAnsi"/>
                <w:sz w:val="18"/>
                <w:szCs w:val="18"/>
                <w:lang w:val="en-GB"/>
              </w:rPr>
              <w:t xml:space="preserve">Case volumes are part of annual budget negotiations between individual hospitals and sickness funds. Deviations from the agreed budget are only partially compensated. </w:t>
            </w:r>
          </w:p>
          <w:p w14:paraId="57535797"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Introduction of a fixed cost degression deduction as an instrument against medically not indicated treatments. Hospitals that provide more services than previously agreed are to have this share deducted from the additional services billed. </w:t>
            </w:r>
          </w:p>
        </w:tc>
        <w:tc>
          <w:tcPr>
            <w:tcW w:w="4111" w:type="dxa"/>
          </w:tcPr>
          <w:p w14:paraId="33541C84"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xml:space="preserve"> hospital budgets or expenditure caps are negotiated in almost all hospital-insurer contracts</w:t>
            </w:r>
            <w:r>
              <w:rPr>
                <w:rFonts w:cstheme="minorHAnsi"/>
                <w:sz w:val="18"/>
                <w:szCs w:val="18"/>
                <w:lang w:val="en-GB"/>
              </w:rPr>
              <w:t>.</w:t>
            </w:r>
            <w:r w:rsidRPr="00A8508C">
              <w:rPr>
                <w:rFonts w:cstheme="minorHAnsi"/>
                <w:sz w:val="18"/>
                <w:szCs w:val="18"/>
                <w:lang w:val="en-GB"/>
              </w:rPr>
              <w:t xml:space="preserve"> </w:t>
            </w:r>
          </w:p>
          <w:p w14:paraId="3CD6B391"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Macro budgets negotiated between government, </w:t>
            </w:r>
            <w:proofErr w:type="gramStart"/>
            <w:r w:rsidRPr="00A8508C">
              <w:rPr>
                <w:rFonts w:cstheme="minorHAnsi"/>
                <w:sz w:val="18"/>
                <w:szCs w:val="18"/>
                <w:lang w:val="en-GB"/>
              </w:rPr>
              <w:t>provider</w:t>
            </w:r>
            <w:proofErr w:type="gramEnd"/>
            <w:r w:rsidRPr="00A8508C">
              <w:rPr>
                <w:rFonts w:cstheme="minorHAnsi"/>
                <w:sz w:val="18"/>
                <w:szCs w:val="18"/>
                <w:lang w:val="en-GB"/>
              </w:rPr>
              <w:t xml:space="preserve"> and insurer associations since 2012; these macro budgets were an important driver for the agreements about global budgets or expenditure caps in individual hospital-insurer contracts.</w:t>
            </w:r>
          </w:p>
        </w:tc>
      </w:tr>
      <w:tr w:rsidR="000C4A73" w:rsidRPr="00A8508C" w14:paraId="50E44ACB" w14:textId="77777777" w:rsidTr="00DA4F6C">
        <w:tc>
          <w:tcPr>
            <w:tcW w:w="1696" w:type="dxa"/>
          </w:tcPr>
          <w:p w14:paraId="6D9B3A87"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Regulating supply </w:t>
            </w:r>
          </w:p>
        </w:tc>
        <w:tc>
          <w:tcPr>
            <w:tcW w:w="4111" w:type="dxa"/>
          </w:tcPr>
          <w:p w14:paraId="77213198"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No. </w:t>
            </w:r>
            <w:r w:rsidRPr="00A8508C">
              <w:rPr>
                <w:rFonts w:cstheme="minorHAnsi"/>
                <w:sz w:val="18"/>
                <w:szCs w:val="18"/>
                <w:lang w:val="en-GB"/>
              </w:rPr>
              <w:t>The Ministry of Health decides on the supply: number of doctors, number of nurses, number of hospital beds, amount of heavy medical equipment, including expensive medical technology, etc.</w:t>
            </w:r>
          </w:p>
        </w:tc>
        <w:tc>
          <w:tcPr>
            <w:tcW w:w="4394" w:type="dxa"/>
          </w:tcPr>
          <w:p w14:paraId="4F788B6E"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Partly. </w:t>
            </w:r>
            <w:r w:rsidRPr="00A8508C">
              <w:rPr>
                <w:rFonts w:cstheme="minorHAnsi"/>
                <w:sz w:val="18"/>
                <w:szCs w:val="18"/>
                <w:lang w:val="en-GB"/>
              </w:rPr>
              <w:t xml:space="preserve">Planning of hospitals' inpatient care (location and size of hospitals, often number of beds) are carried out by ministries of health at state level (in the case of university hospitals by the ministries of science) based on the federal legal framework. Under certain circumstances, sickness funds can contract those hospitals not included in a state hospital plan. </w:t>
            </w:r>
          </w:p>
          <w:p w14:paraId="5E89D480"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FJC determines lower limits for nursing staff in hospitals and minimum hospital volumes for specific indications (insufficient enforcement power for years).</w:t>
            </w:r>
          </w:p>
        </w:tc>
        <w:tc>
          <w:tcPr>
            <w:tcW w:w="4111" w:type="dxa"/>
          </w:tcPr>
          <w:p w14:paraId="68AA0EA9" w14:textId="77777777" w:rsidR="000C4A73" w:rsidRPr="00A8508C" w:rsidRDefault="000C4A73" w:rsidP="00DA4F6C">
            <w:pPr>
              <w:spacing w:after="60"/>
              <w:rPr>
                <w:rFonts w:cstheme="minorHAnsi"/>
                <w:b/>
                <w:bCs/>
                <w:sz w:val="18"/>
                <w:szCs w:val="18"/>
                <w:lang w:val="en-GB"/>
              </w:rPr>
            </w:pPr>
            <w:r w:rsidRPr="00A8508C">
              <w:rPr>
                <w:rFonts w:cstheme="minorHAnsi"/>
                <w:b/>
                <w:bCs/>
                <w:sz w:val="18"/>
                <w:szCs w:val="18"/>
                <w:lang w:val="en-GB"/>
              </w:rPr>
              <w:t xml:space="preserve">Yes. </w:t>
            </w:r>
            <w:r w:rsidRPr="00A8508C">
              <w:rPr>
                <w:rFonts w:cstheme="minorHAnsi"/>
                <w:bCs/>
                <w:sz w:val="18"/>
                <w:szCs w:val="18"/>
                <w:lang w:val="en-GB"/>
              </w:rPr>
              <w:t>I</w:t>
            </w:r>
            <w:r w:rsidRPr="00A8508C">
              <w:rPr>
                <w:rFonts w:cstheme="minorHAnsi"/>
                <w:sz w:val="18"/>
                <w:szCs w:val="18"/>
                <w:lang w:val="en-GB"/>
              </w:rPr>
              <w:t>ndirectly, because capital cost is included in the prices negotiated in hospital-insurer contracts</w:t>
            </w:r>
            <w:r>
              <w:rPr>
                <w:rFonts w:cstheme="minorHAnsi"/>
                <w:sz w:val="18"/>
                <w:szCs w:val="18"/>
                <w:lang w:val="en-GB"/>
              </w:rPr>
              <w:t>.</w:t>
            </w:r>
            <w:r w:rsidRPr="00A8508C">
              <w:rPr>
                <w:rFonts w:cstheme="minorHAnsi"/>
                <w:b/>
                <w:bCs/>
                <w:sz w:val="18"/>
                <w:szCs w:val="18"/>
                <w:lang w:val="en-GB"/>
              </w:rPr>
              <w:t xml:space="preserve"> </w:t>
            </w:r>
          </w:p>
          <w:p w14:paraId="5F015344"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 Until 2008</w:t>
            </w:r>
            <w:r w:rsidRPr="00A8508C">
              <w:rPr>
                <w:rFonts w:cstheme="minorHAnsi"/>
                <w:b/>
                <w:bCs/>
                <w:sz w:val="18"/>
                <w:szCs w:val="18"/>
                <w:lang w:val="en-GB"/>
              </w:rPr>
              <w:t xml:space="preserve"> </w:t>
            </w:r>
            <w:r w:rsidRPr="00A8508C">
              <w:rPr>
                <w:rFonts w:cstheme="minorHAnsi"/>
                <w:sz w:val="18"/>
                <w:szCs w:val="18"/>
                <w:lang w:val="en-GB"/>
              </w:rPr>
              <w:t>hospitals’ capital costs were retrospectively reimbursed, and hospitals needed government permission for capital investments (‘building license’). In 2008 this requirement was abolished and from 2008 to 2017 capital costs were gradually phased in the prices of hospital products (i.e., DTCs) to be negotiated with health insurers.</w:t>
            </w:r>
          </w:p>
        </w:tc>
      </w:tr>
      <w:tr w:rsidR="000C4A73" w:rsidRPr="00A8508C" w14:paraId="77F8B6B6" w14:textId="77777777" w:rsidTr="00DA4F6C">
        <w:tc>
          <w:tcPr>
            <w:tcW w:w="1696" w:type="dxa"/>
          </w:tcPr>
          <w:p w14:paraId="61162795"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Assuring quality of care</w:t>
            </w:r>
          </w:p>
        </w:tc>
        <w:tc>
          <w:tcPr>
            <w:tcW w:w="4111" w:type="dxa"/>
          </w:tcPr>
          <w:p w14:paraId="29F9772A"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No. </w:t>
            </w:r>
            <w:r w:rsidRPr="00A8508C">
              <w:rPr>
                <w:rFonts w:cstheme="minorHAnsi"/>
                <w:sz w:val="18"/>
                <w:szCs w:val="18"/>
                <w:lang w:val="en-GB"/>
              </w:rPr>
              <w:t xml:space="preserve">The quality and safety of hospital care is out of SHI responsibility. Hospitals are certified by the Haute </w:t>
            </w:r>
            <w:proofErr w:type="spellStart"/>
            <w:r w:rsidRPr="00A8508C">
              <w:rPr>
                <w:rFonts w:cstheme="minorHAnsi"/>
                <w:sz w:val="18"/>
                <w:szCs w:val="18"/>
                <w:lang w:val="en-GB"/>
              </w:rPr>
              <w:t>Autorité</w:t>
            </w:r>
            <w:proofErr w:type="spellEnd"/>
            <w:r w:rsidRPr="00A8508C">
              <w:rPr>
                <w:rFonts w:cstheme="minorHAnsi"/>
                <w:sz w:val="18"/>
                <w:szCs w:val="18"/>
                <w:lang w:val="en-GB"/>
              </w:rPr>
              <w:t xml:space="preserve"> de </w:t>
            </w:r>
            <w:proofErr w:type="spellStart"/>
            <w:r w:rsidRPr="00A8508C">
              <w:rPr>
                <w:rFonts w:cstheme="minorHAnsi"/>
                <w:sz w:val="18"/>
                <w:szCs w:val="18"/>
                <w:lang w:val="en-GB"/>
              </w:rPr>
              <w:t>Santé</w:t>
            </w:r>
            <w:proofErr w:type="spellEnd"/>
            <w:r w:rsidRPr="00A8508C">
              <w:rPr>
                <w:rFonts w:cstheme="minorHAnsi"/>
                <w:sz w:val="18"/>
                <w:szCs w:val="18"/>
                <w:lang w:val="en-GB"/>
              </w:rPr>
              <w:t xml:space="preserve"> – HAS, an independent public authority. The ARS are responsible for tracking the volume and quality of hospitals in their region and can provide some targeted funding to hospitals for investing in certain areas for improving quality. But they have little funding power, and most hospital funding comes from activity-based payment disconnected from quality.</w:t>
            </w:r>
          </w:p>
          <w:p w14:paraId="625D5FA5" w14:textId="77777777" w:rsidR="000C4A73" w:rsidRPr="00A8508C" w:rsidRDefault="000C4A73" w:rsidP="00DA4F6C">
            <w:pPr>
              <w:spacing w:after="60"/>
              <w:rPr>
                <w:rFonts w:cstheme="minorHAnsi"/>
                <w:sz w:val="18"/>
                <w:szCs w:val="18"/>
                <w:lang w:val="en-GB"/>
              </w:rPr>
            </w:pPr>
          </w:p>
        </w:tc>
        <w:tc>
          <w:tcPr>
            <w:tcW w:w="4394" w:type="dxa"/>
          </w:tcPr>
          <w:p w14:paraId="332B3188"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Limited</w:t>
            </w:r>
            <w:r w:rsidRPr="00A8508C">
              <w:rPr>
                <w:rFonts w:cstheme="minorHAnsi"/>
                <w:sz w:val="18"/>
                <w:szCs w:val="18"/>
                <w:lang w:val="en-GB"/>
              </w:rPr>
              <w:t>. Usually, FJC specifies mandatory quality assurance measures. Examples: (1) Mandatory reporting system: hospitals are required to publish findings on selected process and outcome indicators to enable hospital comparisons. Based on this, sickness funds report outcomes to support patients in choosing hospitals. (2) Quality contracts:</w:t>
            </w:r>
            <w:r w:rsidRPr="00A8508C">
              <w:rPr>
                <w:rFonts w:cstheme="minorHAnsi"/>
                <w:sz w:val="18"/>
                <w:szCs w:val="18"/>
                <w:u w:val="single"/>
                <w:lang w:val="en-GB"/>
              </w:rPr>
              <w:t xml:space="preserve"> </w:t>
            </w:r>
            <w:r w:rsidRPr="00A8508C">
              <w:rPr>
                <w:rFonts w:cstheme="minorHAnsi"/>
                <w:sz w:val="18"/>
                <w:szCs w:val="18"/>
                <w:lang w:val="en-GB"/>
              </w:rPr>
              <w:t>Sickness funds and hospitals can negotiate on quality contracts to test whether an improvement in inpatient care can be achieved by agreeing on incentives related to higher-value quality requirements including initiating pay for performance reimbursements. (3) No remuneration if minimum v</w:t>
            </w:r>
            <w:r w:rsidRPr="00A8508C">
              <w:rPr>
                <w:sz w:val="18"/>
                <w:szCs w:val="18"/>
                <w:lang w:val="en-GB"/>
              </w:rPr>
              <w:t>olume</w:t>
            </w:r>
            <w:r w:rsidRPr="00A8508C">
              <w:rPr>
                <w:rFonts w:cstheme="minorHAnsi"/>
                <w:sz w:val="18"/>
                <w:szCs w:val="18"/>
                <w:lang w:val="en-GB"/>
              </w:rPr>
              <w:t xml:space="preserve"> defined for procedures by the FJC is not reached. (4) Audits, e.g., of non-indicated treatments, by the medical review boards have the consequence of reducing the remuneration (up to the complete non-reimbursement). (5) Selective contracting in terms of e.g., integrated care programs can be used to set up quality measures (SGB V).</w:t>
            </w:r>
          </w:p>
          <w:p w14:paraId="1B17FA29"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Important changes/recent reforms</w:t>
            </w:r>
            <w:r w:rsidRPr="00A8508C">
              <w:rPr>
                <w:rFonts w:cstheme="minorHAnsi"/>
                <w:sz w:val="18"/>
                <w:szCs w:val="18"/>
                <w:lang w:val="en-GB"/>
              </w:rPr>
              <w:t>: Gradually, more emphasis on quality of care in selective contracting, but still in an early stage.</w:t>
            </w:r>
          </w:p>
        </w:tc>
        <w:tc>
          <w:tcPr>
            <w:tcW w:w="4111" w:type="dxa"/>
          </w:tcPr>
          <w:p w14:paraId="01E4C2E0" w14:textId="77777777" w:rsidR="000C4A73" w:rsidRPr="00A8508C" w:rsidRDefault="000C4A73" w:rsidP="00DA4F6C">
            <w:pPr>
              <w:spacing w:after="60"/>
              <w:rPr>
                <w:rFonts w:cstheme="minorHAnsi"/>
                <w:b/>
                <w:bCs/>
                <w:sz w:val="18"/>
                <w:szCs w:val="18"/>
                <w:lang w:val="en-GB"/>
              </w:rPr>
            </w:pPr>
            <w:r w:rsidRPr="00A8508C">
              <w:rPr>
                <w:rFonts w:cstheme="minorHAnsi"/>
                <w:b/>
                <w:sz w:val="18"/>
                <w:szCs w:val="18"/>
                <w:lang w:val="en-GB"/>
              </w:rPr>
              <w:t>Limited.</w:t>
            </w:r>
            <w:r w:rsidRPr="00A8508C">
              <w:rPr>
                <w:rFonts w:cstheme="minorHAnsi"/>
                <w:sz w:val="18"/>
                <w:szCs w:val="18"/>
                <w:lang w:val="en-GB"/>
              </w:rPr>
              <w:t xml:space="preserve"> Typically, only general provisions about quality standards are included in hospital-insurer contracts. Few P4P elements are included in shared saving contracts.</w:t>
            </w:r>
            <w:r w:rsidRPr="00A8508C">
              <w:rPr>
                <w:rFonts w:cstheme="minorHAnsi"/>
                <w:b/>
                <w:bCs/>
                <w:sz w:val="18"/>
                <w:szCs w:val="18"/>
                <w:lang w:val="en-GB"/>
              </w:rPr>
              <w:t xml:space="preserve"> </w:t>
            </w:r>
          </w:p>
          <w:p w14:paraId="4014C5E5"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 </w:t>
            </w:r>
            <w:r w:rsidRPr="00A8508C">
              <w:rPr>
                <w:rFonts w:cstheme="minorHAnsi"/>
                <w:sz w:val="18"/>
                <w:szCs w:val="18"/>
                <w:lang w:val="en-GB"/>
              </w:rPr>
              <w:t>Gradually more focus on quality in contracting process, but still limited</w:t>
            </w:r>
          </w:p>
        </w:tc>
      </w:tr>
      <w:tr w:rsidR="000C4A73" w:rsidRPr="00A8508C" w14:paraId="0AD5315E" w14:textId="77777777" w:rsidTr="00DA4F6C">
        <w:tc>
          <w:tcPr>
            <w:tcW w:w="14312" w:type="dxa"/>
            <w:gridSpan w:val="4"/>
            <w:shd w:val="clear" w:color="auto" w:fill="D9D9D9" w:themeFill="background1" w:themeFillShade="D9"/>
          </w:tcPr>
          <w:p w14:paraId="1B8650C4"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Pharmaceutical sector</w:t>
            </w:r>
          </w:p>
        </w:tc>
      </w:tr>
      <w:tr w:rsidR="000C4A73" w:rsidRPr="00A8508C" w14:paraId="30201C9C" w14:textId="77777777" w:rsidTr="00DA4F6C">
        <w:trPr>
          <w:cantSplit/>
          <w:trHeight w:val="3240"/>
        </w:trPr>
        <w:tc>
          <w:tcPr>
            <w:tcW w:w="1696" w:type="dxa"/>
          </w:tcPr>
          <w:p w14:paraId="2FD3A589"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Price setting </w:t>
            </w:r>
          </w:p>
        </w:tc>
        <w:tc>
          <w:tcPr>
            <w:tcW w:w="4111" w:type="dxa"/>
          </w:tcPr>
          <w:p w14:paraId="6582500F"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Yes. </w:t>
            </w:r>
            <w:r w:rsidRPr="00A8508C">
              <w:rPr>
                <w:rFonts w:cstheme="minorHAnsi"/>
                <w:sz w:val="18"/>
                <w:szCs w:val="18"/>
                <w:lang w:val="en-GB"/>
              </w:rPr>
              <w:t>For evaluated drugs (with additional benefit) prices, which serve as the basis for reimbursement, are set through a bargaining process between the Economic Committee for Health Products CEPS) and each pharmaceutical company. CEPS composed of representatives from SHI and complementary health insurance organisations and representatives of three ministers (Health, Economy, and Research)</w:t>
            </w:r>
          </w:p>
        </w:tc>
        <w:tc>
          <w:tcPr>
            <w:tcW w:w="4394" w:type="dxa"/>
          </w:tcPr>
          <w:p w14:paraId="534640BD"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Yes. </w:t>
            </w:r>
            <w:r w:rsidRPr="00A8508C">
              <w:rPr>
                <w:rFonts w:cstheme="minorHAnsi"/>
                <w:sz w:val="18"/>
                <w:szCs w:val="18"/>
                <w:lang w:val="en-GB"/>
              </w:rPr>
              <w:t>(I) Drugs with an additional therapeutic benefit: the Federal Association of Sickness Funds negotiates a reimbursement price with the drug company. (II) For those without an additional benefit as well as off patented with the same benefit, grouping by the FJC and reference price setting by the Federal Association of Sickness Funds. In addition, individual contracting of discounts between sickness funds and pharmaceutical companies to obtain lower prices (mainly for generics).</w:t>
            </w:r>
          </w:p>
          <w:p w14:paraId="492E8513"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Important changes/recent reforms</w:t>
            </w:r>
            <w:r w:rsidRPr="00A8508C">
              <w:rPr>
                <w:rFonts w:cstheme="minorHAnsi"/>
                <w:sz w:val="18"/>
                <w:szCs w:val="18"/>
                <w:lang w:val="en-GB"/>
              </w:rPr>
              <w:t>:2007 selective contracting between sickness funds and pharmaceutical companies; 2011 introduction of an early benefit assessment for new pharmaceuticals followed by price negotiation (value-based pricing).</w:t>
            </w:r>
          </w:p>
        </w:tc>
        <w:tc>
          <w:tcPr>
            <w:tcW w:w="4111" w:type="dxa"/>
          </w:tcPr>
          <w:p w14:paraId="18B411C1"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xml:space="preserve"> Competitive tendering for off-patent drugs, price negotiations for patented drugs if substitutes are available. Within a therapeutic class typically only the generic drugs from suppliers that won the bid (known as “preferential drug”) are reimbursed by the insurer. MoH negotiates prices for expensive new specialist drugs for which there are no competitors</w:t>
            </w:r>
            <w:r>
              <w:rPr>
                <w:rFonts w:cstheme="minorHAnsi"/>
                <w:sz w:val="18"/>
                <w:szCs w:val="18"/>
                <w:lang w:val="en-GB"/>
              </w:rPr>
              <w:t>.</w:t>
            </w:r>
            <w:r w:rsidRPr="00A8508C">
              <w:rPr>
                <w:rFonts w:cstheme="minorHAnsi"/>
                <w:sz w:val="18"/>
                <w:szCs w:val="18"/>
                <w:lang w:val="en-GB"/>
              </w:rPr>
              <w:t xml:space="preserve"> </w:t>
            </w:r>
          </w:p>
          <w:p w14:paraId="4F19E983"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Important changes/recent reforms:</w:t>
            </w:r>
            <w:r w:rsidRPr="00A8508C">
              <w:rPr>
                <w:rFonts w:cstheme="minorHAnsi"/>
                <w:sz w:val="18"/>
                <w:szCs w:val="18"/>
                <w:lang w:val="en-GB"/>
              </w:rPr>
              <w:t xml:space="preserve"> In 2008 health insurers started competitive tendering for off-patent drugs with generic substitutes. Since 2012 prices for pharmacy services were deregulated and health insurers started negotiations about price and other contractual conditions with pharmacies. </w:t>
            </w:r>
          </w:p>
        </w:tc>
      </w:tr>
      <w:tr w:rsidR="000C4A73" w:rsidRPr="00A8508C" w14:paraId="75534B1C" w14:textId="77777777" w:rsidTr="00DA4F6C">
        <w:tc>
          <w:tcPr>
            <w:tcW w:w="1696" w:type="dxa"/>
          </w:tcPr>
          <w:p w14:paraId="5AF6543A"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Regulating care volumes </w:t>
            </w:r>
          </w:p>
        </w:tc>
        <w:tc>
          <w:tcPr>
            <w:tcW w:w="4111" w:type="dxa"/>
          </w:tcPr>
          <w:p w14:paraId="370A20D1"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in price negotiations, estimated volume of sales is integrated. Indeed, the drug price is set by considering price of other drugs with same therapeutic indications and the estimated volume of sales.</w:t>
            </w:r>
          </w:p>
        </w:tc>
        <w:tc>
          <w:tcPr>
            <w:tcW w:w="4394" w:type="dxa"/>
          </w:tcPr>
          <w:p w14:paraId="1A99D369"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No. </w:t>
            </w:r>
            <w:r w:rsidRPr="00A8508C">
              <w:rPr>
                <w:rFonts w:cstheme="minorHAnsi"/>
                <w:sz w:val="18"/>
                <w:szCs w:val="18"/>
                <w:lang w:val="en-GB"/>
              </w:rPr>
              <w:t>Each Regional Association of SHI Physicians defines individual target volumes for pharmaceuticals in respective regions and establishes procedures and performance audits when physicians exceed those target volumes.</w:t>
            </w:r>
          </w:p>
        </w:tc>
        <w:tc>
          <w:tcPr>
            <w:tcW w:w="4111" w:type="dxa"/>
          </w:tcPr>
          <w:p w14:paraId="1A5022B0"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Few.</w:t>
            </w:r>
            <w:r w:rsidRPr="00A8508C">
              <w:rPr>
                <w:rFonts w:cstheme="minorHAnsi"/>
                <w:sz w:val="18"/>
                <w:szCs w:val="18"/>
                <w:lang w:val="en-GB"/>
              </w:rPr>
              <w:t xml:space="preserve"> For expensive specialised inpatient drugs (&gt; € 1000 per patient per year) there are no volume restrictions since these are typically carved-out from hospital budgets. Other inpatients drugs are included in the hospital budget or fall under the expenditure cap negotiated with the health insurer.</w:t>
            </w:r>
          </w:p>
          <w:p w14:paraId="0F4F6E9E"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Annual macro budgets for total hospital expenditure are negotiated between government, provider, and insurer associations since 2012; this resulted in agreements about global budgets or expenditure caps in hospital-insurer contracts. </w:t>
            </w:r>
          </w:p>
        </w:tc>
      </w:tr>
      <w:tr w:rsidR="000C4A73" w:rsidRPr="00A8508C" w14:paraId="415EA3C3" w14:textId="77777777" w:rsidTr="00DA4F6C">
        <w:tc>
          <w:tcPr>
            <w:tcW w:w="1696" w:type="dxa"/>
          </w:tcPr>
          <w:p w14:paraId="1775555B"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Regulating supply </w:t>
            </w:r>
          </w:p>
        </w:tc>
        <w:tc>
          <w:tcPr>
            <w:tcW w:w="4111" w:type="dxa"/>
          </w:tcPr>
          <w:p w14:paraId="0B5831FE"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 xml:space="preserve">There is a positive list. The distribution of drugs is regulated, both for wholesalers and for pharmacies. </w:t>
            </w:r>
          </w:p>
        </w:tc>
        <w:tc>
          <w:tcPr>
            <w:tcW w:w="4394" w:type="dxa"/>
          </w:tcPr>
          <w:p w14:paraId="51829E03"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Partly. </w:t>
            </w:r>
            <w:r w:rsidRPr="00A8508C">
              <w:rPr>
                <w:rFonts w:cstheme="minorHAnsi"/>
                <w:sz w:val="18"/>
                <w:szCs w:val="18"/>
                <w:lang w:val="en-GB"/>
              </w:rPr>
              <w:t xml:space="preserve">The SHI benefits basket includes all licensed prescription drugs and there is no positive list. The distribution of prescription drugs is regulated by law, both for wholesalers and pharmacies. </w:t>
            </w:r>
          </w:p>
          <w:p w14:paraId="1AF4B089"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Pharmacies may be part of integrative care contracts.</w:t>
            </w:r>
          </w:p>
        </w:tc>
        <w:tc>
          <w:tcPr>
            <w:tcW w:w="4111" w:type="dxa"/>
          </w:tcPr>
          <w:p w14:paraId="38252A46"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xml:space="preserve"> There is a positive list for retail prescription drugs (provided on an outpatient basis). Health insurers can indirectly influence the supply of medicines by contracts with GPs about prescription of generics, by competitive tendering of preferential generic drugs with a therapeutic class and by negotiating budgets or expenditure caps with hospitals.</w:t>
            </w:r>
          </w:p>
          <w:p w14:paraId="04D3833E"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 xml:space="preserve">Important changes/recent reforms: </w:t>
            </w:r>
            <w:r w:rsidRPr="00A8508C">
              <w:rPr>
                <w:rFonts w:cstheme="minorHAnsi"/>
                <w:sz w:val="18"/>
                <w:szCs w:val="18"/>
                <w:lang w:val="en-GB"/>
              </w:rPr>
              <w:t xml:space="preserve">Introduction of competitive bidding for preferential drugs in 2008, contractual arrangements with GPs about prescription of generics. </w:t>
            </w:r>
          </w:p>
        </w:tc>
      </w:tr>
      <w:tr w:rsidR="000C4A73" w:rsidRPr="00A8508C" w14:paraId="071773AD" w14:textId="77777777" w:rsidTr="00DA4F6C">
        <w:tc>
          <w:tcPr>
            <w:tcW w:w="1696" w:type="dxa"/>
          </w:tcPr>
          <w:p w14:paraId="66BD3931"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Assuring quality of care</w:t>
            </w:r>
          </w:p>
        </w:tc>
        <w:tc>
          <w:tcPr>
            <w:tcW w:w="4111" w:type="dxa"/>
          </w:tcPr>
          <w:p w14:paraId="04480657"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Few.</w:t>
            </w:r>
            <w:r w:rsidRPr="00A8508C">
              <w:rPr>
                <w:rFonts w:cstheme="minorHAnsi"/>
                <w:i/>
                <w:iCs/>
                <w:sz w:val="18"/>
                <w:szCs w:val="18"/>
                <w:lang w:val="en-GB"/>
              </w:rPr>
              <w:br/>
            </w:r>
            <w:r w:rsidRPr="00A8508C">
              <w:rPr>
                <w:rFonts w:cstheme="minorHAnsi"/>
                <w:sz w:val="18"/>
                <w:szCs w:val="18"/>
                <w:lang w:val="en-GB"/>
              </w:rPr>
              <w:t>Recently there are a few indicators added in the ROSP for reducing inappropriate prescriptions.</w:t>
            </w:r>
          </w:p>
        </w:tc>
        <w:tc>
          <w:tcPr>
            <w:tcW w:w="4394" w:type="dxa"/>
          </w:tcPr>
          <w:p w14:paraId="5A27DC8B"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Yes.</w:t>
            </w:r>
            <w:r w:rsidRPr="00A8508C">
              <w:rPr>
                <w:rFonts w:cstheme="minorHAnsi"/>
                <w:sz w:val="18"/>
                <w:szCs w:val="18"/>
                <w:lang w:val="en-GB"/>
              </w:rPr>
              <w:t xml:space="preserve"> Quality criteria may be included in discount contracts and integrated care contracts (P4P). Details related to quality control of physician prescription behaviour are delegated to corporatist institutions.</w:t>
            </w:r>
          </w:p>
        </w:tc>
        <w:tc>
          <w:tcPr>
            <w:tcW w:w="4111" w:type="dxa"/>
          </w:tcPr>
          <w:p w14:paraId="4644AF64"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Few.</w:t>
            </w:r>
            <w:r w:rsidRPr="00A8508C">
              <w:rPr>
                <w:rFonts w:cstheme="minorHAnsi"/>
                <w:sz w:val="18"/>
                <w:szCs w:val="18"/>
                <w:lang w:val="en-GB"/>
              </w:rPr>
              <w:t xml:space="preserve"> Health insurers include minimum quality requirements and quality profiles in contracts with pharmacies since 2012.</w:t>
            </w:r>
          </w:p>
          <w:p w14:paraId="54096293" w14:textId="77777777" w:rsidR="000C4A73" w:rsidRPr="00A8508C" w:rsidRDefault="000C4A73" w:rsidP="00DA4F6C">
            <w:pPr>
              <w:spacing w:after="60"/>
              <w:rPr>
                <w:rFonts w:cstheme="minorHAnsi"/>
                <w:sz w:val="18"/>
                <w:szCs w:val="18"/>
                <w:lang w:val="en-GB"/>
              </w:rPr>
            </w:pPr>
          </w:p>
        </w:tc>
      </w:tr>
      <w:tr w:rsidR="000C4A73" w:rsidRPr="00A8508C" w14:paraId="64BB4F98" w14:textId="77777777" w:rsidTr="00DA4F6C">
        <w:tc>
          <w:tcPr>
            <w:tcW w:w="14312" w:type="dxa"/>
            <w:gridSpan w:val="4"/>
            <w:shd w:val="clear" w:color="auto" w:fill="D0CECE" w:themeFill="background2" w:themeFillShade="E6"/>
          </w:tcPr>
          <w:p w14:paraId="29BD7842" w14:textId="77777777" w:rsidR="000C4A73" w:rsidRPr="00A8508C" w:rsidRDefault="000C4A73" w:rsidP="00DA4F6C">
            <w:pPr>
              <w:spacing w:after="60"/>
              <w:rPr>
                <w:rFonts w:cstheme="minorHAnsi"/>
                <w:sz w:val="18"/>
                <w:szCs w:val="18"/>
                <w:lang w:val="en-GB"/>
              </w:rPr>
            </w:pPr>
            <w:r w:rsidRPr="00A8508C">
              <w:rPr>
                <w:rFonts w:cstheme="minorHAnsi"/>
                <w:b/>
                <w:bCs/>
                <w:sz w:val="18"/>
                <w:szCs w:val="18"/>
                <w:lang w:val="en-GB"/>
              </w:rPr>
              <w:t>Any significant change in overall role since 2000</w:t>
            </w:r>
          </w:p>
        </w:tc>
      </w:tr>
      <w:tr w:rsidR="000C4A73" w:rsidRPr="00A8508C" w14:paraId="4762EBBB" w14:textId="77777777" w:rsidTr="00DA4F6C">
        <w:tc>
          <w:tcPr>
            <w:tcW w:w="1696" w:type="dxa"/>
          </w:tcPr>
          <w:p w14:paraId="00E96F56" w14:textId="77777777" w:rsidR="000C4A73" w:rsidRPr="00A8508C" w:rsidRDefault="000C4A73" w:rsidP="00DA4F6C">
            <w:pPr>
              <w:spacing w:after="60"/>
              <w:rPr>
                <w:rFonts w:cstheme="minorHAnsi"/>
                <w:sz w:val="18"/>
                <w:szCs w:val="18"/>
                <w:lang w:val="en-GB"/>
              </w:rPr>
            </w:pPr>
          </w:p>
        </w:tc>
        <w:tc>
          <w:tcPr>
            <w:tcW w:w="4111" w:type="dxa"/>
          </w:tcPr>
          <w:p w14:paraId="1660E60D"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Since 2011, responsible for containing overall health expenditure with spending targets (ONDAM) without having all the power for steering all healthcare providers</w:t>
            </w:r>
          </w:p>
        </w:tc>
        <w:tc>
          <w:tcPr>
            <w:tcW w:w="4394" w:type="dxa"/>
          </w:tcPr>
          <w:p w14:paraId="1E662FDB"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 xml:space="preserve">2000, permitting selective contracts on integrated care between sickness funds and providers with adaptions over the years. </w:t>
            </w:r>
          </w:p>
          <w:p w14:paraId="5146AD33"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 xml:space="preserve">2011, early benefit assessment of newly licensed pharmaceuticals, including price negotiations </w:t>
            </w:r>
          </w:p>
          <w:p w14:paraId="1F6F6E69"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 xml:space="preserve">2015, foundation of the </w:t>
            </w:r>
            <w:proofErr w:type="spellStart"/>
            <w:r w:rsidRPr="00A8508C">
              <w:rPr>
                <w:rFonts w:cstheme="minorHAnsi"/>
                <w:sz w:val="18"/>
                <w:szCs w:val="18"/>
                <w:lang w:val="en-GB"/>
              </w:rPr>
              <w:t>IQTiG</w:t>
            </w:r>
            <w:proofErr w:type="spellEnd"/>
            <w:r w:rsidRPr="00A8508C">
              <w:rPr>
                <w:rFonts w:cstheme="minorHAnsi"/>
                <w:sz w:val="18"/>
                <w:szCs w:val="18"/>
                <w:lang w:val="en-GB"/>
              </w:rPr>
              <w:t xml:space="preserve"> to develop cross-sectoral quality indicators to link health and quality outcomes with the planning and payment of service providers.</w:t>
            </w:r>
          </w:p>
          <w:p w14:paraId="10EB6B18"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2017, quality contracts between sickness funds and hospitals.</w:t>
            </w:r>
          </w:p>
        </w:tc>
        <w:tc>
          <w:tcPr>
            <w:tcW w:w="4111" w:type="dxa"/>
          </w:tcPr>
          <w:p w14:paraId="32782CFE" w14:textId="77777777" w:rsidR="000C4A73" w:rsidRPr="00A8508C" w:rsidRDefault="000C4A73" w:rsidP="00DA4F6C">
            <w:pPr>
              <w:spacing w:after="60"/>
              <w:rPr>
                <w:rFonts w:cstheme="minorHAnsi"/>
                <w:sz w:val="18"/>
                <w:szCs w:val="18"/>
                <w:lang w:val="en-GB"/>
              </w:rPr>
            </w:pPr>
            <w:r w:rsidRPr="00A8508C">
              <w:rPr>
                <w:rFonts w:cstheme="minorHAnsi"/>
                <w:sz w:val="18"/>
                <w:szCs w:val="18"/>
                <w:lang w:val="en-GB"/>
              </w:rPr>
              <w:t xml:space="preserve">Since 2006, a gradual strengthening of the purchasing role (by liberalising price setting) and increasing financial risk for health insurers. Since 2012 health insurers and providers are jointly responsible to keep overall health expenditure per sector within overall spending targets set in general agreements between the government and the associations of providers and health insurers. </w:t>
            </w:r>
          </w:p>
        </w:tc>
      </w:tr>
    </w:tbl>
    <w:p w14:paraId="38FA4E82" w14:textId="77777777" w:rsidR="000C4A73" w:rsidRPr="00A8508C" w:rsidRDefault="000C4A73" w:rsidP="000C4A73">
      <w:pPr>
        <w:autoSpaceDE w:val="0"/>
        <w:autoSpaceDN w:val="0"/>
        <w:adjustRightInd w:val="0"/>
        <w:spacing w:line="276" w:lineRule="auto"/>
        <w:rPr>
          <w:rFonts w:cstheme="minorHAnsi"/>
          <w:color w:val="000000" w:themeColor="text1"/>
          <w:sz w:val="24"/>
          <w:szCs w:val="24"/>
          <w:shd w:val="clear" w:color="auto" w:fill="FFFFFF"/>
          <w:lang w:val="en-GB"/>
        </w:rPr>
      </w:pPr>
    </w:p>
    <w:p w14:paraId="2904F089" w14:textId="77777777" w:rsidR="000C4A73" w:rsidRPr="00A8508C" w:rsidRDefault="000C4A73" w:rsidP="00CB6909">
      <w:pPr>
        <w:autoSpaceDE w:val="0"/>
        <w:autoSpaceDN w:val="0"/>
        <w:adjustRightInd w:val="0"/>
        <w:spacing w:line="276" w:lineRule="auto"/>
        <w:rPr>
          <w:rFonts w:cstheme="minorHAnsi"/>
          <w:sz w:val="24"/>
          <w:szCs w:val="24"/>
          <w:lang w:val="en-GB"/>
        </w:rPr>
      </w:pPr>
    </w:p>
    <w:sectPr w:rsidR="000C4A73" w:rsidRPr="00A8508C" w:rsidSect="005A5653">
      <w:footerReference w:type="defaul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395B" w14:textId="77777777" w:rsidR="006411ED" w:rsidRDefault="006411ED" w:rsidP="001372D2">
      <w:pPr>
        <w:spacing w:after="0" w:line="240" w:lineRule="auto"/>
      </w:pPr>
      <w:r>
        <w:separator/>
      </w:r>
    </w:p>
  </w:endnote>
  <w:endnote w:type="continuationSeparator" w:id="0">
    <w:p w14:paraId="5F8EAB7E" w14:textId="77777777" w:rsidR="006411ED" w:rsidRDefault="006411ED" w:rsidP="001372D2">
      <w:pPr>
        <w:spacing w:after="0" w:line="240" w:lineRule="auto"/>
      </w:pPr>
      <w:r>
        <w:continuationSeparator/>
      </w:r>
    </w:p>
  </w:endnote>
  <w:endnote w:type="continuationNotice" w:id="1">
    <w:p w14:paraId="772AA5B7" w14:textId="77777777" w:rsidR="00F3735C" w:rsidRDefault="00F37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C69C" w14:textId="77777777" w:rsidR="00D611AD" w:rsidRDefault="00D611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CEA8" w14:textId="77777777" w:rsidR="006411ED" w:rsidRDefault="006411ED" w:rsidP="001372D2">
      <w:pPr>
        <w:spacing w:after="0" w:line="240" w:lineRule="auto"/>
      </w:pPr>
      <w:r>
        <w:separator/>
      </w:r>
    </w:p>
  </w:footnote>
  <w:footnote w:type="continuationSeparator" w:id="0">
    <w:p w14:paraId="0A596E10" w14:textId="77777777" w:rsidR="006411ED" w:rsidRDefault="006411ED" w:rsidP="001372D2">
      <w:pPr>
        <w:spacing w:after="0" w:line="240" w:lineRule="auto"/>
      </w:pPr>
      <w:r>
        <w:continuationSeparator/>
      </w:r>
    </w:p>
  </w:footnote>
  <w:footnote w:type="continuationNotice" w:id="1">
    <w:p w14:paraId="69F596FD" w14:textId="77777777" w:rsidR="00F3735C" w:rsidRDefault="00F373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FDF"/>
    <w:multiLevelType w:val="multilevel"/>
    <w:tmpl w:val="A29E096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F95F67"/>
    <w:multiLevelType w:val="hybridMultilevel"/>
    <w:tmpl w:val="35DE0F7E"/>
    <w:lvl w:ilvl="0" w:tplc="6D4430BE">
      <w:start w:val="11"/>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B3065F"/>
    <w:multiLevelType w:val="multilevel"/>
    <w:tmpl w:val="419A0B24"/>
    <w:lvl w:ilvl="0">
      <w:start w:val="2"/>
      <w:numFmt w:val="decimal"/>
      <w:lvlText w:val="%1"/>
      <w:lvlJc w:val="left"/>
      <w:pPr>
        <w:ind w:left="360" w:hanging="360"/>
      </w:pPr>
      <w:rPr>
        <w:rFonts w:hint="default"/>
        <w:b/>
        <w:i/>
      </w:rPr>
    </w:lvl>
    <w:lvl w:ilvl="1">
      <w:start w:val="3"/>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3" w15:restartNumberingAfterBreak="0">
    <w:nsid w:val="13380377"/>
    <w:multiLevelType w:val="hybridMultilevel"/>
    <w:tmpl w:val="0332F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F4AE8"/>
    <w:multiLevelType w:val="hybridMultilevel"/>
    <w:tmpl w:val="368E2C66"/>
    <w:lvl w:ilvl="0" w:tplc="8A9E32DE">
      <w:start w:val="1"/>
      <w:numFmt w:val="decimal"/>
      <w:lvlText w:val="%1."/>
      <w:lvlJc w:val="left"/>
      <w:pPr>
        <w:ind w:left="357" w:firstLine="3"/>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5B5422"/>
    <w:multiLevelType w:val="hybridMultilevel"/>
    <w:tmpl w:val="79682652"/>
    <w:lvl w:ilvl="0" w:tplc="7E38BB6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6327BD"/>
    <w:multiLevelType w:val="hybridMultilevel"/>
    <w:tmpl w:val="1D06AE36"/>
    <w:lvl w:ilvl="0" w:tplc="164CB8B8">
      <w:start w:val="1"/>
      <w:numFmt w:val="decimal"/>
      <w:lvlText w:val="%1."/>
      <w:lvlJc w:val="left"/>
      <w:pPr>
        <w:ind w:left="720" w:hanging="360"/>
      </w:pPr>
      <w:rPr>
        <w:rFonts w:ascii="Calibri Light" w:eastAsia="Times New Roman" w:hAnsi="Calibri Light" w:cs="Calibri Light" w:hint="default"/>
        <w:sz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7C06C5"/>
    <w:multiLevelType w:val="hybridMultilevel"/>
    <w:tmpl w:val="108AFF62"/>
    <w:lvl w:ilvl="0" w:tplc="77C2AF92">
      <w:start w:val="11"/>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3D0313"/>
    <w:multiLevelType w:val="hybridMultilevel"/>
    <w:tmpl w:val="337A6174"/>
    <w:lvl w:ilvl="0" w:tplc="A9A22F04">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193AE7"/>
    <w:multiLevelType w:val="multilevel"/>
    <w:tmpl w:val="2DD231D6"/>
    <w:lvl w:ilvl="0">
      <w:start w:val="1"/>
      <w:numFmt w:val="decimal"/>
      <w:lvlText w:val="%1."/>
      <w:lvlJc w:val="left"/>
      <w:pPr>
        <w:ind w:left="360" w:hanging="360"/>
      </w:pPr>
      <w:rPr>
        <w:rFonts w:hint="default"/>
        <w:i w:val="0"/>
        <w:iCs w:val="0"/>
      </w:rPr>
    </w:lvl>
    <w:lvl w:ilvl="1">
      <w:start w:val="2"/>
      <w:numFmt w:val="decimal"/>
      <w:isLgl/>
      <w:lvlText w:val="%1.%2"/>
      <w:lvlJc w:val="left"/>
      <w:pPr>
        <w:ind w:left="77" w:hanging="360"/>
      </w:pPr>
      <w:rPr>
        <w:rFonts w:hint="default"/>
        <w:b/>
      </w:rPr>
    </w:lvl>
    <w:lvl w:ilvl="2">
      <w:start w:val="1"/>
      <w:numFmt w:val="decimal"/>
      <w:isLgl/>
      <w:lvlText w:val="%1.%2.%3"/>
      <w:lvlJc w:val="left"/>
      <w:pPr>
        <w:ind w:left="437" w:hanging="720"/>
      </w:pPr>
      <w:rPr>
        <w:rFonts w:hint="default"/>
        <w:b/>
      </w:rPr>
    </w:lvl>
    <w:lvl w:ilvl="3">
      <w:start w:val="1"/>
      <w:numFmt w:val="decimal"/>
      <w:isLgl/>
      <w:lvlText w:val="%1.%2.%3.%4"/>
      <w:lvlJc w:val="left"/>
      <w:pPr>
        <w:ind w:left="437" w:hanging="720"/>
      </w:pPr>
      <w:rPr>
        <w:rFonts w:hint="default"/>
        <w:b/>
      </w:rPr>
    </w:lvl>
    <w:lvl w:ilvl="4">
      <w:start w:val="1"/>
      <w:numFmt w:val="decimal"/>
      <w:isLgl/>
      <w:lvlText w:val="%1.%2.%3.%4.%5"/>
      <w:lvlJc w:val="left"/>
      <w:pPr>
        <w:ind w:left="797" w:hanging="1080"/>
      </w:pPr>
      <w:rPr>
        <w:rFonts w:hint="default"/>
        <w:b/>
      </w:rPr>
    </w:lvl>
    <w:lvl w:ilvl="5">
      <w:start w:val="1"/>
      <w:numFmt w:val="decimal"/>
      <w:isLgl/>
      <w:lvlText w:val="%1.%2.%3.%4.%5.%6"/>
      <w:lvlJc w:val="left"/>
      <w:pPr>
        <w:ind w:left="797" w:hanging="1080"/>
      </w:pPr>
      <w:rPr>
        <w:rFonts w:hint="default"/>
        <w:b/>
      </w:rPr>
    </w:lvl>
    <w:lvl w:ilvl="6">
      <w:start w:val="1"/>
      <w:numFmt w:val="decimal"/>
      <w:isLgl/>
      <w:lvlText w:val="%1.%2.%3.%4.%5.%6.%7"/>
      <w:lvlJc w:val="left"/>
      <w:pPr>
        <w:ind w:left="1157" w:hanging="1440"/>
      </w:pPr>
      <w:rPr>
        <w:rFonts w:hint="default"/>
        <w:b/>
      </w:rPr>
    </w:lvl>
    <w:lvl w:ilvl="7">
      <w:start w:val="1"/>
      <w:numFmt w:val="decimal"/>
      <w:isLgl/>
      <w:lvlText w:val="%1.%2.%3.%4.%5.%6.%7.%8"/>
      <w:lvlJc w:val="left"/>
      <w:pPr>
        <w:ind w:left="1157" w:hanging="1440"/>
      </w:pPr>
      <w:rPr>
        <w:rFonts w:hint="default"/>
        <w:b/>
      </w:rPr>
    </w:lvl>
    <w:lvl w:ilvl="8">
      <w:start w:val="1"/>
      <w:numFmt w:val="decimal"/>
      <w:isLgl/>
      <w:lvlText w:val="%1.%2.%3.%4.%5.%6.%7.%8.%9"/>
      <w:lvlJc w:val="left"/>
      <w:pPr>
        <w:ind w:left="1517" w:hanging="1800"/>
      </w:pPr>
      <w:rPr>
        <w:rFonts w:hint="default"/>
        <w:b/>
      </w:rPr>
    </w:lvl>
  </w:abstractNum>
  <w:abstractNum w:abstractNumId="10" w15:restartNumberingAfterBreak="0">
    <w:nsid w:val="3B655CF4"/>
    <w:multiLevelType w:val="multilevel"/>
    <w:tmpl w:val="9F8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83115"/>
    <w:multiLevelType w:val="hybridMultilevel"/>
    <w:tmpl w:val="5592260C"/>
    <w:lvl w:ilvl="0" w:tplc="DD22E936">
      <w:start w:val="5"/>
      <w:numFmt w:val="bullet"/>
      <w:lvlText w:val="-"/>
      <w:lvlJc w:val="left"/>
      <w:pPr>
        <w:ind w:left="717" w:hanging="360"/>
      </w:pPr>
      <w:rPr>
        <w:rFonts w:ascii="Calibri" w:eastAsiaTheme="minorHAnsi" w:hAnsi="Calibri" w:cs="Calibri"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2" w15:restartNumberingAfterBreak="0">
    <w:nsid w:val="4A67183A"/>
    <w:multiLevelType w:val="hybridMultilevel"/>
    <w:tmpl w:val="0D04A5D6"/>
    <w:lvl w:ilvl="0" w:tplc="32E26834">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B1191C"/>
    <w:multiLevelType w:val="hybridMultilevel"/>
    <w:tmpl w:val="DB528E8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55D14"/>
    <w:multiLevelType w:val="hybridMultilevel"/>
    <w:tmpl w:val="A5BA6154"/>
    <w:lvl w:ilvl="0" w:tplc="0413001B">
      <w:start w:val="1"/>
      <w:numFmt w:val="low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EC135B0"/>
    <w:multiLevelType w:val="hybridMultilevel"/>
    <w:tmpl w:val="A5BA6154"/>
    <w:lvl w:ilvl="0" w:tplc="0413001B">
      <w:start w:val="1"/>
      <w:numFmt w:val="low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2419C0"/>
    <w:multiLevelType w:val="hybridMultilevel"/>
    <w:tmpl w:val="41FA70AC"/>
    <w:lvl w:ilvl="0" w:tplc="2F5AE17E">
      <w:start w:val="2"/>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8481607">
    <w:abstractNumId w:val="6"/>
  </w:num>
  <w:num w:numId="2" w16cid:durableId="439841328">
    <w:abstractNumId w:val="9"/>
  </w:num>
  <w:num w:numId="3" w16cid:durableId="43453990">
    <w:abstractNumId w:val="11"/>
  </w:num>
  <w:num w:numId="4" w16cid:durableId="591935769">
    <w:abstractNumId w:val="10"/>
  </w:num>
  <w:num w:numId="5" w16cid:durableId="463886246">
    <w:abstractNumId w:val="3"/>
  </w:num>
  <w:num w:numId="6" w16cid:durableId="821895949">
    <w:abstractNumId w:val="15"/>
  </w:num>
  <w:num w:numId="7" w16cid:durableId="311060398">
    <w:abstractNumId w:val="14"/>
  </w:num>
  <w:num w:numId="8" w16cid:durableId="1353267662">
    <w:abstractNumId w:val="5"/>
  </w:num>
  <w:num w:numId="9" w16cid:durableId="415320392">
    <w:abstractNumId w:val="13"/>
  </w:num>
  <w:num w:numId="10" w16cid:durableId="1782071994">
    <w:abstractNumId w:val="8"/>
  </w:num>
  <w:num w:numId="11" w16cid:durableId="565183061">
    <w:abstractNumId w:val="1"/>
  </w:num>
  <w:num w:numId="12" w16cid:durableId="868228001">
    <w:abstractNumId w:val="12"/>
  </w:num>
  <w:num w:numId="13" w16cid:durableId="2026901390">
    <w:abstractNumId w:val="7"/>
  </w:num>
  <w:num w:numId="14" w16cid:durableId="53167689">
    <w:abstractNumId w:val="4"/>
  </w:num>
  <w:num w:numId="15" w16cid:durableId="3938545">
    <w:abstractNumId w:val="0"/>
  </w:num>
  <w:num w:numId="16" w16cid:durableId="520440683">
    <w:abstractNumId w:val="16"/>
  </w:num>
  <w:num w:numId="17" w16cid:durableId="840774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90"/>
    <w:rsid w:val="00000532"/>
    <w:rsid w:val="00000652"/>
    <w:rsid w:val="000007BE"/>
    <w:rsid w:val="00000B4C"/>
    <w:rsid w:val="00002708"/>
    <w:rsid w:val="000030C1"/>
    <w:rsid w:val="000034DB"/>
    <w:rsid w:val="00003BFA"/>
    <w:rsid w:val="000047C8"/>
    <w:rsid w:val="00005648"/>
    <w:rsid w:val="00005669"/>
    <w:rsid w:val="000056AB"/>
    <w:rsid w:val="00005F9B"/>
    <w:rsid w:val="000074C9"/>
    <w:rsid w:val="000101BD"/>
    <w:rsid w:val="00010BE7"/>
    <w:rsid w:val="000110EC"/>
    <w:rsid w:val="0001175A"/>
    <w:rsid w:val="00011C92"/>
    <w:rsid w:val="0001276A"/>
    <w:rsid w:val="000133A5"/>
    <w:rsid w:val="0001342B"/>
    <w:rsid w:val="00013532"/>
    <w:rsid w:val="00013B94"/>
    <w:rsid w:val="000141BA"/>
    <w:rsid w:val="0001441E"/>
    <w:rsid w:val="00014B37"/>
    <w:rsid w:val="00014F78"/>
    <w:rsid w:val="00015AF3"/>
    <w:rsid w:val="00016491"/>
    <w:rsid w:val="00016AF9"/>
    <w:rsid w:val="00016C9D"/>
    <w:rsid w:val="000173EB"/>
    <w:rsid w:val="00020E67"/>
    <w:rsid w:val="000211F8"/>
    <w:rsid w:val="0002156E"/>
    <w:rsid w:val="000218FA"/>
    <w:rsid w:val="00021BBE"/>
    <w:rsid w:val="000230AE"/>
    <w:rsid w:val="000231F4"/>
    <w:rsid w:val="00023988"/>
    <w:rsid w:val="00023E25"/>
    <w:rsid w:val="000243C5"/>
    <w:rsid w:val="000247E5"/>
    <w:rsid w:val="00024EC4"/>
    <w:rsid w:val="00024FA9"/>
    <w:rsid w:val="00025315"/>
    <w:rsid w:val="0002746C"/>
    <w:rsid w:val="000278CB"/>
    <w:rsid w:val="00027A23"/>
    <w:rsid w:val="00027AA0"/>
    <w:rsid w:val="00027BFA"/>
    <w:rsid w:val="00027E84"/>
    <w:rsid w:val="00030595"/>
    <w:rsid w:val="00031105"/>
    <w:rsid w:val="00031A80"/>
    <w:rsid w:val="00032164"/>
    <w:rsid w:val="00032414"/>
    <w:rsid w:val="00032B39"/>
    <w:rsid w:val="000331C6"/>
    <w:rsid w:val="00033C92"/>
    <w:rsid w:val="00034815"/>
    <w:rsid w:val="00034AE2"/>
    <w:rsid w:val="00034B45"/>
    <w:rsid w:val="0003544D"/>
    <w:rsid w:val="000360E6"/>
    <w:rsid w:val="000362DC"/>
    <w:rsid w:val="00036544"/>
    <w:rsid w:val="00036850"/>
    <w:rsid w:val="00036DBD"/>
    <w:rsid w:val="00036EE7"/>
    <w:rsid w:val="00037632"/>
    <w:rsid w:val="00040908"/>
    <w:rsid w:val="0004153C"/>
    <w:rsid w:val="00042584"/>
    <w:rsid w:val="00043CFD"/>
    <w:rsid w:val="00043D9D"/>
    <w:rsid w:val="00043E00"/>
    <w:rsid w:val="000458ED"/>
    <w:rsid w:val="000459D2"/>
    <w:rsid w:val="00045F09"/>
    <w:rsid w:val="00045F47"/>
    <w:rsid w:val="000460AF"/>
    <w:rsid w:val="00046D9E"/>
    <w:rsid w:val="00047D91"/>
    <w:rsid w:val="000503DE"/>
    <w:rsid w:val="000505C3"/>
    <w:rsid w:val="0005137A"/>
    <w:rsid w:val="00052DA5"/>
    <w:rsid w:val="0005375C"/>
    <w:rsid w:val="00053BA7"/>
    <w:rsid w:val="00053FF1"/>
    <w:rsid w:val="000541BE"/>
    <w:rsid w:val="000544E8"/>
    <w:rsid w:val="00054596"/>
    <w:rsid w:val="0005464E"/>
    <w:rsid w:val="000551C2"/>
    <w:rsid w:val="00055294"/>
    <w:rsid w:val="0005679E"/>
    <w:rsid w:val="000567B7"/>
    <w:rsid w:val="0005749A"/>
    <w:rsid w:val="00057D5E"/>
    <w:rsid w:val="00060387"/>
    <w:rsid w:val="00060498"/>
    <w:rsid w:val="00061106"/>
    <w:rsid w:val="0006135F"/>
    <w:rsid w:val="00061C18"/>
    <w:rsid w:val="00062018"/>
    <w:rsid w:val="000627F0"/>
    <w:rsid w:val="0006299E"/>
    <w:rsid w:val="000633C2"/>
    <w:rsid w:val="000634F3"/>
    <w:rsid w:val="0006392A"/>
    <w:rsid w:val="000639F1"/>
    <w:rsid w:val="00063CD5"/>
    <w:rsid w:val="00063E20"/>
    <w:rsid w:val="00063EEF"/>
    <w:rsid w:val="00064270"/>
    <w:rsid w:val="000647BC"/>
    <w:rsid w:val="000647DC"/>
    <w:rsid w:val="00064F18"/>
    <w:rsid w:val="000654D7"/>
    <w:rsid w:val="000658EA"/>
    <w:rsid w:val="000668C1"/>
    <w:rsid w:val="00066BCF"/>
    <w:rsid w:val="000670E6"/>
    <w:rsid w:val="000673AF"/>
    <w:rsid w:val="00067F7C"/>
    <w:rsid w:val="00067F7F"/>
    <w:rsid w:val="00070145"/>
    <w:rsid w:val="00070311"/>
    <w:rsid w:val="00070CAC"/>
    <w:rsid w:val="000713AB"/>
    <w:rsid w:val="00071997"/>
    <w:rsid w:val="000719A0"/>
    <w:rsid w:val="000720DB"/>
    <w:rsid w:val="000722DC"/>
    <w:rsid w:val="00072352"/>
    <w:rsid w:val="000725EE"/>
    <w:rsid w:val="000726A8"/>
    <w:rsid w:val="00072E26"/>
    <w:rsid w:val="000731D7"/>
    <w:rsid w:val="000732E1"/>
    <w:rsid w:val="00073339"/>
    <w:rsid w:val="00073F79"/>
    <w:rsid w:val="00074275"/>
    <w:rsid w:val="000742A2"/>
    <w:rsid w:val="00074368"/>
    <w:rsid w:val="00074540"/>
    <w:rsid w:val="0007497E"/>
    <w:rsid w:val="00074996"/>
    <w:rsid w:val="00074FCF"/>
    <w:rsid w:val="00075848"/>
    <w:rsid w:val="00076F58"/>
    <w:rsid w:val="00077603"/>
    <w:rsid w:val="0007777C"/>
    <w:rsid w:val="00077F37"/>
    <w:rsid w:val="000801FA"/>
    <w:rsid w:val="000802A4"/>
    <w:rsid w:val="000805BE"/>
    <w:rsid w:val="000808AF"/>
    <w:rsid w:val="00080925"/>
    <w:rsid w:val="00080EE6"/>
    <w:rsid w:val="000810ED"/>
    <w:rsid w:val="00081112"/>
    <w:rsid w:val="00083512"/>
    <w:rsid w:val="000836B0"/>
    <w:rsid w:val="00083AE2"/>
    <w:rsid w:val="00083B5B"/>
    <w:rsid w:val="00084462"/>
    <w:rsid w:val="0008455C"/>
    <w:rsid w:val="00085182"/>
    <w:rsid w:val="000854D1"/>
    <w:rsid w:val="00085CDD"/>
    <w:rsid w:val="000867C5"/>
    <w:rsid w:val="00086E12"/>
    <w:rsid w:val="000874F5"/>
    <w:rsid w:val="000877CF"/>
    <w:rsid w:val="00092619"/>
    <w:rsid w:val="000934BD"/>
    <w:rsid w:val="000945E4"/>
    <w:rsid w:val="00094688"/>
    <w:rsid w:val="000951E4"/>
    <w:rsid w:val="00095C67"/>
    <w:rsid w:val="00095F5F"/>
    <w:rsid w:val="00096E75"/>
    <w:rsid w:val="00097C7E"/>
    <w:rsid w:val="000A015F"/>
    <w:rsid w:val="000A0966"/>
    <w:rsid w:val="000A0FA9"/>
    <w:rsid w:val="000A118A"/>
    <w:rsid w:val="000A19C6"/>
    <w:rsid w:val="000A19CB"/>
    <w:rsid w:val="000A2069"/>
    <w:rsid w:val="000A2B92"/>
    <w:rsid w:val="000A2C43"/>
    <w:rsid w:val="000A2DB8"/>
    <w:rsid w:val="000A31CE"/>
    <w:rsid w:val="000A3284"/>
    <w:rsid w:val="000A47D1"/>
    <w:rsid w:val="000A6063"/>
    <w:rsid w:val="000A6152"/>
    <w:rsid w:val="000A65B0"/>
    <w:rsid w:val="000A6CD5"/>
    <w:rsid w:val="000A70CD"/>
    <w:rsid w:val="000A7707"/>
    <w:rsid w:val="000B0CA3"/>
    <w:rsid w:val="000B1177"/>
    <w:rsid w:val="000B1571"/>
    <w:rsid w:val="000B1678"/>
    <w:rsid w:val="000B28B8"/>
    <w:rsid w:val="000B28D3"/>
    <w:rsid w:val="000B2A28"/>
    <w:rsid w:val="000B3563"/>
    <w:rsid w:val="000B38D1"/>
    <w:rsid w:val="000B3CC5"/>
    <w:rsid w:val="000B3FAA"/>
    <w:rsid w:val="000B401A"/>
    <w:rsid w:val="000B5701"/>
    <w:rsid w:val="000B5703"/>
    <w:rsid w:val="000B5B11"/>
    <w:rsid w:val="000B5CB9"/>
    <w:rsid w:val="000B63E4"/>
    <w:rsid w:val="000B7005"/>
    <w:rsid w:val="000B7661"/>
    <w:rsid w:val="000C0012"/>
    <w:rsid w:val="000C2654"/>
    <w:rsid w:val="000C2A66"/>
    <w:rsid w:val="000C38A7"/>
    <w:rsid w:val="000C3DB5"/>
    <w:rsid w:val="000C44C6"/>
    <w:rsid w:val="000C45BF"/>
    <w:rsid w:val="000C4745"/>
    <w:rsid w:val="000C48D3"/>
    <w:rsid w:val="000C4989"/>
    <w:rsid w:val="000C4A73"/>
    <w:rsid w:val="000C4D6A"/>
    <w:rsid w:val="000C4E87"/>
    <w:rsid w:val="000C5C10"/>
    <w:rsid w:val="000C618C"/>
    <w:rsid w:val="000C64D2"/>
    <w:rsid w:val="000C6AE5"/>
    <w:rsid w:val="000C6CC2"/>
    <w:rsid w:val="000C7462"/>
    <w:rsid w:val="000D0651"/>
    <w:rsid w:val="000D0CC5"/>
    <w:rsid w:val="000D1009"/>
    <w:rsid w:val="000D1341"/>
    <w:rsid w:val="000D14F5"/>
    <w:rsid w:val="000D173C"/>
    <w:rsid w:val="000D1C8F"/>
    <w:rsid w:val="000D1E34"/>
    <w:rsid w:val="000D1ECF"/>
    <w:rsid w:val="000D211C"/>
    <w:rsid w:val="000D2C24"/>
    <w:rsid w:val="000D32C8"/>
    <w:rsid w:val="000D37F0"/>
    <w:rsid w:val="000D3F2B"/>
    <w:rsid w:val="000D420F"/>
    <w:rsid w:val="000D427C"/>
    <w:rsid w:val="000D4518"/>
    <w:rsid w:val="000D4E95"/>
    <w:rsid w:val="000D4F93"/>
    <w:rsid w:val="000D569E"/>
    <w:rsid w:val="000D5C02"/>
    <w:rsid w:val="000D6641"/>
    <w:rsid w:val="000D673B"/>
    <w:rsid w:val="000D73C7"/>
    <w:rsid w:val="000D74B5"/>
    <w:rsid w:val="000E0556"/>
    <w:rsid w:val="000E0D16"/>
    <w:rsid w:val="000E0E52"/>
    <w:rsid w:val="000E19D7"/>
    <w:rsid w:val="000E1C87"/>
    <w:rsid w:val="000E226E"/>
    <w:rsid w:val="000E3960"/>
    <w:rsid w:val="000E3C38"/>
    <w:rsid w:val="000E4B23"/>
    <w:rsid w:val="000E4E97"/>
    <w:rsid w:val="000E5EDC"/>
    <w:rsid w:val="000E63DE"/>
    <w:rsid w:val="000E6954"/>
    <w:rsid w:val="000E6BFB"/>
    <w:rsid w:val="000E6E0D"/>
    <w:rsid w:val="000E7B66"/>
    <w:rsid w:val="000F043A"/>
    <w:rsid w:val="000F06F1"/>
    <w:rsid w:val="000F0A47"/>
    <w:rsid w:val="000F0BE9"/>
    <w:rsid w:val="000F1096"/>
    <w:rsid w:val="000F1688"/>
    <w:rsid w:val="000F2F95"/>
    <w:rsid w:val="000F3176"/>
    <w:rsid w:val="000F3278"/>
    <w:rsid w:val="000F34E4"/>
    <w:rsid w:val="000F3756"/>
    <w:rsid w:val="000F4829"/>
    <w:rsid w:val="000F546D"/>
    <w:rsid w:val="000F56D3"/>
    <w:rsid w:val="000F5CB2"/>
    <w:rsid w:val="000F6413"/>
    <w:rsid w:val="000F6667"/>
    <w:rsid w:val="000F672C"/>
    <w:rsid w:val="000F77AE"/>
    <w:rsid w:val="000F79D7"/>
    <w:rsid w:val="0010053C"/>
    <w:rsid w:val="00100E38"/>
    <w:rsid w:val="0010116D"/>
    <w:rsid w:val="001031F9"/>
    <w:rsid w:val="001035C8"/>
    <w:rsid w:val="001038C1"/>
    <w:rsid w:val="001046E1"/>
    <w:rsid w:val="00104F47"/>
    <w:rsid w:val="00105053"/>
    <w:rsid w:val="00105A31"/>
    <w:rsid w:val="00105BB5"/>
    <w:rsid w:val="00105CD0"/>
    <w:rsid w:val="00106865"/>
    <w:rsid w:val="00110094"/>
    <w:rsid w:val="001107AA"/>
    <w:rsid w:val="00110C50"/>
    <w:rsid w:val="0011106D"/>
    <w:rsid w:val="001116E6"/>
    <w:rsid w:val="001123E6"/>
    <w:rsid w:val="001123F7"/>
    <w:rsid w:val="00115102"/>
    <w:rsid w:val="0011567E"/>
    <w:rsid w:val="00115DC8"/>
    <w:rsid w:val="001160EA"/>
    <w:rsid w:val="00117D4B"/>
    <w:rsid w:val="00120153"/>
    <w:rsid w:val="001206F2"/>
    <w:rsid w:val="00120D1A"/>
    <w:rsid w:val="001217EC"/>
    <w:rsid w:val="001226A8"/>
    <w:rsid w:val="00122DF8"/>
    <w:rsid w:val="00123A58"/>
    <w:rsid w:val="00123C02"/>
    <w:rsid w:val="00123FAE"/>
    <w:rsid w:val="001243CB"/>
    <w:rsid w:val="0012469F"/>
    <w:rsid w:val="0012531C"/>
    <w:rsid w:val="00125400"/>
    <w:rsid w:val="00125892"/>
    <w:rsid w:val="00125A26"/>
    <w:rsid w:val="00125E35"/>
    <w:rsid w:val="0012610F"/>
    <w:rsid w:val="001261D8"/>
    <w:rsid w:val="00126A14"/>
    <w:rsid w:val="00126DFD"/>
    <w:rsid w:val="001270EF"/>
    <w:rsid w:val="001271DF"/>
    <w:rsid w:val="0012732A"/>
    <w:rsid w:val="001273D3"/>
    <w:rsid w:val="001274D5"/>
    <w:rsid w:val="00127716"/>
    <w:rsid w:val="00127AE9"/>
    <w:rsid w:val="00127D95"/>
    <w:rsid w:val="00127DE3"/>
    <w:rsid w:val="00130A28"/>
    <w:rsid w:val="00131C4B"/>
    <w:rsid w:val="001327D7"/>
    <w:rsid w:val="00132A3E"/>
    <w:rsid w:val="00133A5E"/>
    <w:rsid w:val="0013478B"/>
    <w:rsid w:val="0013598C"/>
    <w:rsid w:val="00136735"/>
    <w:rsid w:val="00137095"/>
    <w:rsid w:val="001372D2"/>
    <w:rsid w:val="00137629"/>
    <w:rsid w:val="00137A07"/>
    <w:rsid w:val="00137CF1"/>
    <w:rsid w:val="001400E0"/>
    <w:rsid w:val="001401C7"/>
    <w:rsid w:val="00140790"/>
    <w:rsid w:val="00140E47"/>
    <w:rsid w:val="0014164A"/>
    <w:rsid w:val="00141752"/>
    <w:rsid w:val="001418AD"/>
    <w:rsid w:val="00141FA8"/>
    <w:rsid w:val="001420B4"/>
    <w:rsid w:val="00143C80"/>
    <w:rsid w:val="00143DDE"/>
    <w:rsid w:val="00143F77"/>
    <w:rsid w:val="001440E7"/>
    <w:rsid w:val="001443DE"/>
    <w:rsid w:val="00144ADE"/>
    <w:rsid w:val="00144CBF"/>
    <w:rsid w:val="00144DA7"/>
    <w:rsid w:val="00145749"/>
    <w:rsid w:val="00145B07"/>
    <w:rsid w:val="00145F1F"/>
    <w:rsid w:val="0014614D"/>
    <w:rsid w:val="00146317"/>
    <w:rsid w:val="0014675E"/>
    <w:rsid w:val="00146EC6"/>
    <w:rsid w:val="00150496"/>
    <w:rsid w:val="00150936"/>
    <w:rsid w:val="0015177E"/>
    <w:rsid w:val="00151A3B"/>
    <w:rsid w:val="00152F2C"/>
    <w:rsid w:val="001530EC"/>
    <w:rsid w:val="00153B95"/>
    <w:rsid w:val="00154128"/>
    <w:rsid w:val="0015439D"/>
    <w:rsid w:val="00155248"/>
    <w:rsid w:val="00156194"/>
    <w:rsid w:val="00156C39"/>
    <w:rsid w:val="0015747E"/>
    <w:rsid w:val="0015782E"/>
    <w:rsid w:val="001601C2"/>
    <w:rsid w:val="0016085B"/>
    <w:rsid w:val="00160AB3"/>
    <w:rsid w:val="00161647"/>
    <w:rsid w:val="001617DE"/>
    <w:rsid w:val="00161958"/>
    <w:rsid w:val="001625E9"/>
    <w:rsid w:val="00163114"/>
    <w:rsid w:val="00164877"/>
    <w:rsid w:val="00164ACD"/>
    <w:rsid w:val="00164FAA"/>
    <w:rsid w:val="00165649"/>
    <w:rsid w:val="001673ED"/>
    <w:rsid w:val="001675BE"/>
    <w:rsid w:val="0016763E"/>
    <w:rsid w:val="00171201"/>
    <w:rsid w:val="00171B68"/>
    <w:rsid w:val="00171D11"/>
    <w:rsid w:val="00172235"/>
    <w:rsid w:val="0017284A"/>
    <w:rsid w:val="00172D66"/>
    <w:rsid w:val="001730F4"/>
    <w:rsid w:val="0017340E"/>
    <w:rsid w:val="00173482"/>
    <w:rsid w:val="001739C9"/>
    <w:rsid w:val="00174774"/>
    <w:rsid w:val="0017492A"/>
    <w:rsid w:val="00174BA6"/>
    <w:rsid w:val="00174CAB"/>
    <w:rsid w:val="001756DC"/>
    <w:rsid w:val="00175AF4"/>
    <w:rsid w:val="00177482"/>
    <w:rsid w:val="001775A3"/>
    <w:rsid w:val="00177A54"/>
    <w:rsid w:val="001809CC"/>
    <w:rsid w:val="00181EC3"/>
    <w:rsid w:val="00181EE6"/>
    <w:rsid w:val="0018229E"/>
    <w:rsid w:val="00182A0C"/>
    <w:rsid w:val="00182DAE"/>
    <w:rsid w:val="0018333F"/>
    <w:rsid w:val="00183CED"/>
    <w:rsid w:val="001842E5"/>
    <w:rsid w:val="001843B2"/>
    <w:rsid w:val="00184E59"/>
    <w:rsid w:val="001856DA"/>
    <w:rsid w:val="001878A4"/>
    <w:rsid w:val="00187C48"/>
    <w:rsid w:val="00190A8E"/>
    <w:rsid w:val="001914CE"/>
    <w:rsid w:val="00192073"/>
    <w:rsid w:val="00192FEB"/>
    <w:rsid w:val="0019406E"/>
    <w:rsid w:val="0019463A"/>
    <w:rsid w:val="00194E28"/>
    <w:rsid w:val="00194EFC"/>
    <w:rsid w:val="00195539"/>
    <w:rsid w:val="00195734"/>
    <w:rsid w:val="001959B8"/>
    <w:rsid w:val="00195B91"/>
    <w:rsid w:val="00196065"/>
    <w:rsid w:val="001960C5"/>
    <w:rsid w:val="001965DF"/>
    <w:rsid w:val="001968C9"/>
    <w:rsid w:val="00196D34"/>
    <w:rsid w:val="00197265"/>
    <w:rsid w:val="00197434"/>
    <w:rsid w:val="00197635"/>
    <w:rsid w:val="00197728"/>
    <w:rsid w:val="001A030B"/>
    <w:rsid w:val="001A0BCB"/>
    <w:rsid w:val="001A150D"/>
    <w:rsid w:val="001A1956"/>
    <w:rsid w:val="001A2367"/>
    <w:rsid w:val="001A2768"/>
    <w:rsid w:val="001A2887"/>
    <w:rsid w:val="001A2C0D"/>
    <w:rsid w:val="001A3171"/>
    <w:rsid w:val="001A36B5"/>
    <w:rsid w:val="001A3A8F"/>
    <w:rsid w:val="001A3CDC"/>
    <w:rsid w:val="001A4C0E"/>
    <w:rsid w:val="001A4CC2"/>
    <w:rsid w:val="001A5581"/>
    <w:rsid w:val="001A56B3"/>
    <w:rsid w:val="001A66B4"/>
    <w:rsid w:val="001A6BB7"/>
    <w:rsid w:val="001A6FC9"/>
    <w:rsid w:val="001A747B"/>
    <w:rsid w:val="001A74BB"/>
    <w:rsid w:val="001B00BB"/>
    <w:rsid w:val="001B02FF"/>
    <w:rsid w:val="001B03DC"/>
    <w:rsid w:val="001B04A0"/>
    <w:rsid w:val="001B087F"/>
    <w:rsid w:val="001B0D52"/>
    <w:rsid w:val="001B10E4"/>
    <w:rsid w:val="001B1873"/>
    <w:rsid w:val="001B1B1A"/>
    <w:rsid w:val="001B1F96"/>
    <w:rsid w:val="001B2108"/>
    <w:rsid w:val="001B2867"/>
    <w:rsid w:val="001B2B36"/>
    <w:rsid w:val="001B3D73"/>
    <w:rsid w:val="001B40C5"/>
    <w:rsid w:val="001B45C5"/>
    <w:rsid w:val="001B4627"/>
    <w:rsid w:val="001B51BE"/>
    <w:rsid w:val="001B53D6"/>
    <w:rsid w:val="001B5423"/>
    <w:rsid w:val="001B5EC1"/>
    <w:rsid w:val="001B61C9"/>
    <w:rsid w:val="001B6FE5"/>
    <w:rsid w:val="001B7F4D"/>
    <w:rsid w:val="001C08F4"/>
    <w:rsid w:val="001C19C6"/>
    <w:rsid w:val="001C30CA"/>
    <w:rsid w:val="001C3506"/>
    <w:rsid w:val="001C3C87"/>
    <w:rsid w:val="001C484D"/>
    <w:rsid w:val="001C4F1B"/>
    <w:rsid w:val="001C5991"/>
    <w:rsid w:val="001C5ECD"/>
    <w:rsid w:val="001C7175"/>
    <w:rsid w:val="001C7723"/>
    <w:rsid w:val="001C7A31"/>
    <w:rsid w:val="001C7D42"/>
    <w:rsid w:val="001D0214"/>
    <w:rsid w:val="001D0471"/>
    <w:rsid w:val="001D05E4"/>
    <w:rsid w:val="001D0F45"/>
    <w:rsid w:val="001D1292"/>
    <w:rsid w:val="001D2CAD"/>
    <w:rsid w:val="001D2D2E"/>
    <w:rsid w:val="001D3587"/>
    <w:rsid w:val="001D3633"/>
    <w:rsid w:val="001D3BCB"/>
    <w:rsid w:val="001D3BFE"/>
    <w:rsid w:val="001D3E0E"/>
    <w:rsid w:val="001D4576"/>
    <w:rsid w:val="001D471B"/>
    <w:rsid w:val="001D49D1"/>
    <w:rsid w:val="001D4B7F"/>
    <w:rsid w:val="001D4BDD"/>
    <w:rsid w:val="001D4BE0"/>
    <w:rsid w:val="001D4CBC"/>
    <w:rsid w:val="001D4DF4"/>
    <w:rsid w:val="001D5145"/>
    <w:rsid w:val="001D5563"/>
    <w:rsid w:val="001D5C8B"/>
    <w:rsid w:val="001D6A95"/>
    <w:rsid w:val="001D6C85"/>
    <w:rsid w:val="001E001C"/>
    <w:rsid w:val="001E0112"/>
    <w:rsid w:val="001E12F9"/>
    <w:rsid w:val="001E15EE"/>
    <w:rsid w:val="001E1C6E"/>
    <w:rsid w:val="001E1DD1"/>
    <w:rsid w:val="001E23AB"/>
    <w:rsid w:val="001E26E5"/>
    <w:rsid w:val="001E31CB"/>
    <w:rsid w:val="001E366E"/>
    <w:rsid w:val="001E36A7"/>
    <w:rsid w:val="001E40ED"/>
    <w:rsid w:val="001E49A9"/>
    <w:rsid w:val="001E4F39"/>
    <w:rsid w:val="001E679D"/>
    <w:rsid w:val="001E7623"/>
    <w:rsid w:val="001E797F"/>
    <w:rsid w:val="001E7BCA"/>
    <w:rsid w:val="001F0F19"/>
    <w:rsid w:val="001F122D"/>
    <w:rsid w:val="001F1783"/>
    <w:rsid w:val="001F1C2E"/>
    <w:rsid w:val="001F2225"/>
    <w:rsid w:val="001F2370"/>
    <w:rsid w:val="001F2C44"/>
    <w:rsid w:val="001F326C"/>
    <w:rsid w:val="001F3B77"/>
    <w:rsid w:val="001F4874"/>
    <w:rsid w:val="001F4A24"/>
    <w:rsid w:val="001F4A60"/>
    <w:rsid w:val="001F51EB"/>
    <w:rsid w:val="001F5CB8"/>
    <w:rsid w:val="001F5D60"/>
    <w:rsid w:val="001F652A"/>
    <w:rsid w:val="001F6A61"/>
    <w:rsid w:val="001F70E7"/>
    <w:rsid w:val="002008B8"/>
    <w:rsid w:val="0020136C"/>
    <w:rsid w:val="002021FD"/>
    <w:rsid w:val="0020240B"/>
    <w:rsid w:val="002038D5"/>
    <w:rsid w:val="00203F14"/>
    <w:rsid w:val="00204A41"/>
    <w:rsid w:val="00204BA2"/>
    <w:rsid w:val="00204C0D"/>
    <w:rsid w:val="00204F57"/>
    <w:rsid w:val="002052BF"/>
    <w:rsid w:val="002058C4"/>
    <w:rsid w:val="00205947"/>
    <w:rsid w:val="00205A5F"/>
    <w:rsid w:val="00205E0E"/>
    <w:rsid w:val="002060D5"/>
    <w:rsid w:val="00206550"/>
    <w:rsid w:val="00206A4F"/>
    <w:rsid w:val="00206CE5"/>
    <w:rsid w:val="00207302"/>
    <w:rsid w:val="002079CD"/>
    <w:rsid w:val="00210232"/>
    <w:rsid w:val="002103C1"/>
    <w:rsid w:val="00210489"/>
    <w:rsid w:val="00211906"/>
    <w:rsid w:val="00211B72"/>
    <w:rsid w:val="00211D41"/>
    <w:rsid w:val="002120F4"/>
    <w:rsid w:val="002121E9"/>
    <w:rsid w:val="002134A1"/>
    <w:rsid w:val="00213607"/>
    <w:rsid w:val="00213A9D"/>
    <w:rsid w:val="0021404A"/>
    <w:rsid w:val="00214A18"/>
    <w:rsid w:val="00214DFE"/>
    <w:rsid w:val="00214F74"/>
    <w:rsid w:val="002151EE"/>
    <w:rsid w:val="002155D5"/>
    <w:rsid w:val="002155F4"/>
    <w:rsid w:val="0021578A"/>
    <w:rsid w:val="00216043"/>
    <w:rsid w:val="0021649A"/>
    <w:rsid w:val="00216B4E"/>
    <w:rsid w:val="00216EDC"/>
    <w:rsid w:val="00217486"/>
    <w:rsid w:val="002175B0"/>
    <w:rsid w:val="002176B2"/>
    <w:rsid w:val="00217C28"/>
    <w:rsid w:val="00217CCF"/>
    <w:rsid w:val="0022043E"/>
    <w:rsid w:val="002205BB"/>
    <w:rsid w:val="002209B3"/>
    <w:rsid w:val="00220C5A"/>
    <w:rsid w:val="00220E58"/>
    <w:rsid w:val="0022107E"/>
    <w:rsid w:val="00221403"/>
    <w:rsid w:val="00222D7A"/>
    <w:rsid w:val="00223305"/>
    <w:rsid w:val="00223C93"/>
    <w:rsid w:val="002240D1"/>
    <w:rsid w:val="002243D0"/>
    <w:rsid w:val="002247AA"/>
    <w:rsid w:val="00224856"/>
    <w:rsid w:val="00224A74"/>
    <w:rsid w:val="00224B9E"/>
    <w:rsid w:val="002261B9"/>
    <w:rsid w:val="002266C1"/>
    <w:rsid w:val="0022755A"/>
    <w:rsid w:val="00227E28"/>
    <w:rsid w:val="0023010E"/>
    <w:rsid w:val="00231DEE"/>
    <w:rsid w:val="00232798"/>
    <w:rsid w:val="00232813"/>
    <w:rsid w:val="002330E7"/>
    <w:rsid w:val="00233630"/>
    <w:rsid w:val="002336F1"/>
    <w:rsid w:val="002337F6"/>
    <w:rsid w:val="00233959"/>
    <w:rsid w:val="002340BB"/>
    <w:rsid w:val="002343D8"/>
    <w:rsid w:val="00234494"/>
    <w:rsid w:val="00234AD3"/>
    <w:rsid w:val="00235113"/>
    <w:rsid w:val="00235F8A"/>
    <w:rsid w:val="00236750"/>
    <w:rsid w:val="00236B6B"/>
    <w:rsid w:val="002377DA"/>
    <w:rsid w:val="00240141"/>
    <w:rsid w:val="00240B50"/>
    <w:rsid w:val="00240D9F"/>
    <w:rsid w:val="002412D9"/>
    <w:rsid w:val="00241956"/>
    <w:rsid w:val="00241DDF"/>
    <w:rsid w:val="002420E9"/>
    <w:rsid w:val="00243369"/>
    <w:rsid w:val="00243657"/>
    <w:rsid w:val="00243A53"/>
    <w:rsid w:val="002440EC"/>
    <w:rsid w:val="00244832"/>
    <w:rsid w:val="00244E5E"/>
    <w:rsid w:val="002451C8"/>
    <w:rsid w:val="00245B76"/>
    <w:rsid w:val="00245E00"/>
    <w:rsid w:val="002460DE"/>
    <w:rsid w:val="0024625F"/>
    <w:rsid w:val="00246571"/>
    <w:rsid w:val="002470A7"/>
    <w:rsid w:val="00247FE7"/>
    <w:rsid w:val="002509A5"/>
    <w:rsid w:val="00250AD2"/>
    <w:rsid w:val="00250B87"/>
    <w:rsid w:val="00252616"/>
    <w:rsid w:val="0025341B"/>
    <w:rsid w:val="002534E1"/>
    <w:rsid w:val="0025484E"/>
    <w:rsid w:val="00254EBE"/>
    <w:rsid w:val="0025555F"/>
    <w:rsid w:val="002555CD"/>
    <w:rsid w:val="00255C9B"/>
    <w:rsid w:val="00256E2A"/>
    <w:rsid w:val="002571E4"/>
    <w:rsid w:val="00257349"/>
    <w:rsid w:val="00257834"/>
    <w:rsid w:val="00257995"/>
    <w:rsid w:val="00257D51"/>
    <w:rsid w:val="00260214"/>
    <w:rsid w:val="002604AC"/>
    <w:rsid w:val="00261980"/>
    <w:rsid w:val="002623EC"/>
    <w:rsid w:val="0026295E"/>
    <w:rsid w:val="00262B3F"/>
    <w:rsid w:val="00262B81"/>
    <w:rsid w:val="00263024"/>
    <w:rsid w:val="00263D24"/>
    <w:rsid w:val="00263FBA"/>
    <w:rsid w:val="0026401C"/>
    <w:rsid w:val="00264370"/>
    <w:rsid w:val="00264F0A"/>
    <w:rsid w:val="00265811"/>
    <w:rsid w:val="00265961"/>
    <w:rsid w:val="00265BA3"/>
    <w:rsid w:val="00265C58"/>
    <w:rsid w:val="002663CF"/>
    <w:rsid w:val="0026681F"/>
    <w:rsid w:val="00266C0C"/>
    <w:rsid w:val="00266EE1"/>
    <w:rsid w:val="00267BBE"/>
    <w:rsid w:val="0027104C"/>
    <w:rsid w:val="0027166D"/>
    <w:rsid w:val="002723CA"/>
    <w:rsid w:val="002725A9"/>
    <w:rsid w:val="00272887"/>
    <w:rsid w:val="00272D6A"/>
    <w:rsid w:val="00273A80"/>
    <w:rsid w:val="00273EE5"/>
    <w:rsid w:val="002744E6"/>
    <w:rsid w:val="0027457E"/>
    <w:rsid w:val="00274877"/>
    <w:rsid w:val="00275005"/>
    <w:rsid w:val="00275731"/>
    <w:rsid w:val="00275F4D"/>
    <w:rsid w:val="002778F5"/>
    <w:rsid w:val="00280617"/>
    <w:rsid w:val="002807F6"/>
    <w:rsid w:val="00280DE8"/>
    <w:rsid w:val="002815B4"/>
    <w:rsid w:val="00281D3A"/>
    <w:rsid w:val="00282169"/>
    <w:rsid w:val="00282AB2"/>
    <w:rsid w:val="00282AE0"/>
    <w:rsid w:val="00282BB2"/>
    <w:rsid w:val="00282D4F"/>
    <w:rsid w:val="00282DF2"/>
    <w:rsid w:val="00283390"/>
    <w:rsid w:val="0028463F"/>
    <w:rsid w:val="00285686"/>
    <w:rsid w:val="002857E8"/>
    <w:rsid w:val="00285DDE"/>
    <w:rsid w:val="00286350"/>
    <w:rsid w:val="00286C0A"/>
    <w:rsid w:val="00286C4F"/>
    <w:rsid w:val="00286FB8"/>
    <w:rsid w:val="002900AA"/>
    <w:rsid w:val="00290224"/>
    <w:rsid w:val="00290A5F"/>
    <w:rsid w:val="00290DAB"/>
    <w:rsid w:val="002912BF"/>
    <w:rsid w:val="0029327D"/>
    <w:rsid w:val="002938E8"/>
    <w:rsid w:val="00294037"/>
    <w:rsid w:val="0029499B"/>
    <w:rsid w:val="00294A06"/>
    <w:rsid w:val="00294D84"/>
    <w:rsid w:val="00295ADA"/>
    <w:rsid w:val="002965F2"/>
    <w:rsid w:val="00296C0A"/>
    <w:rsid w:val="002974A2"/>
    <w:rsid w:val="002A0D7E"/>
    <w:rsid w:val="002A28D1"/>
    <w:rsid w:val="002A3C32"/>
    <w:rsid w:val="002A4069"/>
    <w:rsid w:val="002A4243"/>
    <w:rsid w:val="002A490F"/>
    <w:rsid w:val="002A57FA"/>
    <w:rsid w:val="002A6B29"/>
    <w:rsid w:val="002A6F39"/>
    <w:rsid w:val="002A72BA"/>
    <w:rsid w:val="002A7A48"/>
    <w:rsid w:val="002A7F4E"/>
    <w:rsid w:val="002B0C78"/>
    <w:rsid w:val="002B1490"/>
    <w:rsid w:val="002B1679"/>
    <w:rsid w:val="002B1E8F"/>
    <w:rsid w:val="002B26FC"/>
    <w:rsid w:val="002B2B3D"/>
    <w:rsid w:val="002B2BFA"/>
    <w:rsid w:val="002B30C3"/>
    <w:rsid w:val="002B3290"/>
    <w:rsid w:val="002B498E"/>
    <w:rsid w:val="002B5CBE"/>
    <w:rsid w:val="002B6336"/>
    <w:rsid w:val="002B6B12"/>
    <w:rsid w:val="002B7126"/>
    <w:rsid w:val="002B7E0E"/>
    <w:rsid w:val="002C009F"/>
    <w:rsid w:val="002C0FD6"/>
    <w:rsid w:val="002C1CB7"/>
    <w:rsid w:val="002C1D3A"/>
    <w:rsid w:val="002C25D1"/>
    <w:rsid w:val="002C2FAE"/>
    <w:rsid w:val="002C309C"/>
    <w:rsid w:val="002C35FD"/>
    <w:rsid w:val="002C3931"/>
    <w:rsid w:val="002C3E40"/>
    <w:rsid w:val="002C4BA6"/>
    <w:rsid w:val="002C5F1D"/>
    <w:rsid w:val="002C6925"/>
    <w:rsid w:val="002C6D38"/>
    <w:rsid w:val="002C7EBF"/>
    <w:rsid w:val="002D0194"/>
    <w:rsid w:val="002D08B3"/>
    <w:rsid w:val="002D093F"/>
    <w:rsid w:val="002D0A05"/>
    <w:rsid w:val="002D17C5"/>
    <w:rsid w:val="002D1FDA"/>
    <w:rsid w:val="002D225A"/>
    <w:rsid w:val="002D22C9"/>
    <w:rsid w:val="002D2798"/>
    <w:rsid w:val="002D2893"/>
    <w:rsid w:val="002D2957"/>
    <w:rsid w:val="002D2AD3"/>
    <w:rsid w:val="002D34E6"/>
    <w:rsid w:val="002D4347"/>
    <w:rsid w:val="002D44AB"/>
    <w:rsid w:val="002D4645"/>
    <w:rsid w:val="002D4B81"/>
    <w:rsid w:val="002D4D56"/>
    <w:rsid w:val="002D58D7"/>
    <w:rsid w:val="002D6D18"/>
    <w:rsid w:val="002D700C"/>
    <w:rsid w:val="002D7910"/>
    <w:rsid w:val="002D7BEA"/>
    <w:rsid w:val="002E1918"/>
    <w:rsid w:val="002E23B0"/>
    <w:rsid w:val="002E2434"/>
    <w:rsid w:val="002E2502"/>
    <w:rsid w:val="002E257F"/>
    <w:rsid w:val="002E2905"/>
    <w:rsid w:val="002E2C57"/>
    <w:rsid w:val="002E3B9E"/>
    <w:rsid w:val="002E3CB9"/>
    <w:rsid w:val="002E4046"/>
    <w:rsid w:val="002E42CF"/>
    <w:rsid w:val="002E4F53"/>
    <w:rsid w:val="002E5134"/>
    <w:rsid w:val="002E5764"/>
    <w:rsid w:val="002E6063"/>
    <w:rsid w:val="002E610D"/>
    <w:rsid w:val="002E649D"/>
    <w:rsid w:val="002E6BA1"/>
    <w:rsid w:val="002E6CD7"/>
    <w:rsid w:val="002E6FE8"/>
    <w:rsid w:val="002E7BC8"/>
    <w:rsid w:val="002E7CAF"/>
    <w:rsid w:val="002F052E"/>
    <w:rsid w:val="002F05B9"/>
    <w:rsid w:val="002F07E2"/>
    <w:rsid w:val="002F16AA"/>
    <w:rsid w:val="002F18EF"/>
    <w:rsid w:val="002F1A18"/>
    <w:rsid w:val="002F1FB4"/>
    <w:rsid w:val="002F217C"/>
    <w:rsid w:val="002F27B1"/>
    <w:rsid w:val="002F2B17"/>
    <w:rsid w:val="002F4839"/>
    <w:rsid w:val="002F4D64"/>
    <w:rsid w:val="002F545A"/>
    <w:rsid w:val="002F64FC"/>
    <w:rsid w:val="002F6A3A"/>
    <w:rsid w:val="002F7CAE"/>
    <w:rsid w:val="002F7CD3"/>
    <w:rsid w:val="00300360"/>
    <w:rsid w:val="00302823"/>
    <w:rsid w:val="00303063"/>
    <w:rsid w:val="003034D7"/>
    <w:rsid w:val="00303591"/>
    <w:rsid w:val="0030386C"/>
    <w:rsid w:val="0030437A"/>
    <w:rsid w:val="00304B66"/>
    <w:rsid w:val="00304C4D"/>
    <w:rsid w:val="00304D12"/>
    <w:rsid w:val="00304FD1"/>
    <w:rsid w:val="0030504D"/>
    <w:rsid w:val="0030578D"/>
    <w:rsid w:val="0030588B"/>
    <w:rsid w:val="00305ADC"/>
    <w:rsid w:val="0030754C"/>
    <w:rsid w:val="003075AB"/>
    <w:rsid w:val="0031050F"/>
    <w:rsid w:val="00310FF8"/>
    <w:rsid w:val="003113B0"/>
    <w:rsid w:val="00312335"/>
    <w:rsid w:val="003124F6"/>
    <w:rsid w:val="00312FFF"/>
    <w:rsid w:val="00313135"/>
    <w:rsid w:val="003134BD"/>
    <w:rsid w:val="00313608"/>
    <w:rsid w:val="003136DD"/>
    <w:rsid w:val="0031473D"/>
    <w:rsid w:val="00314F29"/>
    <w:rsid w:val="00315472"/>
    <w:rsid w:val="00315B27"/>
    <w:rsid w:val="00315E3E"/>
    <w:rsid w:val="00315FE8"/>
    <w:rsid w:val="0031639C"/>
    <w:rsid w:val="00317687"/>
    <w:rsid w:val="0031789D"/>
    <w:rsid w:val="00317F08"/>
    <w:rsid w:val="00320A1E"/>
    <w:rsid w:val="00320A3C"/>
    <w:rsid w:val="00320D33"/>
    <w:rsid w:val="00321557"/>
    <w:rsid w:val="00321719"/>
    <w:rsid w:val="00321789"/>
    <w:rsid w:val="0032188F"/>
    <w:rsid w:val="003218E0"/>
    <w:rsid w:val="00321BF1"/>
    <w:rsid w:val="00321D12"/>
    <w:rsid w:val="00321E80"/>
    <w:rsid w:val="00322216"/>
    <w:rsid w:val="00322928"/>
    <w:rsid w:val="003237D7"/>
    <w:rsid w:val="003238E7"/>
    <w:rsid w:val="003240E3"/>
    <w:rsid w:val="00324728"/>
    <w:rsid w:val="00325297"/>
    <w:rsid w:val="00326212"/>
    <w:rsid w:val="0032634E"/>
    <w:rsid w:val="003268C9"/>
    <w:rsid w:val="003269B0"/>
    <w:rsid w:val="003306E0"/>
    <w:rsid w:val="003306FE"/>
    <w:rsid w:val="00330CCD"/>
    <w:rsid w:val="00331792"/>
    <w:rsid w:val="003319C9"/>
    <w:rsid w:val="00332059"/>
    <w:rsid w:val="00332601"/>
    <w:rsid w:val="00332F60"/>
    <w:rsid w:val="00333FCC"/>
    <w:rsid w:val="003376A4"/>
    <w:rsid w:val="00337A68"/>
    <w:rsid w:val="00340D14"/>
    <w:rsid w:val="00341417"/>
    <w:rsid w:val="00341540"/>
    <w:rsid w:val="00341D2A"/>
    <w:rsid w:val="00341E15"/>
    <w:rsid w:val="00342D48"/>
    <w:rsid w:val="00342EF6"/>
    <w:rsid w:val="00342F58"/>
    <w:rsid w:val="00343082"/>
    <w:rsid w:val="00343CA5"/>
    <w:rsid w:val="00344204"/>
    <w:rsid w:val="00344726"/>
    <w:rsid w:val="0034475B"/>
    <w:rsid w:val="00344DF1"/>
    <w:rsid w:val="00345290"/>
    <w:rsid w:val="00345482"/>
    <w:rsid w:val="00345733"/>
    <w:rsid w:val="0034594F"/>
    <w:rsid w:val="0034604B"/>
    <w:rsid w:val="0034674F"/>
    <w:rsid w:val="00346DC4"/>
    <w:rsid w:val="00347BE1"/>
    <w:rsid w:val="00347C6F"/>
    <w:rsid w:val="003518D4"/>
    <w:rsid w:val="0035241E"/>
    <w:rsid w:val="003525C0"/>
    <w:rsid w:val="0035455D"/>
    <w:rsid w:val="00354786"/>
    <w:rsid w:val="00354935"/>
    <w:rsid w:val="003550AE"/>
    <w:rsid w:val="00355953"/>
    <w:rsid w:val="00355E85"/>
    <w:rsid w:val="003560AE"/>
    <w:rsid w:val="003560DC"/>
    <w:rsid w:val="00356E19"/>
    <w:rsid w:val="003571C1"/>
    <w:rsid w:val="00360717"/>
    <w:rsid w:val="00360D46"/>
    <w:rsid w:val="00361FF7"/>
    <w:rsid w:val="0036279D"/>
    <w:rsid w:val="00362E6C"/>
    <w:rsid w:val="0036462F"/>
    <w:rsid w:val="00365DD0"/>
    <w:rsid w:val="00365F26"/>
    <w:rsid w:val="0036743F"/>
    <w:rsid w:val="00370ADE"/>
    <w:rsid w:val="00372228"/>
    <w:rsid w:val="00372553"/>
    <w:rsid w:val="003729BD"/>
    <w:rsid w:val="003736A1"/>
    <w:rsid w:val="00373928"/>
    <w:rsid w:val="003742F6"/>
    <w:rsid w:val="00374D47"/>
    <w:rsid w:val="003757AC"/>
    <w:rsid w:val="0037583D"/>
    <w:rsid w:val="00376216"/>
    <w:rsid w:val="00376615"/>
    <w:rsid w:val="00377C8A"/>
    <w:rsid w:val="00377F72"/>
    <w:rsid w:val="0038001F"/>
    <w:rsid w:val="00380620"/>
    <w:rsid w:val="0038107D"/>
    <w:rsid w:val="003816F7"/>
    <w:rsid w:val="00381732"/>
    <w:rsid w:val="0038191C"/>
    <w:rsid w:val="00381C64"/>
    <w:rsid w:val="00381D3A"/>
    <w:rsid w:val="00381E1E"/>
    <w:rsid w:val="00382330"/>
    <w:rsid w:val="003823CC"/>
    <w:rsid w:val="00382F3B"/>
    <w:rsid w:val="0038342F"/>
    <w:rsid w:val="0038365B"/>
    <w:rsid w:val="0038390F"/>
    <w:rsid w:val="0038420F"/>
    <w:rsid w:val="003852ED"/>
    <w:rsid w:val="003856EB"/>
    <w:rsid w:val="00385728"/>
    <w:rsid w:val="00385C16"/>
    <w:rsid w:val="00385E73"/>
    <w:rsid w:val="00386046"/>
    <w:rsid w:val="0038691E"/>
    <w:rsid w:val="00386B60"/>
    <w:rsid w:val="00391020"/>
    <w:rsid w:val="003911B4"/>
    <w:rsid w:val="0039199C"/>
    <w:rsid w:val="00392CFA"/>
    <w:rsid w:val="003934E0"/>
    <w:rsid w:val="00393DC0"/>
    <w:rsid w:val="003944C5"/>
    <w:rsid w:val="00394A29"/>
    <w:rsid w:val="00394D4F"/>
    <w:rsid w:val="003956EE"/>
    <w:rsid w:val="0039769E"/>
    <w:rsid w:val="0039770C"/>
    <w:rsid w:val="00397C1F"/>
    <w:rsid w:val="00397F1E"/>
    <w:rsid w:val="003A09F7"/>
    <w:rsid w:val="003A0EEE"/>
    <w:rsid w:val="003A1771"/>
    <w:rsid w:val="003A1D4A"/>
    <w:rsid w:val="003A2210"/>
    <w:rsid w:val="003A24DB"/>
    <w:rsid w:val="003A2641"/>
    <w:rsid w:val="003A2820"/>
    <w:rsid w:val="003A2A84"/>
    <w:rsid w:val="003A2C70"/>
    <w:rsid w:val="003A303D"/>
    <w:rsid w:val="003A3139"/>
    <w:rsid w:val="003A3957"/>
    <w:rsid w:val="003A3962"/>
    <w:rsid w:val="003A469E"/>
    <w:rsid w:val="003A4BAE"/>
    <w:rsid w:val="003A4C53"/>
    <w:rsid w:val="003A6122"/>
    <w:rsid w:val="003A6C65"/>
    <w:rsid w:val="003A6D7F"/>
    <w:rsid w:val="003A6E37"/>
    <w:rsid w:val="003A7839"/>
    <w:rsid w:val="003B0344"/>
    <w:rsid w:val="003B0B47"/>
    <w:rsid w:val="003B2150"/>
    <w:rsid w:val="003B27B0"/>
    <w:rsid w:val="003B407E"/>
    <w:rsid w:val="003B45C0"/>
    <w:rsid w:val="003B4B99"/>
    <w:rsid w:val="003B4FFA"/>
    <w:rsid w:val="003B53B0"/>
    <w:rsid w:val="003B5466"/>
    <w:rsid w:val="003B617B"/>
    <w:rsid w:val="003B759C"/>
    <w:rsid w:val="003B7DF2"/>
    <w:rsid w:val="003C0109"/>
    <w:rsid w:val="003C01A1"/>
    <w:rsid w:val="003C0390"/>
    <w:rsid w:val="003C06AA"/>
    <w:rsid w:val="003C090C"/>
    <w:rsid w:val="003C2363"/>
    <w:rsid w:val="003C26C9"/>
    <w:rsid w:val="003C2D22"/>
    <w:rsid w:val="003C32CA"/>
    <w:rsid w:val="003C3956"/>
    <w:rsid w:val="003C3ACA"/>
    <w:rsid w:val="003C4614"/>
    <w:rsid w:val="003C4E69"/>
    <w:rsid w:val="003C606C"/>
    <w:rsid w:val="003C6C33"/>
    <w:rsid w:val="003C6D91"/>
    <w:rsid w:val="003C6F12"/>
    <w:rsid w:val="003C71CF"/>
    <w:rsid w:val="003C7310"/>
    <w:rsid w:val="003C79C6"/>
    <w:rsid w:val="003C7BEE"/>
    <w:rsid w:val="003C7EB0"/>
    <w:rsid w:val="003C7EF4"/>
    <w:rsid w:val="003D00C8"/>
    <w:rsid w:val="003D02FA"/>
    <w:rsid w:val="003D14A4"/>
    <w:rsid w:val="003D1613"/>
    <w:rsid w:val="003D16B1"/>
    <w:rsid w:val="003D1930"/>
    <w:rsid w:val="003D1CBD"/>
    <w:rsid w:val="003D2D51"/>
    <w:rsid w:val="003D3428"/>
    <w:rsid w:val="003D36F2"/>
    <w:rsid w:val="003D397B"/>
    <w:rsid w:val="003D3FD0"/>
    <w:rsid w:val="003D4450"/>
    <w:rsid w:val="003D472F"/>
    <w:rsid w:val="003D4BF1"/>
    <w:rsid w:val="003D54D2"/>
    <w:rsid w:val="003D580C"/>
    <w:rsid w:val="003D643F"/>
    <w:rsid w:val="003D6492"/>
    <w:rsid w:val="003D6577"/>
    <w:rsid w:val="003D719A"/>
    <w:rsid w:val="003D73B9"/>
    <w:rsid w:val="003D745C"/>
    <w:rsid w:val="003D76D6"/>
    <w:rsid w:val="003D7ED6"/>
    <w:rsid w:val="003E0ED2"/>
    <w:rsid w:val="003E14FF"/>
    <w:rsid w:val="003E21E9"/>
    <w:rsid w:val="003E2452"/>
    <w:rsid w:val="003E255D"/>
    <w:rsid w:val="003E3F7D"/>
    <w:rsid w:val="003E5830"/>
    <w:rsid w:val="003E5E85"/>
    <w:rsid w:val="003E5FD9"/>
    <w:rsid w:val="003E6317"/>
    <w:rsid w:val="003E6683"/>
    <w:rsid w:val="003E6855"/>
    <w:rsid w:val="003E6BB8"/>
    <w:rsid w:val="003E786F"/>
    <w:rsid w:val="003E7E60"/>
    <w:rsid w:val="003F0053"/>
    <w:rsid w:val="003F0285"/>
    <w:rsid w:val="003F0DB4"/>
    <w:rsid w:val="003F11DB"/>
    <w:rsid w:val="003F171B"/>
    <w:rsid w:val="003F1897"/>
    <w:rsid w:val="003F2245"/>
    <w:rsid w:val="003F2657"/>
    <w:rsid w:val="003F26A5"/>
    <w:rsid w:val="003F26BF"/>
    <w:rsid w:val="003F2EB5"/>
    <w:rsid w:val="003F372C"/>
    <w:rsid w:val="003F3DD4"/>
    <w:rsid w:val="003F3FFE"/>
    <w:rsid w:val="003F4C64"/>
    <w:rsid w:val="003F5354"/>
    <w:rsid w:val="003F53E9"/>
    <w:rsid w:val="003F62DD"/>
    <w:rsid w:val="003F65B7"/>
    <w:rsid w:val="003F711C"/>
    <w:rsid w:val="003F785E"/>
    <w:rsid w:val="003F7E84"/>
    <w:rsid w:val="003F7FD3"/>
    <w:rsid w:val="003F7FE8"/>
    <w:rsid w:val="00400437"/>
    <w:rsid w:val="00400686"/>
    <w:rsid w:val="00402D5A"/>
    <w:rsid w:val="00403787"/>
    <w:rsid w:val="00403BA1"/>
    <w:rsid w:val="0040702C"/>
    <w:rsid w:val="004079B4"/>
    <w:rsid w:val="004100D4"/>
    <w:rsid w:val="00410519"/>
    <w:rsid w:val="00410CBD"/>
    <w:rsid w:val="004114EE"/>
    <w:rsid w:val="00412AB9"/>
    <w:rsid w:val="00413AD7"/>
    <w:rsid w:val="00413D70"/>
    <w:rsid w:val="00414B4D"/>
    <w:rsid w:val="0041517A"/>
    <w:rsid w:val="00415286"/>
    <w:rsid w:val="004160D4"/>
    <w:rsid w:val="0041621F"/>
    <w:rsid w:val="0041631A"/>
    <w:rsid w:val="00416775"/>
    <w:rsid w:val="00417ACD"/>
    <w:rsid w:val="00417E15"/>
    <w:rsid w:val="00417F29"/>
    <w:rsid w:val="004200DC"/>
    <w:rsid w:val="0042104C"/>
    <w:rsid w:val="004212D9"/>
    <w:rsid w:val="0042139D"/>
    <w:rsid w:val="0042152F"/>
    <w:rsid w:val="00421D37"/>
    <w:rsid w:val="004223C8"/>
    <w:rsid w:val="00422588"/>
    <w:rsid w:val="0042274F"/>
    <w:rsid w:val="00422766"/>
    <w:rsid w:val="004235CC"/>
    <w:rsid w:val="0042362C"/>
    <w:rsid w:val="00423861"/>
    <w:rsid w:val="00423D52"/>
    <w:rsid w:val="00423EFD"/>
    <w:rsid w:val="00424248"/>
    <w:rsid w:val="004243C6"/>
    <w:rsid w:val="00424597"/>
    <w:rsid w:val="00424598"/>
    <w:rsid w:val="004249D1"/>
    <w:rsid w:val="00425D48"/>
    <w:rsid w:val="0042608C"/>
    <w:rsid w:val="00426F36"/>
    <w:rsid w:val="00427463"/>
    <w:rsid w:val="004275A7"/>
    <w:rsid w:val="00427977"/>
    <w:rsid w:val="00427F76"/>
    <w:rsid w:val="00430235"/>
    <w:rsid w:val="00430329"/>
    <w:rsid w:val="0043033F"/>
    <w:rsid w:val="00430FE4"/>
    <w:rsid w:val="0043133E"/>
    <w:rsid w:val="00432B13"/>
    <w:rsid w:val="00432D11"/>
    <w:rsid w:val="00433471"/>
    <w:rsid w:val="004338C4"/>
    <w:rsid w:val="00433A11"/>
    <w:rsid w:val="00433D94"/>
    <w:rsid w:val="004340B0"/>
    <w:rsid w:val="00434C73"/>
    <w:rsid w:val="00435137"/>
    <w:rsid w:val="004352E7"/>
    <w:rsid w:val="004364A2"/>
    <w:rsid w:val="004365F7"/>
    <w:rsid w:val="00437273"/>
    <w:rsid w:val="0043768C"/>
    <w:rsid w:val="004379D5"/>
    <w:rsid w:val="0044098B"/>
    <w:rsid w:val="004410AA"/>
    <w:rsid w:val="00441B2F"/>
    <w:rsid w:val="004420DD"/>
    <w:rsid w:val="004421EE"/>
    <w:rsid w:val="00442771"/>
    <w:rsid w:val="00442B13"/>
    <w:rsid w:val="004432B1"/>
    <w:rsid w:val="00443451"/>
    <w:rsid w:val="00443A5C"/>
    <w:rsid w:val="00443D5D"/>
    <w:rsid w:val="00443E9C"/>
    <w:rsid w:val="004445C3"/>
    <w:rsid w:val="00445400"/>
    <w:rsid w:val="0044577F"/>
    <w:rsid w:val="004459CE"/>
    <w:rsid w:val="00445AF8"/>
    <w:rsid w:val="00445E41"/>
    <w:rsid w:val="00447316"/>
    <w:rsid w:val="004474A6"/>
    <w:rsid w:val="00447C12"/>
    <w:rsid w:val="0045023E"/>
    <w:rsid w:val="00450702"/>
    <w:rsid w:val="00450DFD"/>
    <w:rsid w:val="00451135"/>
    <w:rsid w:val="00451A14"/>
    <w:rsid w:val="004529DB"/>
    <w:rsid w:val="00452AC3"/>
    <w:rsid w:val="00452ADF"/>
    <w:rsid w:val="00452DD0"/>
    <w:rsid w:val="00453CFE"/>
    <w:rsid w:val="004544D3"/>
    <w:rsid w:val="00454542"/>
    <w:rsid w:val="00454A4F"/>
    <w:rsid w:val="00454B01"/>
    <w:rsid w:val="00455755"/>
    <w:rsid w:val="00457235"/>
    <w:rsid w:val="00460A0F"/>
    <w:rsid w:val="00460A7B"/>
    <w:rsid w:val="00460B28"/>
    <w:rsid w:val="00460DBE"/>
    <w:rsid w:val="00461F38"/>
    <w:rsid w:val="004622DE"/>
    <w:rsid w:val="004633DC"/>
    <w:rsid w:val="00463F95"/>
    <w:rsid w:val="00464493"/>
    <w:rsid w:val="00464816"/>
    <w:rsid w:val="00465584"/>
    <w:rsid w:val="00466569"/>
    <w:rsid w:val="00466B2D"/>
    <w:rsid w:val="00466E60"/>
    <w:rsid w:val="00470150"/>
    <w:rsid w:val="00470993"/>
    <w:rsid w:val="00471501"/>
    <w:rsid w:val="00471697"/>
    <w:rsid w:val="004720EF"/>
    <w:rsid w:val="00472237"/>
    <w:rsid w:val="00472636"/>
    <w:rsid w:val="004729CC"/>
    <w:rsid w:val="00473747"/>
    <w:rsid w:val="004744B2"/>
    <w:rsid w:val="00474715"/>
    <w:rsid w:val="00474880"/>
    <w:rsid w:val="004750E3"/>
    <w:rsid w:val="004768F2"/>
    <w:rsid w:val="00476932"/>
    <w:rsid w:val="00476BB0"/>
    <w:rsid w:val="00477522"/>
    <w:rsid w:val="0047778D"/>
    <w:rsid w:val="00477AC5"/>
    <w:rsid w:val="00480777"/>
    <w:rsid w:val="00480A61"/>
    <w:rsid w:val="00481552"/>
    <w:rsid w:val="004816DE"/>
    <w:rsid w:val="00481C29"/>
    <w:rsid w:val="00481CA0"/>
    <w:rsid w:val="00482E02"/>
    <w:rsid w:val="004838E2"/>
    <w:rsid w:val="00484DEC"/>
    <w:rsid w:val="00485149"/>
    <w:rsid w:val="00485DC7"/>
    <w:rsid w:val="00486FB8"/>
    <w:rsid w:val="00487628"/>
    <w:rsid w:val="00487BE7"/>
    <w:rsid w:val="00490709"/>
    <w:rsid w:val="004907D8"/>
    <w:rsid w:val="00490ACF"/>
    <w:rsid w:val="004910BA"/>
    <w:rsid w:val="004915C5"/>
    <w:rsid w:val="0049224F"/>
    <w:rsid w:val="004922E5"/>
    <w:rsid w:val="004932DC"/>
    <w:rsid w:val="00493AC7"/>
    <w:rsid w:val="0049409D"/>
    <w:rsid w:val="00494329"/>
    <w:rsid w:val="004946FA"/>
    <w:rsid w:val="00494979"/>
    <w:rsid w:val="00495578"/>
    <w:rsid w:val="0049583B"/>
    <w:rsid w:val="004959F9"/>
    <w:rsid w:val="00496AA7"/>
    <w:rsid w:val="00496AAF"/>
    <w:rsid w:val="00496BE0"/>
    <w:rsid w:val="00496E2D"/>
    <w:rsid w:val="00496E8A"/>
    <w:rsid w:val="0049771D"/>
    <w:rsid w:val="00497974"/>
    <w:rsid w:val="004A0708"/>
    <w:rsid w:val="004A0F0C"/>
    <w:rsid w:val="004A25CB"/>
    <w:rsid w:val="004A3564"/>
    <w:rsid w:val="004A3EDA"/>
    <w:rsid w:val="004A4F22"/>
    <w:rsid w:val="004A53CF"/>
    <w:rsid w:val="004A5428"/>
    <w:rsid w:val="004A5DA2"/>
    <w:rsid w:val="004A61CF"/>
    <w:rsid w:val="004A646A"/>
    <w:rsid w:val="004A693F"/>
    <w:rsid w:val="004A6B0D"/>
    <w:rsid w:val="004A78F3"/>
    <w:rsid w:val="004A7AF6"/>
    <w:rsid w:val="004A7C84"/>
    <w:rsid w:val="004B02C9"/>
    <w:rsid w:val="004B0B61"/>
    <w:rsid w:val="004B11DE"/>
    <w:rsid w:val="004B1791"/>
    <w:rsid w:val="004B2ACE"/>
    <w:rsid w:val="004B2CBE"/>
    <w:rsid w:val="004B2DD9"/>
    <w:rsid w:val="004B30A5"/>
    <w:rsid w:val="004B4032"/>
    <w:rsid w:val="004B448B"/>
    <w:rsid w:val="004B48EA"/>
    <w:rsid w:val="004B4D7F"/>
    <w:rsid w:val="004B60CC"/>
    <w:rsid w:val="004B66E6"/>
    <w:rsid w:val="004B68C7"/>
    <w:rsid w:val="004B77C5"/>
    <w:rsid w:val="004B7B32"/>
    <w:rsid w:val="004B7E72"/>
    <w:rsid w:val="004B7FA8"/>
    <w:rsid w:val="004C099D"/>
    <w:rsid w:val="004C09F4"/>
    <w:rsid w:val="004C0AA5"/>
    <w:rsid w:val="004C11FF"/>
    <w:rsid w:val="004C155B"/>
    <w:rsid w:val="004C163A"/>
    <w:rsid w:val="004C1ADC"/>
    <w:rsid w:val="004C2763"/>
    <w:rsid w:val="004C2CA0"/>
    <w:rsid w:val="004C3016"/>
    <w:rsid w:val="004C339A"/>
    <w:rsid w:val="004C361F"/>
    <w:rsid w:val="004C3C7C"/>
    <w:rsid w:val="004C4187"/>
    <w:rsid w:val="004C42CA"/>
    <w:rsid w:val="004C500E"/>
    <w:rsid w:val="004C5247"/>
    <w:rsid w:val="004C5ABA"/>
    <w:rsid w:val="004C6E6A"/>
    <w:rsid w:val="004C7344"/>
    <w:rsid w:val="004D037B"/>
    <w:rsid w:val="004D0D40"/>
    <w:rsid w:val="004D0DCB"/>
    <w:rsid w:val="004D1199"/>
    <w:rsid w:val="004D1278"/>
    <w:rsid w:val="004D1CF2"/>
    <w:rsid w:val="004D2502"/>
    <w:rsid w:val="004D2AAD"/>
    <w:rsid w:val="004D2F8E"/>
    <w:rsid w:val="004D3BDB"/>
    <w:rsid w:val="004D40F1"/>
    <w:rsid w:val="004D4BC0"/>
    <w:rsid w:val="004D5A53"/>
    <w:rsid w:val="004D6240"/>
    <w:rsid w:val="004D734C"/>
    <w:rsid w:val="004D7416"/>
    <w:rsid w:val="004D7874"/>
    <w:rsid w:val="004D78A1"/>
    <w:rsid w:val="004D7DE5"/>
    <w:rsid w:val="004D7E9D"/>
    <w:rsid w:val="004E0699"/>
    <w:rsid w:val="004E13C2"/>
    <w:rsid w:val="004E1EC3"/>
    <w:rsid w:val="004E25C6"/>
    <w:rsid w:val="004E27B3"/>
    <w:rsid w:val="004E2CD4"/>
    <w:rsid w:val="004E3863"/>
    <w:rsid w:val="004E3CAA"/>
    <w:rsid w:val="004E4E16"/>
    <w:rsid w:val="004E4EBE"/>
    <w:rsid w:val="004E50B5"/>
    <w:rsid w:val="004E5445"/>
    <w:rsid w:val="004E5A29"/>
    <w:rsid w:val="004E5B27"/>
    <w:rsid w:val="004E5FDD"/>
    <w:rsid w:val="004E753A"/>
    <w:rsid w:val="004F0323"/>
    <w:rsid w:val="004F093E"/>
    <w:rsid w:val="004F15D3"/>
    <w:rsid w:val="004F223E"/>
    <w:rsid w:val="004F24D0"/>
    <w:rsid w:val="004F2FA9"/>
    <w:rsid w:val="004F34BB"/>
    <w:rsid w:val="004F3883"/>
    <w:rsid w:val="004F3D48"/>
    <w:rsid w:val="004F3DB0"/>
    <w:rsid w:val="004F416F"/>
    <w:rsid w:val="004F456C"/>
    <w:rsid w:val="004F539A"/>
    <w:rsid w:val="004F5481"/>
    <w:rsid w:val="004F5854"/>
    <w:rsid w:val="004F608A"/>
    <w:rsid w:val="004F6671"/>
    <w:rsid w:val="004F72A6"/>
    <w:rsid w:val="004F7518"/>
    <w:rsid w:val="004F7DD2"/>
    <w:rsid w:val="00500BB8"/>
    <w:rsid w:val="00500FC9"/>
    <w:rsid w:val="00501092"/>
    <w:rsid w:val="00501608"/>
    <w:rsid w:val="00501C0C"/>
    <w:rsid w:val="00501F9A"/>
    <w:rsid w:val="005024F2"/>
    <w:rsid w:val="005047FA"/>
    <w:rsid w:val="00504D20"/>
    <w:rsid w:val="00504E90"/>
    <w:rsid w:val="00506C07"/>
    <w:rsid w:val="00506D95"/>
    <w:rsid w:val="00507D96"/>
    <w:rsid w:val="00507FDC"/>
    <w:rsid w:val="005103B2"/>
    <w:rsid w:val="00510D73"/>
    <w:rsid w:val="00511AD7"/>
    <w:rsid w:val="0051257B"/>
    <w:rsid w:val="00512597"/>
    <w:rsid w:val="00512D1E"/>
    <w:rsid w:val="0051324A"/>
    <w:rsid w:val="00513323"/>
    <w:rsid w:val="00514C61"/>
    <w:rsid w:val="00514DAC"/>
    <w:rsid w:val="005152BF"/>
    <w:rsid w:val="0051560C"/>
    <w:rsid w:val="00516096"/>
    <w:rsid w:val="00516DEE"/>
    <w:rsid w:val="005172DA"/>
    <w:rsid w:val="00517307"/>
    <w:rsid w:val="0051772C"/>
    <w:rsid w:val="00517784"/>
    <w:rsid w:val="005177D9"/>
    <w:rsid w:val="00517BE4"/>
    <w:rsid w:val="00517F7D"/>
    <w:rsid w:val="00520148"/>
    <w:rsid w:val="00520708"/>
    <w:rsid w:val="005209E6"/>
    <w:rsid w:val="00520CC4"/>
    <w:rsid w:val="005221E5"/>
    <w:rsid w:val="00523BCC"/>
    <w:rsid w:val="005241E5"/>
    <w:rsid w:val="0052534C"/>
    <w:rsid w:val="005257C4"/>
    <w:rsid w:val="005258FC"/>
    <w:rsid w:val="00525983"/>
    <w:rsid w:val="00531747"/>
    <w:rsid w:val="00531A7A"/>
    <w:rsid w:val="00531AB0"/>
    <w:rsid w:val="0053289F"/>
    <w:rsid w:val="00532DC9"/>
    <w:rsid w:val="00532E36"/>
    <w:rsid w:val="005336E0"/>
    <w:rsid w:val="005338BD"/>
    <w:rsid w:val="005339DB"/>
    <w:rsid w:val="00533BF8"/>
    <w:rsid w:val="005343F0"/>
    <w:rsid w:val="00534D8F"/>
    <w:rsid w:val="00535173"/>
    <w:rsid w:val="00535CA5"/>
    <w:rsid w:val="00535FBF"/>
    <w:rsid w:val="00536660"/>
    <w:rsid w:val="00536B8C"/>
    <w:rsid w:val="00537B21"/>
    <w:rsid w:val="00537B5E"/>
    <w:rsid w:val="0054132F"/>
    <w:rsid w:val="00542C0B"/>
    <w:rsid w:val="00542E84"/>
    <w:rsid w:val="0054333E"/>
    <w:rsid w:val="0054348E"/>
    <w:rsid w:val="0054357E"/>
    <w:rsid w:val="00543A1C"/>
    <w:rsid w:val="00543D91"/>
    <w:rsid w:val="00543E24"/>
    <w:rsid w:val="00543F3D"/>
    <w:rsid w:val="0054409B"/>
    <w:rsid w:val="0054425D"/>
    <w:rsid w:val="005444B9"/>
    <w:rsid w:val="00547724"/>
    <w:rsid w:val="00547A17"/>
    <w:rsid w:val="005507F1"/>
    <w:rsid w:val="00550F1E"/>
    <w:rsid w:val="005510D3"/>
    <w:rsid w:val="00551A19"/>
    <w:rsid w:val="0055215E"/>
    <w:rsid w:val="0055286D"/>
    <w:rsid w:val="00552A4D"/>
    <w:rsid w:val="00552F57"/>
    <w:rsid w:val="00552F65"/>
    <w:rsid w:val="00553617"/>
    <w:rsid w:val="005536B2"/>
    <w:rsid w:val="005546C1"/>
    <w:rsid w:val="005552D9"/>
    <w:rsid w:val="0055563A"/>
    <w:rsid w:val="00555F3E"/>
    <w:rsid w:val="00556234"/>
    <w:rsid w:val="005564B3"/>
    <w:rsid w:val="00556659"/>
    <w:rsid w:val="00556C60"/>
    <w:rsid w:val="005612EF"/>
    <w:rsid w:val="005616A9"/>
    <w:rsid w:val="00561FDE"/>
    <w:rsid w:val="00562D8A"/>
    <w:rsid w:val="00563152"/>
    <w:rsid w:val="005633D3"/>
    <w:rsid w:val="0056464D"/>
    <w:rsid w:val="00564D56"/>
    <w:rsid w:val="00565044"/>
    <w:rsid w:val="00565112"/>
    <w:rsid w:val="0056572A"/>
    <w:rsid w:val="00567AE1"/>
    <w:rsid w:val="00567C62"/>
    <w:rsid w:val="00571576"/>
    <w:rsid w:val="00571858"/>
    <w:rsid w:val="00571B53"/>
    <w:rsid w:val="00571EE4"/>
    <w:rsid w:val="00572624"/>
    <w:rsid w:val="00573132"/>
    <w:rsid w:val="00573244"/>
    <w:rsid w:val="005737F0"/>
    <w:rsid w:val="00573DFC"/>
    <w:rsid w:val="00573EBB"/>
    <w:rsid w:val="00574422"/>
    <w:rsid w:val="0057515B"/>
    <w:rsid w:val="00575E00"/>
    <w:rsid w:val="00575EC0"/>
    <w:rsid w:val="00577CCA"/>
    <w:rsid w:val="005808E8"/>
    <w:rsid w:val="00580E88"/>
    <w:rsid w:val="005816E6"/>
    <w:rsid w:val="0058198F"/>
    <w:rsid w:val="005819C0"/>
    <w:rsid w:val="00581AE2"/>
    <w:rsid w:val="00581C58"/>
    <w:rsid w:val="00582254"/>
    <w:rsid w:val="00582622"/>
    <w:rsid w:val="00583F1E"/>
    <w:rsid w:val="0058478B"/>
    <w:rsid w:val="00584C84"/>
    <w:rsid w:val="005851EF"/>
    <w:rsid w:val="00585A87"/>
    <w:rsid w:val="00585BD0"/>
    <w:rsid w:val="00585BEF"/>
    <w:rsid w:val="00586628"/>
    <w:rsid w:val="00586660"/>
    <w:rsid w:val="00587797"/>
    <w:rsid w:val="00587E15"/>
    <w:rsid w:val="0059009E"/>
    <w:rsid w:val="00591D9D"/>
    <w:rsid w:val="005923AF"/>
    <w:rsid w:val="00592613"/>
    <w:rsid w:val="00592AAF"/>
    <w:rsid w:val="00593163"/>
    <w:rsid w:val="005932A7"/>
    <w:rsid w:val="005942F0"/>
    <w:rsid w:val="005942F7"/>
    <w:rsid w:val="00595877"/>
    <w:rsid w:val="00595DE7"/>
    <w:rsid w:val="00596E98"/>
    <w:rsid w:val="00596F7C"/>
    <w:rsid w:val="0059728A"/>
    <w:rsid w:val="0059770A"/>
    <w:rsid w:val="00597A87"/>
    <w:rsid w:val="005A0125"/>
    <w:rsid w:val="005A0390"/>
    <w:rsid w:val="005A1DA7"/>
    <w:rsid w:val="005A1EC2"/>
    <w:rsid w:val="005A20B9"/>
    <w:rsid w:val="005A213C"/>
    <w:rsid w:val="005A21AE"/>
    <w:rsid w:val="005A21AF"/>
    <w:rsid w:val="005A294E"/>
    <w:rsid w:val="005A2E39"/>
    <w:rsid w:val="005A375A"/>
    <w:rsid w:val="005A37A1"/>
    <w:rsid w:val="005A48A8"/>
    <w:rsid w:val="005A4DCE"/>
    <w:rsid w:val="005A4F5B"/>
    <w:rsid w:val="005A5653"/>
    <w:rsid w:val="005A5DD2"/>
    <w:rsid w:val="005A5F96"/>
    <w:rsid w:val="005A63E8"/>
    <w:rsid w:val="005A6713"/>
    <w:rsid w:val="005A7A34"/>
    <w:rsid w:val="005A7D48"/>
    <w:rsid w:val="005B0DD7"/>
    <w:rsid w:val="005B122F"/>
    <w:rsid w:val="005B1461"/>
    <w:rsid w:val="005B1508"/>
    <w:rsid w:val="005B1D2C"/>
    <w:rsid w:val="005B281C"/>
    <w:rsid w:val="005B2F2E"/>
    <w:rsid w:val="005B2F92"/>
    <w:rsid w:val="005B35BE"/>
    <w:rsid w:val="005B3985"/>
    <w:rsid w:val="005B3ADD"/>
    <w:rsid w:val="005B44E8"/>
    <w:rsid w:val="005B4807"/>
    <w:rsid w:val="005B4D88"/>
    <w:rsid w:val="005B502D"/>
    <w:rsid w:val="005B5C7A"/>
    <w:rsid w:val="005B6207"/>
    <w:rsid w:val="005B6374"/>
    <w:rsid w:val="005B68AE"/>
    <w:rsid w:val="005B72B0"/>
    <w:rsid w:val="005B75C6"/>
    <w:rsid w:val="005B7622"/>
    <w:rsid w:val="005B7777"/>
    <w:rsid w:val="005C002D"/>
    <w:rsid w:val="005C0F1E"/>
    <w:rsid w:val="005C288E"/>
    <w:rsid w:val="005C2AE5"/>
    <w:rsid w:val="005C3A75"/>
    <w:rsid w:val="005C3DF1"/>
    <w:rsid w:val="005C45F5"/>
    <w:rsid w:val="005C55D8"/>
    <w:rsid w:val="005C5C88"/>
    <w:rsid w:val="005C5F04"/>
    <w:rsid w:val="005C606F"/>
    <w:rsid w:val="005C6684"/>
    <w:rsid w:val="005C77A8"/>
    <w:rsid w:val="005C7C2F"/>
    <w:rsid w:val="005D01CD"/>
    <w:rsid w:val="005D0482"/>
    <w:rsid w:val="005D068C"/>
    <w:rsid w:val="005D0CD6"/>
    <w:rsid w:val="005D156D"/>
    <w:rsid w:val="005D2018"/>
    <w:rsid w:val="005D22DF"/>
    <w:rsid w:val="005D2358"/>
    <w:rsid w:val="005D26C0"/>
    <w:rsid w:val="005D27F0"/>
    <w:rsid w:val="005D2850"/>
    <w:rsid w:val="005D347C"/>
    <w:rsid w:val="005D3A1C"/>
    <w:rsid w:val="005D4487"/>
    <w:rsid w:val="005D4677"/>
    <w:rsid w:val="005D5C69"/>
    <w:rsid w:val="005D60B0"/>
    <w:rsid w:val="005D6210"/>
    <w:rsid w:val="005D6343"/>
    <w:rsid w:val="005D6968"/>
    <w:rsid w:val="005D73A9"/>
    <w:rsid w:val="005D7C12"/>
    <w:rsid w:val="005E0A1F"/>
    <w:rsid w:val="005E1403"/>
    <w:rsid w:val="005E14A9"/>
    <w:rsid w:val="005E15BB"/>
    <w:rsid w:val="005E1668"/>
    <w:rsid w:val="005E2883"/>
    <w:rsid w:val="005E302B"/>
    <w:rsid w:val="005E4140"/>
    <w:rsid w:val="005E4267"/>
    <w:rsid w:val="005E471E"/>
    <w:rsid w:val="005E48EF"/>
    <w:rsid w:val="005E4F9E"/>
    <w:rsid w:val="005E5795"/>
    <w:rsid w:val="005E5F2E"/>
    <w:rsid w:val="005E6D5B"/>
    <w:rsid w:val="005E7CD3"/>
    <w:rsid w:val="005E7F0A"/>
    <w:rsid w:val="005F0806"/>
    <w:rsid w:val="005F13B6"/>
    <w:rsid w:val="005F22D7"/>
    <w:rsid w:val="005F28E8"/>
    <w:rsid w:val="005F2979"/>
    <w:rsid w:val="005F29DA"/>
    <w:rsid w:val="005F3A8C"/>
    <w:rsid w:val="005F46D0"/>
    <w:rsid w:val="005F489B"/>
    <w:rsid w:val="005F4F96"/>
    <w:rsid w:val="005F5308"/>
    <w:rsid w:val="005F5428"/>
    <w:rsid w:val="005F57B5"/>
    <w:rsid w:val="005F5EC0"/>
    <w:rsid w:val="005F5F72"/>
    <w:rsid w:val="005F7750"/>
    <w:rsid w:val="005F7C98"/>
    <w:rsid w:val="00600310"/>
    <w:rsid w:val="00600800"/>
    <w:rsid w:val="00601D38"/>
    <w:rsid w:val="006020CC"/>
    <w:rsid w:val="00602562"/>
    <w:rsid w:val="0060269B"/>
    <w:rsid w:val="00602BBF"/>
    <w:rsid w:val="00602F0F"/>
    <w:rsid w:val="00602FF5"/>
    <w:rsid w:val="00603C7D"/>
    <w:rsid w:val="00604855"/>
    <w:rsid w:val="006048E3"/>
    <w:rsid w:val="00605162"/>
    <w:rsid w:val="0060516A"/>
    <w:rsid w:val="00605720"/>
    <w:rsid w:val="00606186"/>
    <w:rsid w:val="00606544"/>
    <w:rsid w:val="00607033"/>
    <w:rsid w:val="0060705D"/>
    <w:rsid w:val="00607CB5"/>
    <w:rsid w:val="006104ED"/>
    <w:rsid w:val="006112AD"/>
    <w:rsid w:val="006119A7"/>
    <w:rsid w:val="006119C5"/>
    <w:rsid w:val="00611CE4"/>
    <w:rsid w:val="00614081"/>
    <w:rsid w:val="00614D5A"/>
    <w:rsid w:val="00614EC1"/>
    <w:rsid w:val="006155F4"/>
    <w:rsid w:val="00615D3E"/>
    <w:rsid w:val="00615E58"/>
    <w:rsid w:val="006161DE"/>
    <w:rsid w:val="0061624F"/>
    <w:rsid w:val="00616319"/>
    <w:rsid w:val="00616920"/>
    <w:rsid w:val="00616D0F"/>
    <w:rsid w:val="006170E1"/>
    <w:rsid w:val="00617AC1"/>
    <w:rsid w:val="00617B4E"/>
    <w:rsid w:val="00617B9D"/>
    <w:rsid w:val="00617F15"/>
    <w:rsid w:val="0062055F"/>
    <w:rsid w:val="0062074E"/>
    <w:rsid w:val="00621947"/>
    <w:rsid w:val="00621E34"/>
    <w:rsid w:val="0062254B"/>
    <w:rsid w:val="00622C46"/>
    <w:rsid w:val="00623A5D"/>
    <w:rsid w:val="00623CCB"/>
    <w:rsid w:val="00623FFD"/>
    <w:rsid w:val="00624147"/>
    <w:rsid w:val="00624B24"/>
    <w:rsid w:val="00625981"/>
    <w:rsid w:val="00625DC1"/>
    <w:rsid w:val="00627384"/>
    <w:rsid w:val="00630138"/>
    <w:rsid w:val="00630635"/>
    <w:rsid w:val="0063080C"/>
    <w:rsid w:val="0063163B"/>
    <w:rsid w:val="00631D07"/>
    <w:rsid w:val="00632542"/>
    <w:rsid w:val="006326AF"/>
    <w:rsid w:val="006330D9"/>
    <w:rsid w:val="00634A36"/>
    <w:rsid w:val="00635257"/>
    <w:rsid w:val="0063570B"/>
    <w:rsid w:val="00635B1B"/>
    <w:rsid w:val="00635BC3"/>
    <w:rsid w:val="006362B9"/>
    <w:rsid w:val="006366FB"/>
    <w:rsid w:val="00636C0F"/>
    <w:rsid w:val="00636ECB"/>
    <w:rsid w:val="00637364"/>
    <w:rsid w:val="00637465"/>
    <w:rsid w:val="006377EA"/>
    <w:rsid w:val="00637EE4"/>
    <w:rsid w:val="00640615"/>
    <w:rsid w:val="006411BD"/>
    <w:rsid w:val="006411ED"/>
    <w:rsid w:val="00641E61"/>
    <w:rsid w:val="00641EA9"/>
    <w:rsid w:val="006441C8"/>
    <w:rsid w:val="006446BD"/>
    <w:rsid w:val="00644B20"/>
    <w:rsid w:val="006456D0"/>
    <w:rsid w:val="00645F14"/>
    <w:rsid w:val="006461A6"/>
    <w:rsid w:val="00646977"/>
    <w:rsid w:val="00646E60"/>
    <w:rsid w:val="006475B6"/>
    <w:rsid w:val="00647C30"/>
    <w:rsid w:val="00650E8C"/>
    <w:rsid w:val="00650EDE"/>
    <w:rsid w:val="00650F33"/>
    <w:rsid w:val="00651203"/>
    <w:rsid w:val="00651AF2"/>
    <w:rsid w:val="0065212A"/>
    <w:rsid w:val="0065253B"/>
    <w:rsid w:val="006526E0"/>
    <w:rsid w:val="00652721"/>
    <w:rsid w:val="00652E20"/>
    <w:rsid w:val="00653912"/>
    <w:rsid w:val="00653A2A"/>
    <w:rsid w:val="00653AF9"/>
    <w:rsid w:val="00653E9B"/>
    <w:rsid w:val="00654419"/>
    <w:rsid w:val="00654DB1"/>
    <w:rsid w:val="0065538B"/>
    <w:rsid w:val="0065548F"/>
    <w:rsid w:val="006555F4"/>
    <w:rsid w:val="00655822"/>
    <w:rsid w:val="00656621"/>
    <w:rsid w:val="0065693C"/>
    <w:rsid w:val="00656AB5"/>
    <w:rsid w:val="00657491"/>
    <w:rsid w:val="00657C51"/>
    <w:rsid w:val="006614D1"/>
    <w:rsid w:val="006614E8"/>
    <w:rsid w:val="0066169C"/>
    <w:rsid w:val="006616F3"/>
    <w:rsid w:val="00661804"/>
    <w:rsid w:val="0066195C"/>
    <w:rsid w:val="00661A24"/>
    <w:rsid w:val="006622AD"/>
    <w:rsid w:val="00662962"/>
    <w:rsid w:val="00663BF0"/>
    <w:rsid w:val="00663C81"/>
    <w:rsid w:val="0066413D"/>
    <w:rsid w:val="006644F1"/>
    <w:rsid w:val="00664817"/>
    <w:rsid w:val="00664B78"/>
    <w:rsid w:val="006655EB"/>
    <w:rsid w:val="0066586F"/>
    <w:rsid w:val="00665C70"/>
    <w:rsid w:val="006666AE"/>
    <w:rsid w:val="00666736"/>
    <w:rsid w:val="0066717E"/>
    <w:rsid w:val="0066723E"/>
    <w:rsid w:val="006672D3"/>
    <w:rsid w:val="006672DF"/>
    <w:rsid w:val="006709ED"/>
    <w:rsid w:val="00670B2F"/>
    <w:rsid w:val="00670BA6"/>
    <w:rsid w:val="006717C4"/>
    <w:rsid w:val="0067278C"/>
    <w:rsid w:val="00672AEC"/>
    <w:rsid w:val="006732F8"/>
    <w:rsid w:val="0067368C"/>
    <w:rsid w:val="00673A29"/>
    <w:rsid w:val="00674182"/>
    <w:rsid w:val="006743CF"/>
    <w:rsid w:val="00674AA9"/>
    <w:rsid w:val="0067503C"/>
    <w:rsid w:val="00675228"/>
    <w:rsid w:val="00675CDE"/>
    <w:rsid w:val="00675FA3"/>
    <w:rsid w:val="00676798"/>
    <w:rsid w:val="006769F3"/>
    <w:rsid w:val="00676FD6"/>
    <w:rsid w:val="00677590"/>
    <w:rsid w:val="00680922"/>
    <w:rsid w:val="00680B48"/>
    <w:rsid w:val="00681002"/>
    <w:rsid w:val="0068232D"/>
    <w:rsid w:val="00682759"/>
    <w:rsid w:val="00682A63"/>
    <w:rsid w:val="00682DD8"/>
    <w:rsid w:val="00683F61"/>
    <w:rsid w:val="006855EA"/>
    <w:rsid w:val="00685A46"/>
    <w:rsid w:val="006861F1"/>
    <w:rsid w:val="006862F5"/>
    <w:rsid w:val="00686EF5"/>
    <w:rsid w:val="00687372"/>
    <w:rsid w:val="00687D5A"/>
    <w:rsid w:val="00691C83"/>
    <w:rsid w:val="006921E9"/>
    <w:rsid w:val="00692336"/>
    <w:rsid w:val="0069277D"/>
    <w:rsid w:val="006937F8"/>
    <w:rsid w:val="00693927"/>
    <w:rsid w:val="00693C3B"/>
    <w:rsid w:val="0069409E"/>
    <w:rsid w:val="0069451B"/>
    <w:rsid w:val="006947BA"/>
    <w:rsid w:val="00694ACB"/>
    <w:rsid w:val="00694ED6"/>
    <w:rsid w:val="00695E5C"/>
    <w:rsid w:val="006960D3"/>
    <w:rsid w:val="0069664F"/>
    <w:rsid w:val="00696FA3"/>
    <w:rsid w:val="006970F9"/>
    <w:rsid w:val="00697DB2"/>
    <w:rsid w:val="006A0438"/>
    <w:rsid w:val="006A065C"/>
    <w:rsid w:val="006A09DF"/>
    <w:rsid w:val="006A16F1"/>
    <w:rsid w:val="006A1F65"/>
    <w:rsid w:val="006A22FF"/>
    <w:rsid w:val="006A323C"/>
    <w:rsid w:val="006A33F7"/>
    <w:rsid w:val="006A3407"/>
    <w:rsid w:val="006A41BA"/>
    <w:rsid w:val="006A4E19"/>
    <w:rsid w:val="006A50D0"/>
    <w:rsid w:val="006A5870"/>
    <w:rsid w:val="006A5927"/>
    <w:rsid w:val="006A6302"/>
    <w:rsid w:val="006A696C"/>
    <w:rsid w:val="006A7544"/>
    <w:rsid w:val="006A7BE1"/>
    <w:rsid w:val="006B063F"/>
    <w:rsid w:val="006B127A"/>
    <w:rsid w:val="006B1422"/>
    <w:rsid w:val="006B14D3"/>
    <w:rsid w:val="006B160A"/>
    <w:rsid w:val="006B2153"/>
    <w:rsid w:val="006B298B"/>
    <w:rsid w:val="006B30F9"/>
    <w:rsid w:val="006B4826"/>
    <w:rsid w:val="006B5044"/>
    <w:rsid w:val="006B53A0"/>
    <w:rsid w:val="006B557F"/>
    <w:rsid w:val="006B5943"/>
    <w:rsid w:val="006B5E46"/>
    <w:rsid w:val="006B6288"/>
    <w:rsid w:val="006B68B5"/>
    <w:rsid w:val="006B6938"/>
    <w:rsid w:val="006B7276"/>
    <w:rsid w:val="006C01D8"/>
    <w:rsid w:val="006C1EBE"/>
    <w:rsid w:val="006C2074"/>
    <w:rsid w:val="006C2ADB"/>
    <w:rsid w:val="006C2B5F"/>
    <w:rsid w:val="006C2FF0"/>
    <w:rsid w:val="006C388A"/>
    <w:rsid w:val="006C477A"/>
    <w:rsid w:val="006C4DCB"/>
    <w:rsid w:val="006C5DF4"/>
    <w:rsid w:val="006C6212"/>
    <w:rsid w:val="006C624F"/>
    <w:rsid w:val="006C6361"/>
    <w:rsid w:val="006C63B2"/>
    <w:rsid w:val="006C64A9"/>
    <w:rsid w:val="006C709C"/>
    <w:rsid w:val="006C712B"/>
    <w:rsid w:val="006C7178"/>
    <w:rsid w:val="006C78FA"/>
    <w:rsid w:val="006C7B1C"/>
    <w:rsid w:val="006C7B40"/>
    <w:rsid w:val="006D08AF"/>
    <w:rsid w:val="006D0E94"/>
    <w:rsid w:val="006D0F86"/>
    <w:rsid w:val="006D1DFD"/>
    <w:rsid w:val="006D2664"/>
    <w:rsid w:val="006D2AA1"/>
    <w:rsid w:val="006D2C08"/>
    <w:rsid w:val="006D2F37"/>
    <w:rsid w:val="006D3461"/>
    <w:rsid w:val="006D385F"/>
    <w:rsid w:val="006D396C"/>
    <w:rsid w:val="006D3ABA"/>
    <w:rsid w:val="006D4426"/>
    <w:rsid w:val="006D46E3"/>
    <w:rsid w:val="006D5D56"/>
    <w:rsid w:val="006D5FE3"/>
    <w:rsid w:val="006D6003"/>
    <w:rsid w:val="006D6011"/>
    <w:rsid w:val="006D621B"/>
    <w:rsid w:val="006D64FD"/>
    <w:rsid w:val="006D7175"/>
    <w:rsid w:val="006D7A57"/>
    <w:rsid w:val="006D7BA3"/>
    <w:rsid w:val="006E0406"/>
    <w:rsid w:val="006E0933"/>
    <w:rsid w:val="006E0E7A"/>
    <w:rsid w:val="006E107D"/>
    <w:rsid w:val="006E2B0F"/>
    <w:rsid w:val="006E2CDF"/>
    <w:rsid w:val="006E3603"/>
    <w:rsid w:val="006E46A0"/>
    <w:rsid w:val="006E4A2A"/>
    <w:rsid w:val="006E51FB"/>
    <w:rsid w:val="006E58FE"/>
    <w:rsid w:val="006E5983"/>
    <w:rsid w:val="006E5CF4"/>
    <w:rsid w:val="006E6471"/>
    <w:rsid w:val="006E65C9"/>
    <w:rsid w:val="006E6AFA"/>
    <w:rsid w:val="006E6C9E"/>
    <w:rsid w:val="006E6FF0"/>
    <w:rsid w:val="006E7062"/>
    <w:rsid w:val="006E77A1"/>
    <w:rsid w:val="006E78D8"/>
    <w:rsid w:val="006F0D67"/>
    <w:rsid w:val="006F1507"/>
    <w:rsid w:val="006F170C"/>
    <w:rsid w:val="006F26DE"/>
    <w:rsid w:val="006F2D98"/>
    <w:rsid w:val="006F315F"/>
    <w:rsid w:val="006F31A0"/>
    <w:rsid w:val="006F3300"/>
    <w:rsid w:val="006F34D9"/>
    <w:rsid w:val="006F3844"/>
    <w:rsid w:val="006F3B62"/>
    <w:rsid w:val="006F436F"/>
    <w:rsid w:val="006F4574"/>
    <w:rsid w:val="006F490F"/>
    <w:rsid w:val="006F4CE0"/>
    <w:rsid w:val="006F4CF9"/>
    <w:rsid w:val="006F55FB"/>
    <w:rsid w:val="006F5F14"/>
    <w:rsid w:val="006F64B4"/>
    <w:rsid w:val="006F6729"/>
    <w:rsid w:val="006F79FA"/>
    <w:rsid w:val="006F7A64"/>
    <w:rsid w:val="006F7B11"/>
    <w:rsid w:val="006F7DF0"/>
    <w:rsid w:val="0070043B"/>
    <w:rsid w:val="007008D4"/>
    <w:rsid w:val="007008F1"/>
    <w:rsid w:val="00700987"/>
    <w:rsid w:val="0070176A"/>
    <w:rsid w:val="0070199C"/>
    <w:rsid w:val="00701E9A"/>
    <w:rsid w:val="00702041"/>
    <w:rsid w:val="007024E7"/>
    <w:rsid w:val="00702B5A"/>
    <w:rsid w:val="00703473"/>
    <w:rsid w:val="00703AB0"/>
    <w:rsid w:val="00703D22"/>
    <w:rsid w:val="0070418D"/>
    <w:rsid w:val="00705469"/>
    <w:rsid w:val="0070549E"/>
    <w:rsid w:val="007057D0"/>
    <w:rsid w:val="0070616E"/>
    <w:rsid w:val="00710FDD"/>
    <w:rsid w:val="00711160"/>
    <w:rsid w:val="007112B8"/>
    <w:rsid w:val="00711BD7"/>
    <w:rsid w:val="00711C40"/>
    <w:rsid w:val="00711DC1"/>
    <w:rsid w:val="007129E9"/>
    <w:rsid w:val="007132A3"/>
    <w:rsid w:val="00713543"/>
    <w:rsid w:val="00713B6D"/>
    <w:rsid w:val="007146BE"/>
    <w:rsid w:val="00714892"/>
    <w:rsid w:val="00714945"/>
    <w:rsid w:val="007152E2"/>
    <w:rsid w:val="007155DE"/>
    <w:rsid w:val="00715741"/>
    <w:rsid w:val="00715FB0"/>
    <w:rsid w:val="007164AC"/>
    <w:rsid w:val="00720BF9"/>
    <w:rsid w:val="00721136"/>
    <w:rsid w:val="007211E0"/>
    <w:rsid w:val="00721483"/>
    <w:rsid w:val="00721A01"/>
    <w:rsid w:val="00721B53"/>
    <w:rsid w:val="00721D40"/>
    <w:rsid w:val="00721E55"/>
    <w:rsid w:val="0072327E"/>
    <w:rsid w:val="007234A1"/>
    <w:rsid w:val="00723656"/>
    <w:rsid w:val="007240F8"/>
    <w:rsid w:val="007242ED"/>
    <w:rsid w:val="0072446A"/>
    <w:rsid w:val="0072463A"/>
    <w:rsid w:val="00725E13"/>
    <w:rsid w:val="00726135"/>
    <w:rsid w:val="007264B0"/>
    <w:rsid w:val="00726EB1"/>
    <w:rsid w:val="00727AEF"/>
    <w:rsid w:val="00727D01"/>
    <w:rsid w:val="00731375"/>
    <w:rsid w:val="007317B1"/>
    <w:rsid w:val="00731906"/>
    <w:rsid w:val="007328B7"/>
    <w:rsid w:val="00732C09"/>
    <w:rsid w:val="00733262"/>
    <w:rsid w:val="007338CD"/>
    <w:rsid w:val="00733DC2"/>
    <w:rsid w:val="00733DE1"/>
    <w:rsid w:val="0073485C"/>
    <w:rsid w:val="007354FB"/>
    <w:rsid w:val="007355F3"/>
    <w:rsid w:val="00736906"/>
    <w:rsid w:val="0073694A"/>
    <w:rsid w:val="00737AE5"/>
    <w:rsid w:val="00740257"/>
    <w:rsid w:val="00741423"/>
    <w:rsid w:val="00742F0E"/>
    <w:rsid w:val="00743675"/>
    <w:rsid w:val="007436B2"/>
    <w:rsid w:val="0074401A"/>
    <w:rsid w:val="007442B8"/>
    <w:rsid w:val="00744AB7"/>
    <w:rsid w:val="0074516E"/>
    <w:rsid w:val="00746108"/>
    <w:rsid w:val="00746CB8"/>
    <w:rsid w:val="00747089"/>
    <w:rsid w:val="007504D4"/>
    <w:rsid w:val="007506E2"/>
    <w:rsid w:val="007508BE"/>
    <w:rsid w:val="00750BCC"/>
    <w:rsid w:val="00750D13"/>
    <w:rsid w:val="00751295"/>
    <w:rsid w:val="00751D43"/>
    <w:rsid w:val="00751FC0"/>
    <w:rsid w:val="0075408D"/>
    <w:rsid w:val="007548BB"/>
    <w:rsid w:val="007555D0"/>
    <w:rsid w:val="00755895"/>
    <w:rsid w:val="00757B2C"/>
    <w:rsid w:val="00757FB8"/>
    <w:rsid w:val="00760190"/>
    <w:rsid w:val="00760362"/>
    <w:rsid w:val="00761079"/>
    <w:rsid w:val="007619E8"/>
    <w:rsid w:val="00761B5E"/>
    <w:rsid w:val="007622B0"/>
    <w:rsid w:val="00762346"/>
    <w:rsid w:val="0076294C"/>
    <w:rsid w:val="00762C1D"/>
    <w:rsid w:val="00763A8C"/>
    <w:rsid w:val="007643F7"/>
    <w:rsid w:val="00764778"/>
    <w:rsid w:val="00764FAC"/>
    <w:rsid w:val="0076541B"/>
    <w:rsid w:val="00765AA1"/>
    <w:rsid w:val="00765D09"/>
    <w:rsid w:val="0076620F"/>
    <w:rsid w:val="00766511"/>
    <w:rsid w:val="0076656D"/>
    <w:rsid w:val="007673BC"/>
    <w:rsid w:val="00767497"/>
    <w:rsid w:val="007675D5"/>
    <w:rsid w:val="00767645"/>
    <w:rsid w:val="00767B34"/>
    <w:rsid w:val="00770172"/>
    <w:rsid w:val="0077038F"/>
    <w:rsid w:val="00770552"/>
    <w:rsid w:val="00770FDE"/>
    <w:rsid w:val="00771342"/>
    <w:rsid w:val="007713C9"/>
    <w:rsid w:val="00772757"/>
    <w:rsid w:val="0077284D"/>
    <w:rsid w:val="00772B31"/>
    <w:rsid w:val="007739D6"/>
    <w:rsid w:val="00774865"/>
    <w:rsid w:val="00774D7B"/>
    <w:rsid w:val="00774F32"/>
    <w:rsid w:val="0077530F"/>
    <w:rsid w:val="00775E91"/>
    <w:rsid w:val="0077623B"/>
    <w:rsid w:val="00776346"/>
    <w:rsid w:val="00776752"/>
    <w:rsid w:val="0077743F"/>
    <w:rsid w:val="00777482"/>
    <w:rsid w:val="007775C7"/>
    <w:rsid w:val="00777724"/>
    <w:rsid w:val="007801E9"/>
    <w:rsid w:val="0078044F"/>
    <w:rsid w:val="00780685"/>
    <w:rsid w:val="00780823"/>
    <w:rsid w:val="00780D75"/>
    <w:rsid w:val="00781512"/>
    <w:rsid w:val="0078169B"/>
    <w:rsid w:val="00781C8B"/>
    <w:rsid w:val="00781DA5"/>
    <w:rsid w:val="00781EC8"/>
    <w:rsid w:val="00782120"/>
    <w:rsid w:val="00782B14"/>
    <w:rsid w:val="00782DB4"/>
    <w:rsid w:val="007853F2"/>
    <w:rsid w:val="00785952"/>
    <w:rsid w:val="00786648"/>
    <w:rsid w:val="007868FD"/>
    <w:rsid w:val="00786C90"/>
    <w:rsid w:val="00787125"/>
    <w:rsid w:val="00787957"/>
    <w:rsid w:val="00790330"/>
    <w:rsid w:val="007906DF"/>
    <w:rsid w:val="0079076D"/>
    <w:rsid w:val="00790DF9"/>
    <w:rsid w:val="007920DB"/>
    <w:rsid w:val="00793B71"/>
    <w:rsid w:val="007942CC"/>
    <w:rsid w:val="007944B4"/>
    <w:rsid w:val="007946B0"/>
    <w:rsid w:val="00794C65"/>
    <w:rsid w:val="00795188"/>
    <w:rsid w:val="007959C3"/>
    <w:rsid w:val="00795B32"/>
    <w:rsid w:val="00796118"/>
    <w:rsid w:val="00796261"/>
    <w:rsid w:val="007963AD"/>
    <w:rsid w:val="00796A8F"/>
    <w:rsid w:val="00797025"/>
    <w:rsid w:val="00797BDD"/>
    <w:rsid w:val="007A08D6"/>
    <w:rsid w:val="007A0CB3"/>
    <w:rsid w:val="007A1698"/>
    <w:rsid w:val="007A233E"/>
    <w:rsid w:val="007A255E"/>
    <w:rsid w:val="007A2C72"/>
    <w:rsid w:val="007A2E99"/>
    <w:rsid w:val="007A3C3D"/>
    <w:rsid w:val="007A485A"/>
    <w:rsid w:val="007A48CB"/>
    <w:rsid w:val="007A4A47"/>
    <w:rsid w:val="007A50F9"/>
    <w:rsid w:val="007A545C"/>
    <w:rsid w:val="007A5547"/>
    <w:rsid w:val="007A557E"/>
    <w:rsid w:val="007A57F8"/>
    <w:rsid w:val="007A5839"/>
    <w:rsid w:val="007A5AC8"/>
    <w:rsid w:val="007A663D"/>
    <w:rsid w:val="007A6A99"/>
    <w:rsid w:val="007A6B52"/>
    <w:rsid w:val="007A6E6B"/>
    <w:rsid w:val="007A6ECF"/>
    <w:rsid w:val="007A6F49"/>
    <w:rsid w:val="007A7905"/>
    <w:rsid w:val="007B13A1"/>
    <w:rsid w:val="007B1A86"/>
    <w:rsid w:val="007B1CF0"/>
    <w:rsid w:val="007B1E45"/>
    <w:rsid w:val="007B1ED1"/>
    <w:rsid w:val="007B2588"/>
    <w:rsid w:val="007B277D"/>
    <w:rsid w:val="007B2899"/>
    <w:rsid w:val="007B3CD2"/>
    <w:rsid w:val="007B4185"/>
    <w:rsid w:val="007B4D50"/>
    <w:rsid w:val="007B536A"/>
    <w:rsid w:val="007B5486"/>
    <w:rsid w:val="007B5D21"/>
    <w:rsid w:val="007B6000"/>
    <w:rsid w:val="007B65EA"/>
    <w:rsid w:val="007B6865"/>
    <w:rsid w:val="007B6EBE"/>
    <w:rsid w:val="007B733C"/>
    <w:rsid w:val="007B7875"/>
    <w:rsid w:val="007C05CA"/>
    <w:rsid w:val="007C074E"/>
    <w:rsid w:val="007C0EDF"/>
    <w:rsid w:val="007C11C4"/>
    <w:rsid w:val="007C1491"/>
    <w:rsid w:val="007C2055"/>
    <w:rsid w:val="007C247D"/>
    <w:rsid w:val="007C2509"/>
    <w:rsid w:val="007C38EF"/>
    <w:rsid w:val="007C3C90"/>
    <w:rsid w:val="007C3D9C"/>
    <w:rsid w:val="007C481F"/>
    <w:rsid w:val="007C4B4E"/>
    <w:rsid w:val="007C4B93"/>
    <w:rsid w:val="007C4E42"/>
    <w:rsid w:val="007C5376"/>
    <w:rsid w:val="007C54CB"/>
    <w:rsid w:val="007C5C34"/>
    <w:rsid w:val="007C5F6B"/>
    <w:rsid w:val="007C6127"/>
    <w:rsid w:val="007C6288"/>
    <w:rsid w:val="007C6B4A"/>
    <w:rsid w:val="007C6CA7"/>
    <w:rsid w:val="007C71B6"/>
    <w:rsid w:val="007C7D30"/>
    <w:rsid w:val="007C7EA0"/>
    <w:rsid w:val="007D0AD0"/>
    <w:rsid w:val="007D0EFA"/>
    <w:rsid w:val="007D1457"/>
    <w:rsid w:val="007D1A80"/>
    <w:rsid w:val="007D2DC4"/>
    <w:rsid w:val="007D30EE"/>
    <w:rsid w:val="007D416C"/>
    <w:rsid w:val="007D42E7"/>
    <w:rsid w:val="007D4C12"/>
    <w:rsid w:val="007D5FAF"/>
    <w:rsid w:val="007D6184"/>
    <w:rsid w:val="007D65B6"/>
    <w:rsid w:val="007D6F17"/>
    <w:rsid w:val="007D7358"/>
    <w:rsid w:val="007D7FD9"/>
    <w:rsid w:val="007E000E"/>
    <w:rsid w:val="007E02E8"/>
    <w:rsid w:val="007E06EE"/>
    <w:rsid w:val="007E0C60"/>
    <w:rsid w:val="007E1533"/>
    <w:rsid w:val="007E1983"/>
    <w:rsid w:val="007E1A90"/>
    <w:rsid w:val="007E1B29"/>
    <w:rsid w:val="007E206B"/>
    <w:rsid w:val="007E387C"/>
    <w:rsid w:val="007E3F7F"/>
    <w:rsid w:val="007E4EB2"/>
    <w:rsid w:val="007E50E6"/>
    <w:rsid w:val="007E5994"/>
    <w:rsid w:val="007E6432"/>
    <w:rsid w:val="007E6C70"/>
    <w:rsid w:val="007E6D24"/>
    <w:rsid w:val="007E6F6C"/>
    <w:rsid w:val="007E7950"/>
    <w:rsid w:val="007E79C3"/>
    <w:rsid w:val="007E7A63"/>
    <w:rsid w:val="007E7EED"/>
    <w:rsid w:val="007F039C"/>
    <w:rsid w:val="007F0887"/>
    <w:rsid w:val="007F1208"/>
    <w:rsid w:val="007F1559"/>
    <w:rsid w:val="007F159E"/>
    <w:rsid w:val="007F1A03"/>
    <w:rsid w:val="007F2E72"/>
    <w:rsid w:val="007F3996"/>
    <w:rsid w:val="007F3EEA"/>
    <w:rsid w:val="007F42E8"/>
    <w:rsid w:val="007F4544"/>
    <w:rsid w:val="007F468B"/>
    <w:rsid w:val="007F49F9"/>
    <w:rsid w:val="007F4A16"/>
    <w:rsid w:val="007F4E6E"/>
    <w:rsid w:val="007F557C"/>
    <w:rsid w:val="007F571D"/>
    <w:rsid w:val="007F63B1"/>
    <w:rsid w:val="007F69FF"/>
    <w:rsid w:val="007F6D7D"/>
    <w:rsid w:val="007F6DE9"/>
    <w:rsid w:val="007F7082"/>
    <w:rsid w:val="007F7EB1"/>
    <w:rsid w:val="00800456"/>
    <w:rsid w:val="00800F21"/>
    <w:rsid w:val="00800F84"/>
    <w:rsid w:val="00801759"/>
    <w:rsid w:val="00801BB1"/>
    <w:rsid w:val="0080207E"/>
    <w:rsid w:val="0080224C"/>
    <w:rsid w:val="00802524"/>
    <w:rsid w:val="00802B0E"/>
    <w:rsid w:val="00802F2F"/>
    <w:rsid w:val="00803AF0"/>
    <w:rsid w:val="00804A9D"/>
    <w:rsid w:val="0080591D"/>
    <w:rsid w:val="008073B1"/>
    <w:rsid w:val="00807741"/>
    <w:rsid w:val="00807D0D"/>
    <w:rsid w:val="0081099E"/>
    <w:rsid w:val="00810BF9"/>
    <w:rsid w:val="008112E1"/>
    <w:rsid w:val="00811A53"/>
    <w:rsid w:val="008125D7"/>
    <w:rsid w:val="008126A4"/>
    <w:rsid w:val="00812AA6"/>
    <w:rsid w:val="00813F41"/>
    <w:rsid w:val="00814192"/>
    <w:rsid w:val="008152A7"/>
    <w:rsid w:val="008152C2"/>
    <w:rsid w:val="0081553D"/>
    <w:rsid w:val="00815D7B"/>
    <w:rsid w:val="00816294"/>
    <w:rsid w:val="00816DC6"/>
    <w:rsid w:val="00816DD0"/>
    <w:rsid w:val="00816EB6"/>
    <w:rsid w:val="00816F6F"/>
    <w:rsid w:val="00817670"/>
    <w:rsid w:val="00820361"/>
    <w:rsid w:val="00820433"/>
    <w:rsid w:val="008204C0"/>
    <w:rsid w:val="0082083F"/>
    <w:rsid w:val="0082095A"/>
    <w:rsid w:val="00820BA6"/>
    <w:rsid w:val="00821096"/>
    <w:rsid w:val="0082204C"/>
    <w:rsid w:val="0082292C"/>
    <w:rsid w:val="00822948"/>
    <w:rsid w:val="00822DBA"/>
    <w:rsid w:val="00822FFB"/>
    <w:rsid w:val="0082305E"/>
    <w:rsid w:val="008239F1"/>
    <w:rsid w:val="00824DC0"/>
    <w:rsid w:val="00825129"/>
    <w:rsid w:val="00825400"/>
    <w:rsid w:val="00825D48"/>
    <w:rsid w:val="00825D49"/>
    <w:rsid w:val="00825EEF"/>
    <w:rsid w:val="0082609C"/>
    <w:rsid w:val="00826853"/>
    <w:rsid w:val="00826A34"/>
    <w:rsid w:val="00826A93"/>
    <w:rsid w:val="00826C0D"/>
    <w:rsid w:val="00826D34"/>
    <w:rsid w:val="008302A4"/>
    <w:rsid w:val="00830590"/>
    <w:rsid w:val="00830726"/>
    <w:rsid w:val="008307A8"/>
    <w:rsid w:val="00831FFB"/>
    <w:rsid w:val="00832B20"/>
    <w:rsid w:val="00832BBE"/>
    <w:rsid w:val="00832EBA"/>
    <w:rsid w:val="00832F8A"/>
    <w:rsid w:val="00833708"/>
    <w:rsid w:val="00834564"/>
    <w:rsid w:val="00834BD8"/>
    <w:rsid w:val="00834D2E"/>
    <w:rsid w:val="0083597C"/>
    <w:rsid w:val="0083597F"/>
    <w:rsid w:val="008367C7"/>
    <w:rsid w:val="00836B79"/>
    <w:rsid w:val="008422CD"/>
    <w:rsid w:val="008435EE"/>
    <w:rsid w:val="008440E1"/>
    <w:rsid w:val="008442B6"/>
    <w:rsid w:val="008445E1"/>
    <w:rsid w:val="008447A0"/>
    <w:rsid w:val="00844BF8"/>
    <w:rsid w:val="00845184"/>
    <w:rsid w:val="00845383"/>
    <w:rsid w:val="00845406"/>
    <w:rsid w:val="00845679"/>
    <w:rsid w:val="00845692"/>
    <w:rsid w:val="0084613C"/>
    <w:rsid w:val="0084696E"/>
    <w:rsid w:val="008469AE"/>
    <w:rsid w:val="008472E8"/>
    <w:rsid w:val="008477D6"/>
    <w:rsid w:val="00847900"/>
    <w:rsid w:val="008504B5"/>
    <w:rsid w:val="008507DD"/>
    <w:rsid w:val="008509D7"/>
    <w:rsid w:val="00850FF7"/>
    <w:rsid w:val="00852147"/>
    <w:rsid w:val="008525B1"/>
    <w:rsid w:val="00853172"/>
    <w:rsid w:val="008544C5"/>
    <w:rsid w:val="008548A5"/>
    <w:rsid w:val="008556A6"/>
    <w:rsid w:val="008557C1"/>
    <w:rsid w:val="00856205"/>
    <w:rsid w:val="00857405"/>
    <w:rsid w:val="00857A23"/>
    <w:rsid w:val="00857A7C"/>
    <w:rsid w:val="00860303"/>
    <w:rsid w:val="00860937"/>
    <w:rsid w:val="00860ECE"/>
    <w:rsid w:val="0086103C"/>
    <w:rsid w:val="0086162F"/>
    <w:rsid w:val="00861D61"/>
    <w:rsid w:val="00862CD3"/>
    <w:rsid w:val="00862DD8"/>
    <w:rsid w:val="00862E0F"/>
    <w:rsid w:val="00863B3C"/>
    <w:rsid w:val="00863CA7"/>
    <w:rsid w:val="00863FF1"/>
    <w:rsid w:val="008645A9"/>
    <w:rsid w:val="008649E2"/>
    <w:rsid w:val="00865026"/>
    <w:rsid w:val="008652C3"/>
    <w:rsid w:val="00865371"/>
    <w:rsid w:val="00865835"/>
    <w:rsid w:val="008658E6"/>
    <w:rsid w:val="00865CFE"/>
    <w:rsid w:val="008660B5"/>
    <w:rsid w:val="008667C1"/>
    <w:rsid w:val="008674BF"/>
    <w:rsid w:val="00867A6A"/>
    <w:rsid w:val="00867D84"/>
    <w:rsid w:val="008700A0"/>
    <w:rsid w:val="0087019B"/>
    <w:rsid w:val="00870425"/>
    <w:rsid w:val="008707A2"/>
    <w:rsid w:val="00870ABC"/>
    <w:rsid w:val="00871132"/>
    <w:rsid w:val="008714C2"/>
    <w:rsid w:val="00871785"/>
    <w:rsid w:val="0087207C"/>
    <w:rsid w:val="0087304E"/>
    <w:rsid w:val="00873064"/>
    <w:rsid w:val="008734D5"/>
    <w:rsid w:val="00873502"/>
    <w:rsid w:val="00874063"/>
    <w:rsid w:val="008740D7"/>
    <w:rsid w:val="00874238"/>
    <w:rsid w:val="008758EF"/>
    <w:rsid w:val="0087655B"/>
    <w:rsid w:val="00876C47"/>
    <w:rsid w:val="00876D67"/>
    <w:rsid w:val="00877754"/>
    <w:rsid w:val="008779CC"/>
    <w:rsid w:val="00877EB7"/>
    <w:rsid w:val="00880600"/>
    <w:rsid w:val="0088063F"/>
    <w:rsid w:val="008809A0"/>
    <w:rsid w:val="00880ADF"/>
    <w:rsid w:val="00880B17"/>
    <w:rsid w:val="00880F21"/>
    <w:rsid w:val="00881610"/>
    <w:rsid w:val="00881BB7"/>
    <w:rsid w:val="008828A1"/>
    <w:rsid w:val="00882A75"/>
    <w:rsid w:val="00882D90"/>
    <w:rsid w:val="00882E9A"/>
    <w:rsid w:val="00883571"/>
    <w:rsid w:val="008853A7"/>
    <w:rsid w:val="008862BB"/>
    <w:rsid w:val="008867E2"/>
    <w:rsid w:val="008868CF"/>
    <w:rsid w:val="00886E88"/>
    <w:rsid w:val="00890BEE"/>
    <w:rsid w:val="008918AC"/>
    <w:rsid w:val="00892443"/>
    <w:rsid w:val="00892D1A"/>
    <w:rsid w:val="00892D93"/>
    <w:rsid w:val="00892DF8"/>
    <w:rsid w:val="00892EDD"/>
    <w:rsid w:val="0089310D"/>
    <w:rsid w:val="00893478"/>
    <w:rsid w:val="0089360A"/>
    <w:rsid w:val="008939A1"/>
    <w:rsid w:val="00893C82"/>
    <w:rsid w:val="008945DF"/>
    <w:rsid w:val="008949CF"/>
    <w:rsid w:val="00894C00"/>
    <w:rsid w:val="008952E6"/>
    <w:rsid w:val="008959D0"/>
    <w:rsid w:val="0089625B"/>
    <w:rsid w:val="0089650D"/>
    <w:rsid w:val="00896936"/>
    <w:rsid w:val="0089695B"/>
    <w:rsid w:val="00896A0D"/>
    <w:rsid w:val="00896D91"/>
    <w:rsid w:val="008970DE"/>
    <w:rsid w:val="00897647"/>
    <w:rsid w:val="008A0045"/>
    <w:rsid w:val="008A0628"/>
    <w:rsid w:val="008A0636"/>
    <w:rsid w:val="008A0A33"/>
    <w:rsid w:val="008A15F3"/>
    <w:rsid w:val="008A1DCF"/>
    <w:rsid w:val="008A212A"/>
    <w:rsid w:val="008A3627"/>
    <w:rsid w:val="008A3DCB"/>
    <w:rsid w:val="008A41D6"/>
    <w:rsid w:val="008A472A"/>
    <w:rsid w:val="008A4856"/>
    <w:rsid w:val="008A4C08"/>
    <w:rsid w:val="008A56CA"/>
    <w:rsid w:val="008A58D1"/>
    <w:rsid w:val="008A6229"/>
    <w:rsid w:val="008A6741"/>
    <w:rsid w:val="008A679C"/>
    <w:rsid w:val="008A7A6B"/>
    <w:rsid w:val="008B05BD"/>
    <w:rsid w:val="008B06C6"/>
    <w:rsid w:val="008B08D8"/>
    <w:rsid w:val="008B0E1C"/>
    <w:rsid w:val="008B2581"/>
    <w:rsid w:val="008B2652"/>
    <w:rsid w:val="008B2A7B"/>
    <w:rsid w:val="008B2F4F"/>
    <w:rsid w:val="008B4844"/>
    <w:rsid w:val="008B4A38"/>
    <w:rsid w:val="008B4DF4"/>
    <w:rsid w:val="008B5727"/>
    <w:rsid w:val="008B58DA"/>
    <w:rsid w:val="008B5D19"/>
    <w:rsid w:val="008B620C"/>
    <w:rsid w:val="008B70E4"/>
    <w:rsid w:val="008B785D"/>
    <w:rsid w:val="008B79E3"/>
    <w:rsid w:val="008B7B4D"/>
    <w:rsid w:val="008B7B90"/>
    <w:rsid w:val="008B7C62"/>
    <w:rsid w:val="008C035A"/>
    <w:rsid w:val="008C10DD"/>
    <w:rsid w:val="008C191D"/>
    <w:rsid w:val="008C1987"/>
    <w:rsid w:val="008C1BE5"/>
    <w:rsid w:val="008C1DCF"/>
    <w:rsid w:val="008C2B7C"/>
    <w:rsid w:val="008C2ED1"/>
    <w:rsid w:val="008C3246"/>
    <w:rsid w:val="008C3A8D"/>
    <w:rsid w:val="008C3C44"/>
    <w:rsid w:val="008C4DCD"/>
    <w:rsid w:val="008C5047"/>
    <w:rsid w:val="008C530A"/>
    <w:rsid w:val="008C64AE"/>
    <w:rsid w:val="008C65CC"/>
    <w:rsid w:val="008C660A"/>
    <w:rsid w:val="008C6C72"/>
    <w:rsid w:val="008C6DE7"/>
    <w:rsid w:val="008C71BF"/>
    <w:rsid w:val="008C72A5"/>
    <w:rsid w:val="008C77E4"/>
    <w:rsid w:val="008C7AB4"/>
    <w:rsid w:val="008D0CA3"/>
    <w:rsid w:val="008D112F"/>
    <w:rsid w:val="008D1281"/>
    <w:rsid w:val="008D1BE0"/>
    <w:rsid w:val="008D31FA"/>
    <w:rsid w:val="008D3376"/>
    <w:rsid w:val="008D3765"/>
    <w:rsid w:val="008D392F"/>
    <w:rsid w:val="008D3E3B"/>
    <w:rsid w:val="008D3F3A"/>
    <w:rsid w:val="008D49E8"/>
    <w:rsid w:val="008D5AF6"/>
    <w:rsid w:val="008D6447"/>
    <w:rsid w:val="008D6C66"/>
    <w:rsid w:val="008D70FE"/>
    <w:rsid w:val="008E0308"/>
    <w:rsid w:val="008E03DE"/>
    <w:rsid w:val="008E0440"/>
    <w:rsid w:val="008E0853"/>
    <w:rsid w:val="008E0AB5"/>
    <w:rsid w:val="008E0F3D"/>
    <w:rsid w:val="008E0F91"/>
    <w:rsid w:val="008E1272"/>
    <w:rsid w:val="008E1414"/>
    <w:rsid w:val="008E1533"/>
    <w:rsid w:val="008E1F0C"/>
    <w:rsid w:val="008E2350"/>
    <w:rsid w:val="008E24E4"/>
    <w:rsid w:val="008E270F"/>
    <w:rsid w:val="008E29B9"/>
    <w:rsid w:val="008E4007"/>
    <w:rsid w:val="008E41C6"/>
    <w:rsid w:val="008E4A42"/>
    <w:rsid w:val="008E4D08"/>
    <w:rsid w:val="008E505F"/>
    <w:rsid w:val="008E5CDB"/>
    <w:rsid w:val="008E5E1B"/>
    <w:rsid w:val="008E6746"/>
    <w:rsid w:val="008E6753"/>
    <w:rsid w:val="008E6BE7"/>
    <w:rsid w:val="008E7132"/>
    <w:rsid w:val="008E73BC"/>
    <w:rsid w:val="008E769F"/>
    <w:rsid w:val="008E7EC5"/>
    <w:rsid w:val="008F06B6"/>
    <w:rsid w:val="008F0DFE"/>
    <w:rsid w:val="008F10BB"/>
    <w:rsid w:val="008F1189"/>
    <w:rsid w:val="008F19F4"/>
    <w:rsid w:val="008F1BA8"/>
    <w:rsid w:val="008F24A7"/>
    <w:rsid w:val="008F2C6A"/>
    <w:rsid w:val="008F2FB2"/>
    <w:rsid w:val="008F3CF9"/>
    <w:rsid w:val="008F43C8"/>
    <w:rsid w:val="008F45F0"/>
    <w:rsid w:val="008F4B7C"/>
    <w:rsid w:val="008F5D24"/>
    <w:rsid w:val="008F6A3C"/>
    <w:rsid w:val="008F6C70"/>
    <w:rsid w:val="008F6DE8"/>
    <w:rsid w:val="008F6E18"/>
    <w:rsid w:val="008F6EC4"/>
    <w:rsid w:val="008F7059"/>
    <w:rsid w:val="0090198C"/>
    <w:rsid w:val="00901C7D"/>
    <w:rsid w:val="0090237E"/>
    <w:rsid w:val="0090261D"/>
    <w:rsid w:val="009028FD"/>
    <w:rsid w:val="0090303F"/>
    <w:rsid w:val="009031DB"/>
    <w:rsid w:val="00903E82"/>
    <w:rsid w:val="00904290"/>
    <w:rsid w:val="00904A0C"/>
    <w:rsid w:val="0090566A"/>
    <w:rsid w:val="0090572F"/>
    <w:rsid w:val="0090630E"/>
    <w:rsid w:val="00906697"/>
    <w:rsid w:val="009069AE"/>
    <w:rsid w:val="009069CF"/>
    <w:rsid w:val="00906B4B"/>
    <w:rsid w:val="00906B7C"/>
    <w:rsid w:val="00906D48"/>
    <w:rsid w:val="00907683"/>
    <w:rsid w:val="00907E04"/>
    <w:rsid w:val="00907FB6"/>
    <w:rsid w:val="009102EF"/>
    <w:rsid w:val="00910782"/>
    <w:rsid w:val="00911031"/>
    <w:rsid w:val="00911568"/>
    <w:rsid w:val="00911673"/>
    <w:rsid w:val="00911ADB"/>
    <w:rsid w:val="0091205D"/>
    <w:rsid w:val="0091214A"/>
    <w:rsid w:val="00912A04"/>
    <w:rsid w:val="00912F81"/>
    <w:rsid w:val="00913E6A"/>
    <w:rsid w:val="00914E4A"/>
    <w:rsid w:val="00915998"/>
    <w:rsid w:val="00915A0F"/>
    <w:rsid w:val="0091620A"/>
    <w:rsid w:val="009166A2"/>
    <w:rsid w:val="00916AB6"/>
    <w:rsid w:val="00916E29"/>
    <w:rsid w:val="00917082"/>
    <w:rsid w:val="00917786"/>
    <w:rsid w:val="0092037B"/>
    <w:rsid w:val="009205AB"/>
    <w:rsid w:val="0092159F"/>
    <w:rsid w:val="009219C4"/>
    <w:rsid w:val="00922AEB"/>
    <w:rsid w:val="009235A0"/>
    <w:rsid w:val="00923624"/>
    <w:rsid w:val="00923FAA"/>
    <w:rsid w:val="00924381"/>
    <w:rsid w:val="009249B3"/>
    <w:rsid w:val="00924B54"/>
    <w:rsid w:val="00924FA7"/>
    <w:rsid w:val="00925510"/>
    <w:rsid w:val="0092581F"/>
    <w:rsid w:val="00925868"/>
    <w:rsid w:val="00925A26"/>
    <w:rsid w:val="00925A73"/>
    <w:rsid w:val="00926095"/>
    <w:rsid w:val="009265C4"/>
    <w:rsid w:val="00927200"/>
    <w:rsid w:val="009278A6"/>
    <w:rsid w:val="0093088D"/>
    <w:rsid w:val="00930DBC"/>
    <w:rsid w:val="00931002"/>
    <w:rsid w:val="0093140F"/>
    <w:rsid w:val="00931B6A"/>
    <w:rsid w:val="009322A1"/>
    <w:rsid w:val="0093278C"/>
    <w:rsid w:val="00932E11"/>
    <w:rsid w:val="009332C4"/>
    <w:rsid w:val="009334A2"/>
    <w:rsid w:val="00933F12"/>
    <w:rsid w:val="00934EA3"/>
    <w:rsid w:val="00935873"/>
    <w:rsid w:val="00935FDC"/>
    <w:rsid w:val="009360B2"/>
    <w:rsid w:val="00937250"/>
    <w:rsid w:val="00940695"/>
    <w:rsid w:val="0094137B"/>
    <w:rsid w:val="009420CF"/>
    <w:rsid w:val="009421F5"/>
    <w:rsid w:val="00942790"/>
    <w:rsid w:val="00942D00"/>
    <w:rsid w:val="009431D6"/>
    <w:rsid w:val="00943BFC"/>
    <w:rsid w:val="0094497F"/>
    <w:rsid w:val="009451B4"/>
    <w:rsid w:val="00945253"/>
    <w:rsid w:val="00945B4E"/>
    <w:rsid w:val="00946005"/>
    <w:rsid w:val="009460F0"/>
    <w:rsid w:val="009466C4"/>
    <w:rsid w:val="00946C42"/>
    <w:rsid w:val="00946DF8"/>
    <w:rsid w:val="0094703C"/>
    <w:rsid w:val="009506A1"/>
    <w:rsid w:val="009506DE"/>
    <w:rsid w:val="009507A7"/>
    <w:rsid w:val="009509F8"/>
    <w:rsid w:val="0095105A"/>
    <w:rsid w:val="00951305"/>
    <w:rsid w:val="0095306D"/>
    <w:rsid w:val="00954E40"/>
    <w:rsid w:val="00954EDA"/>
    <w:rsid w:val="00955777"/>
    <w:rsid w:val="0095615E"/>
    <w:rsid w:val="00956408"/>
    <w:rsid w:val="00957643"/>
    <w:rsid w:val="00957E05"/>
    <w:rsid w:val="00960123"/>
    <w:rsid w:val="009604CC"/>
    <w:rsid w:val="009606ED"/>
    <w:rsid w:val="0096224C"/>
    <w:rsid w:val="009625B6"/>
    <w:rsid w:val="009628D9"/>
    <w:rsid w:val="00963478"/>
    <w:rsid w:val="00963FC3"/>
    <w:rsid w:val="0096537D"/>
    <w:rsid w:val="00965C0F"/>
    <w:rsid w:val="00965E36"/>
    <w:rsid w:val="00966358"/>
    <w:rsid w:val="00966E65"/>
    <w:rsid w:val="009670BC"/>
    <w:rsid w:val="00967652"/>
    <w:rsid w:val="00970613"/>
    <w:rsid w:val="009707EA"/>
    <w:rsid w:val="009708E3"/>
    <w:rsid w:val="00970C26"/>
    <w:rsid w:val="009713B7"/>
    <w:rsid w:val="00971E80"/>
    <w:rsid w:val="00971ED9"/>
    <w:rsid w:val="0097263F"/>
    <w:rsid w:val="00972BE1"/>
    <w:rsid w:val="00972FFC"/>
    <w:rsid w:val="0097350D"/>
    <w:rsid w:val="00974882"/>
    <w:rsid w:val="00974E8E"/>
    <w:rsid w:val="00976539"/>
    <w:rsid w:val="00976C87"/>
    <w:rsid w:val="00976FE9"/>
    <w:rsid w:val="009802A4"/>
    <w:rsid w:val="00980592"/>
    <w:rsid w:val="00980E8C"/>
    <w:rsid w:val="00981AC2"/>
    <w:rsid w:val="009821AC"/>
    <w:rsid w:val="00983535"/>
    <w:rsid w:val="009847A1"/>
    <w:rsid w:val="009853A7"/>
    <w:rsid w:val="0098588E"/>
    <w:rsid w:val="00985BDC"/>
    <w:rsid w:val="009860E0"/>
    <w:rsid w:val="0098677C"/>
    <w:rsid w:val="00986782"/>
    <w:rsid w:val="0098703A"/>
    <w:rsid w:val="00987C46"/>
    <w:rsid w:val="009900D4"/>
    <w:rsid w:val="009901B0"/>
    <w:rsid w:val="0099086E"/>
    <w:rsid w:val="00990894"/>
    <w:rsid w:val="00991339"/>
    <w:rsid w:val="0099179C"/>
    <w:rsid w:val="00991D2F"/>
    <w:rsid w:val="00991D7A"/>
    <w:rsid w:val="00992FA1"/>
    <w:rsid w:val="009931AB"/>
    <w:rsid w:val="0099322A"/>
    <w:rsid w:val="00993E77"/>
    <w:rsid w:val="00993EAC"/>
    <w:rsid w:val="00994084"/>
    <w:rsid w:val="00994A59"/>
    <w:rsid w:val="00994C56"/>
    <w:rsid w:val="0099568F"/>
    <w:rsid w:val="00995C40"/>
    <w:rsid w:val="00995D5E"/>
    <w:rsid w:val="009963F0"/>
    <w:rsid w:val="0099668E"/>
    <w:rsid w:val="0099679C"/>
    <w:rsid w:val="00996AC0"/>
    <w:rsid w:val="00996DD4"/>
    <w:rsid w:val="00997595"/>
    <w:rsid w:val="00997B52"/>
    <w:rsid w:val="009A0DA1"/>
    <w:rsid w:val="009A0E63"/>
    <w:rsid w:val="009A1640"/>
    <w:rsid w:val="009A20FB"/>
    <w:rsid w:val="009A22B8"/>
    <w:rsid w:val="009A2479"/>
    <w:rsid w:val="009A2EC7"/>
    <w:rsid w:val="009A31B8"/>
    <w:rsid w:val="009A54A7"/>
    <w:rsid w:val="009A6B58"/>
    <w:rsid w:val="009A6D87"/>
    <w:rsid w:val="009A6E26"/>
    <w:rsid w:val="009A724F"/>
    <w:rsid w:val="009A7553"/>
    <w:rsid w:val="009A76BB"/>
    <w:rsid w:val="009B07EA"/>
    <w:rsid w:val="009B0EE0"/>
    <w:rsid w:val="009B0FF6"/>
    <w:rsid w:val="009B1548"/>
    <w:rsid w:val="009B1906"/>
    <w:rsid w:val="009B2A52"/>
    <w:rsid w:val="009B2C7D"/>
    <w:rsid w:val="009B2F6E"/>
    <w:rsid w:val="009B3325"/>
    <w:rsid w:val="009B35FF"/>
    <w:rsid w:val="009B3C13"/>
    <w:rsid w:val="009B453A"/>
    <w:rsid w:val="009B4FAC"/>
    <w:rsid w:val="009B51E5"/>
    <w:rsid w:val="009B5962"/>
    <w:rsid w:val="009B60A0"/>
    <w:rsid w:val="009B6AD0"/>
    <w:rsid w:val="009B6DBB"/>
    <w:rsid w:val="009B7282"/>
    <w:rsid w:val="009B7D5F"/>
    <w:rsid w:val="009C03BE"/>
    <w:rsid w:val="009C08E2"/>
    <w:rsid w:val="009C0BEF"/>
    <w:rsid w:val="009C19B9"/>
    <w:rsid w:val="009C19E5"/>
    <w:rsid w:val="009C214D"/>
    <w:rsid w:val="009C27BB"/>
    <w:rsid w:val="009C313E"/>
    <w:rsid w:val="009C3396"/>
    <w:rsid w:val="009C35AC"/>
    <w:rsid w:val="009C4956"/>
    <w:rsid w:val="009C4F2C"/>
    <w:rsid w:val="009C545D"/>
    <w:rsid w:val="009C6719"/>
    <w:rsid w:val="009D0553"/>
    <w:rsid w:val="009D0674"/>
    <w:rsid w:val="009D1428"/>
    <w:rsid w:val="009D22AF"/>
    <w:rsid w:val="009D30BB"/>
    <w:rsid w:val="009D3DD6"/>
    <w:rsid w:val="009D439C"/>
    <w:rsid w:val="009D5527"/>
    <w:rsid w:val="009D58F7"/>
    <w:rsid w:val="009D5DE2"/>
    <w:rsid w:val="009D5E83"/>
    <w:rsid w:val="009D6281"/>
    <w:rsid w:val="009D62EF"/>
    <w:rsid w:val="009D6929"/>
    <w:rsid w:val="009D699A"/>
    <w:rsid w:val="009D69F0"/>
    <w:rsid w:val="009D71BA"/>
    <w:rsid w:val="009E00BC"/>
    <w:rsid w:val="009E0AAC"/>
    <w:rsid w:val="009E1617"/>
    <w:rsid w:val="009E1974"/>
    <w:rsid w:val="009E249B"/>
    <w:rsid w:val="009E28A1"/>
    <w:rsid w:val="009E3148"/>
    <w:rsid w:val="009E3EDC"/>
    <w:rsid w:val="009E404F"/>
    <w:rsid w:val="009E51E7"/>
    <w:rsid w:val="009E533E"/>
    <w:rsid w:val="009E575E"/>
    <w:rsid w:val="009E5B24"/>
    <w:rsid w:val="009E5CB7"/>
    <w:rsid w:val="009E5F2A"/>
    <w:rsid w:val="009E61C0"/>
    <w:rsid w:val="009E651C"/>
    <w:rsid w:val="009E72E6"/>
    <w:rsid w:val="009E769D"/>
    <w:rsid w:val="009E79D3"/>
    <w:rsid w:val="009E7C11"/>
    <w:rsid w:val="009F0167"/>
    <w:rsid w:val="009F09E1"/>
    <w:rsid w:val="009F0C57"/>
    <w:rsid w:val="009F16E5"/>
    <w:rsid w:val="009F1EF9"/>
    <w:rsid w:val="009F25CA"/>
    <w:rsid w:val="009F2649"/>
    <w:rsid w:val="009F279B"/>
    <w:rsid w:val="009F2CD3"/>
    <w:rsid w:val="009F340A"/>
    <w:rsid w:val="009F39CE"/>
    <w:rsid w:val="009F404D"/>
    <w:rsid w:val="009F438C"/>
    <w:rsid w:val="009F46FE"/>
    <w:rsid w:val="009F4774"/>
    <w:rsid w:val="009F6BB9"/>
    <w:rsid w:val="009F6F69"/>
    <w:rsid w:val="009F6FEF"/>
    <w:rsid w:val="009F71E1"/>
    <w:rsid w:val="009F723B"/>
    <w:rsid w:val="009F7259"/>
    <w:rsid w:val="009F7855"/>
    <w:rsid w:val="00A000FC"/>
    <w:rsid w:val="00A01848"/>
    <w:rsid w:val="00A01B20"/>
    <w:rsid w:val="00A01B59"/>
    <w:rsid w:val="00A020C3"/>
    <w:rsid w:val="00A02FA5"/>
    <w:rsid w:val="00A032BE"/>
    <w:rsid w:val="00A033DA"/>
    <w:rsid w:val="00A03415"/>
    <w:rsid w:val="00A03F81"/>
    <w:rsid w:val="00A042E1"/>
    <w:rsid w:val="00A04CDF"/>
    <w:rsid w:val="00A051F6"/>
    <w:rsid w:val="00A05209"/>
    <w:rsid w:val="00A05964"/>
    <w:rsid w:val="00A05DE6"/>
    <w:rsid w:val="00A05E2B"/>
    <w:rsid w:val="00A06008"/>
    <w:rsid w:val="00A06F2F"/>
    <w:rsid w:val="00A072A6"/>
    <w:rsid w:val="00A07492"/>
    <w:rsid w:val="00A07ECD"/>
    <w:rsid w:val="00A102F1"/>
    <w:rsid w:val="00A10AB0"/>
    <w:rsid w:val="00A11542"/>
    <w:rsid w:val="00A11DEE"/>
    <w:rsid w:val="00A1240B"/>
    <w:rsid w:val="00A12478"/>
    <w:rsid w:val="00A12772"/>
    <w:rsid w:val="00A12E7E"/>
    <w:rsid w:val="00A136DF"/>
    <w:rsid w:val="00A1382E"/>
    <w:rsid w:val="00A13CD8"/>
    <w:rsid w:val="00A1422A"/>
    <w:rsid w:val="00A14A6D"/>
    <w:rsid w:val="00A1523B"/>
    <w:rsid w:val="00A1544D"/>
    <w:rsid w:val="00A15451"/>
    <w:rsid w:val="00A15AD0"/>
    <w:rsid w:val="00A163A0"/>
    <w:rsid w:val="00A16E73"/>
    <w:rsid w:val="00A2033C"/>
    <w:rsid w:val="00A20517"/>
    <w:rsid w:val="00A208EF"/>
    <w:rsid w:val="00A20991"/>
    <w:rsid w:val="00A20A3D"/>
    <w:rsid w:val="00A20B56"/>
    <w:rsid w:val="00A21757"/>
    <w:rsid w:val="00A21D99"/>
    <w:rsid w:val="00A22944"/>
    <w:rsid w:val="00A22C33"/>
    <w:rsid w:val="00A22FFB"/>
    <w:rsid w:val="00A235EA"/>
    <w:rsid w:val="00A239FF"/>
    <w:rsid w:val="00A245ED"/>
    <w:rsid w:val="00A24DAB"/>
    <w:rsid w:val="00A25D8A"/>
    <w:rsid w:val="00A25E36"/>
    <w:rsid w:val="00A2638C"/>
    <w:rsid w:val="00A26BBC"/>
    <w:rsid w:val="00A26BDB"/>
    <w:rsid w:val="00A273B6"/>
    <w:rsid w:val="00A303C0"/>
    <w:rsid w:val="00A30735"/>
    <w:rsid w:val="00A314D9"/>
    <w:rsid w:val="00A32D46"/>
    <w:rsid w:val="00A33754"/>
    <w:rsid w:val="00A33A1B"/>
    <w:rsid w:val="00A33E03"/>
    <w:rsid w:val="00A33E8E"/>
    <w:rsid w:val="00A33FBE"/>
    <w:rsid w:val="00A34A90"/>
    <w:rsid w:val="00A34AF7"/>
    <w:rsid w:val="00A34C48"/>
    <w:rsid w:val="00A35112"/>
    <w:rsid w:val="00A35ADA"/>
    <w:rsid w:val="00A35F63"/>
    <w:rsid w:val="00A40446"/>
    <w:rsid w:val="00A409F1"/>
    <w:rsid w:val="00A41265"/>
    <w:rsid w:val="00A414ED"/>
    <w:rsid w:val="00A41E92"/>
    <w:rsid w:val="00A41EC5"/>
    <w:rsid w:val="00A4281C"/>
    <w:rsid w:val="00A438A2"/>
    <w:rsid w:val="00A43AE4"/>
    <w:rsid w:val="00A43DD1"/>
    <w:rsid w:val="00A44093"/>
    <w:rsid w:val="00A45312"/>
    <w:rsid w:val="00A465AE"/>
    <w:rsid w:val="00A4684B"/>
    <w:rsid w:val="00A46BBC"/>
    <w:rsid w:val="00A47AD5"/>
    <w:rsid w:val="00A47B4B"/>
    <w:rsid w:val="00A50FC8"/>
    <w:rsid w:val="00A514FE"/>
    <w:rsid w:val="00A5164E"/>
    <w:rsid w:val="00A51700"/>
    <w:rsid w:val="00A5179E"/>
    <w:rsid w:val="00A51820"/>
    <w:rsid w:val="00A520F2"/>
    <w:rsid w:val="00A526D7"/>
    <w:rsid w:val="00A53FE1"/>
    <w:rsid w:val="00A5409B"/>
    <w:rsid w:val="00A5415B"/>
    <w:rsid w:val="00A5490C"/>
    <w:rsid w:val="00A55412"/>
    <w:rsid w:val="00A562F5"/>
    <w:rsid w:val="00A56617"/>
    <w:rsid w:val="00A567FF"/>
    <w:rsid w:val="00A56CFA"/>
    <w:rsid w:val="00A57049"/>
    <w:rsid w:val="00A57EC5"/>
    <w:rsid w:val="00A6090A"/>
    <w:rsid w:val="00A60F49"/>
    <w:rsid w:val="00A61405"/>
    <w:rsid w:val="00A61E0D"/>
    <w:rsid w:val="00A61FBC"/>
    <w:rsid w:val="00A6324E"/>
    <w:rsid w:val="00A63D95"/>
    <w:rsid w:val="00A647D5"/>
    <w:rsid w:val="00A656A2"/>
    <w:rsid w:val="00A65883"/>
    <w:rsid w:val="00A65BBB"/>
    <w:rsid w:val="00A65C45"/>
    <w:rsid w:val="00A666CB"/>
    <w:rsid w:val="00A66BE6"/>
    <w:rsid w:val="00A67131"/>
    <w:rsid w:val="00A67A20"/>
    <w:rsid w:val="00A7025A"/>
    <w:rsid w:val="00A70286"/>
    <w:rsid w:val="00A70E2D"/>
    <w:rsid w:val="00A71C31"/>
    <w:rsid w:val="00A71FE0"/>
    <w:rsid w:val="00A72112"/>
    <w:rsid w:val="00A734D8"/>
    <w:rsid w:val="00A7399C"/>
    <w:rsid w:val="00A73B50"/>
    <w:rsid w:val="00A74111"/>
    <w:rsid w:val="00A744D7"/>
    <w:rsid w:val="00A746D8"/>
    <w:rsid w:val="00A746E9"/>
    <w:rsid w:val="00A7482E"/>
    <w:rsid w:val="00A74924"/>
    <w:rsid w:val="00A74B28"/>
    <w:rsid w:val="00A74C3A"/>
    <w:rsid w:val="00A74F94"/>
    <w:rsid w:val="00A75361"/>
    <w:rsid w:val="00A75E5A"/>
    <w:rsid w:val="00A7668F"/>
    <w:rsid w:val="00A76854"/>
    <w:rsid w:val="00A76B1E"/>
    <w:rsid w:val="00A77742"/>
    <w:rsid w:val="00A7787F"/>
    <w:rsid w:val="00A77FC8"/>
    <w:rsid w:val="00A811B1"/>
    <w:rsid w:val="00A8151C"/>
    <w:rsid w:val="00A81583"/>
    <w:rsid w:val="00A81F3F"/>
    <w:rsid w:val="00A821FF"/>
    <w:rsid w:val="00A82615"/>
    <w:rsid w:val="00A82BBC"/>
    <w:rsid w:val="00A82CAB"/>
    <w:rsid w:val="00A8508C"/>
    <w:rsid w:val="00A85C2C"/>
    <w:rsid w:val="00A86413"/>
    <w:rsid w:val="00A86562"/>
    <w:rsid w:val="00A865DD"/>
    <w:rsid w:val="00A872AA"/>
    <w:rsid w:val="00A87446"/>
    <w:rsid w:val="00A877BD"/>
    <w:rsid w:val="00A878F6"/>
    <w:rsid w:val="00A87A37"/>
    <w:rsid w:val="00A912C6"/>
    <w:rsid w:val="00A91379"/>
    <w:rsid w:val="00A9156A"/>
    <w:rsid w:val="00A9214A"/>
    <w:rsid w:val="00A93BB5"/>
    <w:rsid w:val="00A93F65"/>
    <w:rsid w:val="00A9439D"/>
    <w:rsid w:val="00A95D90"/>
    <w:rsid w:val="00A95FF0"/>
    <w:rsid w:val="00A96128"/>
    <w:rsid w:val="00A96357"/>
    <w:rsid w:val="00A96439"/>
    <w:rsid w:val="00A96599"/>
    <w:rsid w:val="00A96932"/>
    <w:rsid w:val="00A96F4E"/>
    <w:rsid w:val="00A9718E"/>
    <w:rsid w:val="00A97459"/>
    <w:rsid w:val="00A97654"/>
    <w:rsid w:val="00A978A4"/>
    <w:rsid w:val="00AA0D42"/>
    <w:rsid w:val="00AA10CC"/>
    <w:rsid w:val="00AA18DE"/>
    <w:rsid w:val="00AA1E9B"/>
    <w:rsid w:val="00AA35FA"/>
    <w:rsid w:val="00AA3DE3"/>
    <w:rsid w:val="00AA4349"/>
    <w:rsid w:val="00AA44F6"/>
    <w:rsid w:val="00AA4786"/>
    <w:rsid w:val="00AA4987"/>
    <w:rsid w:val="00AA602C"/>
    <w:rsid w:val="00AA7357"/>
    <w:rsid w:val="00AA7884"/>
    <w:rsid w:val="00AA7C23"/>
    <w:rsid w:val="00AB11FA"/>
    <w:rsid w:val="00AB131F"/>
    <w:rsid w:val="00AB1348"/>
    <w:rsid w:val="00AB1E0A"/>
    <w:rsid w:val="00AB3A7E"/>
    <w:rsid w:val="00AB3E29"/>
    <w:rsid w:val="00AB3E3E"/>
    <w:rsid w:val="00AB4015"/>
    <w:rsid w:val="00AB4CE0"/>
    <w:rsid w:val="00AB60A5"/>
    <w:rsid w:val="00AB650E"/>
    <w:rsid w:val="00AB790F"/>
    <w:rsid w:val="00AC0381"/>
    <w:rsid w:val="00AC043B"/>
    <w:rsid w:val="00AC171B"/>
    <w:rsid w:val="00AC17DB"/>
    <w:rsid w:val="00AC1985"/>
    <w:rsid w:val="00AC1B50"/>
    <w:rsid w:val="00AC2270"/>
    <w:rsid w:val="00AC22CC"/>
    <w:rsid w:val="00AC2A0D"/>
    <w:rsid w:val="00AC3958"/>
    <w:rsid w:val="00AC3FB3"/>
    <w:rsid w:val="00AC508F"/>
    <w:rsid w:val="00AC5C7A"/>
    <w:rsid w:val="00AC66A3"/>
    <w:rsid w:val="00AC66FC"/>
    <w:rsid w:val="00AC69ED"/>
    <w:rsid w:val="00AC738B"/>
    <w:rsid w:val="00AD0317"/>
    <w:rsid w:val="00AD0CDE"/>
    <w:rsid w:val="00AD0E12"/>
    <w:rsid w:val="00AD0EFA"/>
    <w:rsid w:val="00AD0F28"/>
    <w:rsid w:val="00AD105A"/>
    <w:rsid w:val="00AD1276"/>
    <w:rsid w:val="00AD149E"/>
    <w:rsid w:val="00AD1C92"/>
    <w:rsid w:val="00AD1D08"/>
    <w:rsid w:val="00AD1F93"/>
    <w:rsid w:val="00AD23E7"/>
    <w:rsid w:val="00AD2A1B"/>
    <w:rsid w:val="00AD32BE"/>
    <w:rsid w:val="00AD40B9"/>
    <w:rsid w:val="00AD424E"/>
    <w:rsid w:val="00AD4281"/>
    <w:rsid w:val="00AD4CAD"/>
    <w:rsid w:val="00AD50A0"/>
    <w:rsid w:val="00AD5387"/>
    <w:rsid w:val="00AD5AA3"/>
    <w:rsid w:val="00AD5DEF"/>
    <w:rsid w:val="00AD681B"/>
    <w:rsid w:val="00AD6AE1"/>
    <w:rsid w:val="00AD73C8"/>
    <w:rsid w:val="00AD762A"/>
    <w:rsid w:val="00AD7EC0"/>
    <w:rsid w:val="00AE0CBE"/>
    <w:rsid w:val="00AE0E56"/>
    <w:rsid w:val="00AE14C5"/>
    <w:rsid w:val="00AE18AD"/>
    <w:rsid w:val="00AE2444"/>
    <w:rsid w:val="00AE3182"/>
    <w:rsid w:val="00AE3ADD"/>
    <w:rsid w:val="00AE43D4"/>
    <w:rsid w:val="00AE451A"/>
    <w:rsid w:val="00AE5825"/>
    <w:rsid w:val="00AE59DB"/>
    <w:rsid w:val="00AE5EC4"/>
    <w:rsid w:val="00AE662F"/>
    <w:rsid w:val="00AE6CE9"/>
    <w:rsid w:val="00AF001E"/>
    <w:rsid w:val="00AF017B"/>
    <w:rsid w:val="00AF071B"/>
    <w:rsid w:val="00AF0980"/>
    <w:rsid w:val="00AF137F"/>
    <w:rsid w:val="00AF1DE8"/>
    <w:rsid w:val="00AF2743"/>
    <w:rsid w:val="00AF3595"/>
    <w:rsid w:val="00AF5300"/>
    <w:rsid w:val="00AF5A76"/>
    <w:rsid w:val="00AF6CA4"/>
    <w:rsid w:val="00AF7483"/>
    <w:rsid w:val="00AF7763"/>
    <w:rsid w:val="00AF7942"/>
    <w:rsid w:val="00AF7A3D"/>
    <w:rsid w:val="00AF7BB6"/>
    <w:rsid w:val="00B00155"/>
    <w:rsid w:val="00B0060D"/>
    <w:rsid w:val="00B00962"/>
    <w:rsid w:val="00B0106B"/>
    <w:rsid w:val="00B01205"/>
    <w:rsid w:val="00B0157F"/>
    <w:rsid w:val="00B019D9"/>
    <w:rsid w:val="00B01F10"/>
    <w:rsid w:val="00B026C6"/>
    <w:rsid w:val="00B02B94"/>
    <w:rsid w:val="00B030F9"/>
    <w:rsid w:val="00B037EC"/>
    <w:rsid w:val="00B0515F"/>
    <w:rsid w:val="00B0557F"/>
    <w:rsid w:val="00B05990"/>
    <w:rsid w:val="00B06606"/>
    <w:rsid w:val="00B06D65"/>
    <w:rsid w:val="00B06F7D"/>
    <w:rsid w:val="00B06FFB"/>
    <w:rsid w:val="00B0727B"/>
    <w:rsid w:val="00B07E66"/>
    <w:rsid w:val="00B07F8D"/>
    <w:rsid w:val="00B10384"/>
    <w:rsid w:val="00B107DA"/>
    <w:rsid w:val="00B1080A"/>
    <w:rsid w:val="00B113C4"/>
    <w:rsid w:val="00B125C5"/>
    <w:rsid w:val="00B125E2"/>
    <w:rsid w:val="00B12B13"/>
    <w:rsid w:val="00B12D77"/>
    <w:rsid w:val="00B133B8"/>
    <w:rsid w:val="00B14C50"/>
    <w:rsid w:val="00B1568D"/>
    <w:rsid w:val="00B15866"/>
    <w:rsid w:val="00B15BC8"/>
    <w:rsid w:val="00B16808"/>
    <w:rsid w:val="00B16AAF"/>
    <w:rsid w:val="00B16ABD"/>
    <w:rsid w:val="00B16DA0"/>
    <w:rsid w:val="00B1770B"/>
    <w:rsid w:val="00B17861"/>
    <w:rsid w:val="00B1790A"/>
    <w:rsid w:val="00B17D68"/>
    <w:rsid w:val="00B2048D"/>
    <w:rsid w:val="00B20955"/>
    <w:rsid w:val="00B20C0C"/>
    <w:rsid w:val="00B20D8C"/>
    <w:rsid w:val="00B21380"/>
    <w:rsid w:val="00B215F8"/>
    <w:rsid w:val="00B21853"/>
    <w:rsid w:val="00B219FF"/>
    <w:rsid w:val="00B22E67"/>
    <w:rsid w:val="00B23021"/>
    <w:rsid w:val="00B24703"/>
    <w:rsid w:val="00B251A8"/>
    <w:rsid w:val="00B255E2"/>
    <w:rsid w:val="00B25BC0"/>
    <w:rsid w:val="00B25D92"/>
    <w:rsid w:val="00B27071"/>
    <w:rsid w:val="00B2789E"/>
    <w:rsid w:val="00B30935"/>
    <w:rsid w:val="00B311A5"/>
    <w:rsid w:val="00B31E29"/>
    <w:rsid w:val="00B324C4"/>
    <w:rsid w:val="00B32B19"/>
    <w:rsid w:val="00B33089"/>
    <w:rsid w:val="00B332AB"/>
    <w:rsid w:val="00B33E98"/>
    <w:rsid w:val="00B346B9"/>
    <w:rsid w:val="00B34EAF"/>
    <w:rsid w:val="00B350D8"/>
    <w:rsid w:val="00B3521E"/>
    <w:rsid w:val="00B3606C"/>
    <w:rsid w:val="00B3623C"/>
    <w:rsid w:val="00B3625E"/>
    <w:rsid w:val="00B36A43"/>
    <w:rsid w:val="00B36BAE"/>
    <w:rsid w:val="00B37387"/>
    <w:rsid w:val="00B37578"/>
    <w:rsid w:val="00B3788C"/>
    <w:rsid w:val="00B37C76"/>
    <w:rsid w:val="00B37F75"/>
    <w:rsid w:val="00B409CA"/>
    <w:rsid w:val="00B40D02"/>
    <w:rsid w:val="00B4131A"/>
    <w:rsid w:val="00B4136F"/>
    <w:rsid w:val="00B41766"/>
    <w:rsid w:val="00B424ED"/>
    <w:rsid w:val="00B43B6D"/>
    <w:rsid w:val="00B448D1"/>
    <w:rsid w:val="00B44AD1"/>
    <w:rsid w:val="00B44B08"/>
    <w:rsid w:val="00B44EA7"/>
    <w:rsid w:val="00B45343"/>
    <w:rsid w:val="00B4602B"/>
    <w:rsid w:val="00B46243"/>
    <w:rsid w:val="00B46FE0"/>
    <w:rsid w:val="00B47B02"/>
    <w:rsid w:val="00B47C6C"/>
    <w:rsid w:val="00B50141"/>
    <w:rsid w:val="00B501E5"/>
    <w:rsid w:val="00B50B6F"/>
    <w:rsid w:val="00B50B81"/>
    <w:rsid w:val="00B5133F"/>
    <w:rsid w:val="00B51BA0"/>
    <w:rsid w:val="00B5269E"/>
    <w:rsid w:val="00B528A3"/>
    <w:rsid w:val="00B52CCC"/>
    <w:rsid w:val="00B5347A"/>
    <w:rsid w:val="00B53AED"/>
    <w:rsid w:val="00B547A3"/>
    <w:rsid w:val="00B5484A"/>
    <w:rsid w:val="00B55412"/>
    <w:rsid w:val="00B55850"/>
    <w:rsid w:val="00B55CCA"/>
    <w:rsid w:val="00B56418"/>
    <w:rsid w:val="00B56A5D"/>
    <w:rsid w:val="00B5764D"/>
    <w:rsid w:val="00B60731"/>
    <w:rsid w:val="00B610EE"/>
    <w:rsid w:val="00B61547"/>
    <w:rsid w:val="00B61AB0"/>
    <w:rsid w:val="00B620A6"/>
    <w:rsid w:val="00B62ABF"/>
    <w:rsid w:val="00B636FA"/>
    <w:rsid w:val="00B63E90"/>
    <w:rsid w:val="00B640A3"/>
    <w:rsid w:val="00B64919"/>
    <w:rsid w:val="00B649AF"/>
    <w:rsid w:val="00B64D7F"/>
    <w:rsid w:val="00B6655B"/>
    <w:rsid w:val="00B676E9"/>
    <w:rsid w:val="00B67882"/>
    <w:rsid w:val="00B67AB3"/>
    <w:rsid w:val="00B67C2C"/>
    <w:rsid w:val="00B70076"/>
    <w:rsid w:val="00B71086"/>
    <w:rsid w:val="00B71716"/>
    <w:rsid w:val="00B71A44"/>
    <w:rsid w:val="00B72E0C"/>
    <w:rsid w:val="00B733B9"/>
    <w:rsid w:val="00B7356E"/>
    <w:rsid w:val="00B73883"/>
    <w:rsid w:val="00B73A61"/>
    <w:rsid w:val="00B74149"/>
    <w:rsid w:val="00B75112"/>
    <w:rsid w:val="00B7573F"/>
    <w:rsid w:val="00B75985"/>
    <w:rsid w:val="00B760B2"/>
    <w:rsid w:val="00B76579"/>
    <w:rsid w:val="00B76A19"/>
    <w:rsid w:val="00B77865"/>
    <w:rsid w:val="00B77B5D"/>
    <w:rsid w:val="00B8097E"/>
    <w:rsid w:val="00B80EF2"/>
    <w:rsid w:val="00B8316D"/>
    <w:rsid w:val="00B832C5"/>
    <w:rsid w:val="00B83356"/>
    <w:rsid w:val="00B835D7"/>
    <w:rsid w:val="00B83ED6"/>
    <w:rsid w:val="00B84022"/>
    <w:rsid w:val="00B84107"/>
    <w:rsid w:val="00B848A1"/>
    <w:rsid w:val="00B84CB1"/>
    <w:rsid w:val="00B8590F"/>
    <w:rsid w:val="00B86136"/>
    <w:rsid w:val="00B86AFA"/>
    <w:rsid w:val="00B87263"/>
    <w:rsid w:val="00B90C32"/>
    <w:rsid w:val="00B90CB0"/>
    <w:rsid w:val="00B9166D"/>
    <w:rsid w:val="00B92EC8"/>
    <w:rsid w:val="00B93383"/>
    <w:rsid w:val="00B941ED"/>
    <w:rsid w:val="00B9432C"/>
    <w:rsid w:val="00B948E2"/>
    <w:rsid w:val="00B94AAB"/>
    <w:rsid w:val="00B9513B"/>
    <w:rsid w:val="00B96869"/>
    <w:rsid w:val="00B9765C"/>
    <w:rsid w:val="00B97CF9"/>
    <w:rsid w:val="00BA062A"/>
    <w:rsid w:val="00BA09DD"/>
    <w:rsid w:val="00BA0B81"/>
    <w:rsid w:val="00BA0C3D"/>
    <w:rsid w:val="00BA13E6"/>
    <w:rsid w:val="00BA1668"/>
    <w:rsid w:val="00BA2048"/>
    <w:rsid w:val="00BA2080"/>
    <w:rsid w:val="00BA2442"/>
    <w:rsid w:val="00BA28C4"/>
    <w:rsid w:val="00BA44B9"/>
    <w:rsid w:val="00BA49CD"/>
    <w:rsid w:val="00BA533E"/>
    <w:rsid w:val="00BA5723"/>
    <w:rsid w:val="00BA5F4D"/>
    <w:rsid w:val="00BA6190"/>
    <w:rsid w:val="00BA63CF"/>
    <w:rsid w:val="00BA64D3"/>
    <w:rsid w:val="00BA661E"/>
    <w:rsid w:val="00BB11C5"/>
    <w:rsid w:val="00BB1436"/>
    <w:rsid w:val="00BB158A"/>
    <w:rsid w:val="00BB17B2"/>
    <w:rsid w:val="00BB1B40"/>
    <w:rsid w:val="00BB1C49"/>
    <w:rsid w:val="00BB2532"/>
    <w:rsid w:val="00BB2B7B"/>
    <w:rsid w:val="00BB2E70"/>
    <w:rsid w:val="00BB3068"/>
    <w:rsid w:val="00BB3101"/>
    <w:rsid w:val="00BB3249"/>
    <w:rsid w:val="00BB4A93"/>
    <w:rsid w:val="00BB5305"/>
    <w:rsid w:val="00BB5311"/>
    <w:rsid w:val="00BB56DE"/>
    <w:rsid w:val="00BB5B2C"/>
    <w:rsid w:val="00BB5B8D"/>
    <w:rsid w:val="00BB63F6"/>
    <w:rsid w:val="00BC0160"/>
    <w:rsid w:val="00BC1190"/>
    <w:rsid w:val="00BC160D"/>
    <w:rsid w:val="00BC1F63"/>
    <w:rsid w:val="00BC1FAE"/>
    <w:rsid w:val="00BC23F2"/>
    <w:rsid w:val="00BC2911"/>
    <w:rsid w:val="00BC2B0D"/>
    <w:rsid w:val="00BC2B47"/>
    <w:rsid w:val="00BC2B61"/>
    <w:rsid w:val="00BC2FA1"/>
    <w:rsid w:val="00BC361F"/>
    <w:rsid w:val="00BC3641"/>
    <w:rsid w:val="00BC37E8"/>
    <w:rsid w:val="00BC39F8"/>
    <w:rsid w:val="00BC42E8"/>
    <w:rsid w:val="00BC4359"/>
    <w:rsid w:val="00BC4805"/>
    <w:rsid w:val="00BC513A"/>
    <w:rsid w:val="00BC597E"/>
    <w:rsid w:val="00BC5F6A"/>
    <w:rsid w:val="00BC6016"/>
    <w:rsid w:val="00BC60FF"/>
    <w:rsid w:val="00BC61D8"/>
    <w:rsid w:val="00BC66F5"/>
    <w:rsid w:val="00BC6D6E"/>
    <w:rsid w:val="00BC702D"/>
    <w:rsid w:val="00BC7B4C"/>
    <w:rsid w:val="00BD07FE"/>
    <w:rsid w:val="00BD0892"/>
    <w:rsid w:val="00BD08AE"/>
    <w:rsid w:val="00BD0A14"/>
    <w:rsid w:val="00BD0EF2"/>
    <w:rsid w:val="00BD1370"/>
    <w:rsid w:val="00BD1939"/>
    <w:rsid w:val="00BD23AB"/>
    <w:rsid w:val="00BD249D"/>
    <w:rsid w:val="00BD36B9"/>
    <w:rsid w:val="00BD382F"/>
    <w:rsid w:val="00BD3995"/>
    <w:rsid w:val="00BD4B23"/>
    <w:rsid w:val="00BD4D9D"/>
    <w:rsid w:val="00BD5A16"/>
    <w:rsid w:val="00BD5D6A"/>
    <w:rsid w:val="00BD6421"/>
    <w:rsid w:val="00BD726F"/>
    <w:rsid w:val="00BE0431"/>
    <w:rsid w:val="00BE0EA1"/>
    <w:rsid w:val="00BE1118"/>
    <w:rsid w:val="00BE1448"/>
    <w:rsid w:val="00BE1A0B"/>
    <w:rsid w:val="00BE1D00"/>
    <w:rsid w:val="00BE227A"/>
    <w:rsid w:val="00BE2A49"/>
    <w:rsid w:val="00BE36AA"/>
    <w:rsid w:val="00BE38F0"/>
    <w:rsid w:val="00BE3AF5"/>
    <w:rsid w:val="00BE3E2F"/>
    <w:rsid w:val="00BE4002"/>
    <w:rsid w:val="00BE402A"/>
    <w:rsid w:val="00BE4189"/>
    <w:rsid w:val="00BE43B4"/>
    <w:rsid w:val="00BE4658"/>
    <w:rsid w:val="00BE5850"/>
    <w:rsid w:val="00BE647E"/>
    <w:rsid w:val="00BE6BDB"/>
    <w:rsid w:val="00BE6F4C"/>
    <w:rsid w:val="00BE7508"/>
    <w:rsid w:val="00BE7B02"/>
    <w:rsid w:val="00BF010F"/>
    <w:rsid w:val="00BF0585"/>
    <w:rsid w:val="00BF098F"/>
    <w:rsid w:val="00BF1C40"/>
    <w:rsid w:val="00BF1FE4"/>
    <w:rsid w:val="00BF2324"/>
    <w:rsid w:val="00BF23B2"/>
    <w:rsid w:val="00BF27B4"/>
    <w:rsid w:val="00BF2906"/>
    <w:rsid w:val="00BF29A2"/>
    <w:rsid w:val="00BF33CE"/>
    <w:rsid w:val="00BF407C"/>
    <w:rsid w:val="00BF43C1"/>
    <w:rsid w:val="00BF4482"/>
    <w:rsid w:val="00BF4815"/>
    <w:rsid w:val="00BF604F"/>
    <w:rsid w:val="00BF65A6"/>
    <w:rsid w:val="00BF6754"/>
    <w:rsid w:val="00BF68F6"/>
    <w:rsid w:val="00BF780F"/>
    <w:rsid w:val="00C00190"/>
    <w:rsid w:val="00C0033F"/>
    <w:rsid w:val="00C01025"/>
    <w:rsid w:val="00C01102"/>
    <w:rsid w:val="00C01751"/>
    <w:rsid w:val="00C01BA4"/>
    <w:rsid w:val="00C02266"/>
    <w:rsid w:val="00C03018"/>
    <w:rsid w:val="00C03709"/>
    <w:rsid w:val="00C03B5E"/>
    <w:rsid w:val="00C03EBC"/>
    <w:rsid w:val="00C055B0"/>
    <w:rsid w:val="00C06822"/>
    <w:rsid w:val="00C0728D"/>
    <w:rsid w:val="00C074DA"/>
    <w:rsid w:val="00C07680"/>
    <w:rsid w:val="00C07922"/>
    <w:rsid w:val="00C07B3B"/>
    <w:rsid w:val="00C10643"/>
    <w:rsid w:val="00C10C25"/>
    <w:rsid w:val="00C1106F"/>
    <w:rsid w:val="00C11B80"/>
    <w:rsid w:val="00C1219E"/>
    <w:rsid w:val="00C12456"/>
    <w:rsid w:val="00C126BD"/>
    <w:rsid w:val="00C132FF"/>
    <w:rsid w:val="00C13486"/>
    <w:rsid w:val="00C13835"/>
    <w:rsid w:val="00C13F42"/>
    <w:rsid w:val="00C14103"/>
    <w:rsid w:val="00C14B03"/>
    <w:rsid w:val="00C15011"/>
    <w:rsid w:val="00C15CF5"/>
    <w:rsid w:val="00C162F5"/>
    <w:rsid w:val="00C16462"/>
    <w:rsid w:val="00C175E6"/>
    <w:rsid w:val="00C17C11"/>
    <w:rsid w:val="00C17CA3"/>
    <w:rsid w:val="00C17F2F"/>
    <w:rsid w:val="00C20510"/>
    <w:rsid w:val="00C211CD"/>
    <w:rsid w:val="00C2178E"/>
    <w:rsid w:val="00C21CAC"/>
    <w:rsid w:val="00C21EED"/>
    <w:rsid w:val="00C225CA"/>
    <w:rsid w:val="00C2273D"/>
    <w:rsid w:val="00C22917"/>
    <w:rsid w:val="00C22937"/>
    <w:rsid w:val="00C22A75"/>
    <w:rsid w:val="00C23025"/>
    <w:rsid w:val="00C230DD"/>
    <w:rsid w:val="00C24EBE"/>
    <w:rsid w:val="00C251A3"/>
    <w:rsid w:val="00C26625"/>
    <w:rsid w:val="00C26845"/>
    <w:rsid w:val="00C26AD2"/>
    <w:rsid w:val="00C27C8B"/>
    <w:rsid w:val="00C30653"/>
    <w:rsid w:val="00C3077C"/>
    <w:rsid w:val="00C30DBC"/>
    <w:rsid w:val="00C30FDD"/>
    <w:rsid w:val="00C310C2"/>
    <w:rsid w:val="00C32425"/>
    <w:rsid w:val="00C32DDA"/>
    <w:rsid w:val="00C33156"/>
    <w:rsid w:val="00C34ED0"/>
    <w:rsid w:val="00C379A2"/>
    <w:rsid w:val="00C37FC6"/>
    <w:rsid w:val="00C402DF"/>
    <w:rsid w:val="00C405E5"/>
    <w:rsid w:val="00C40E4B"/>
    <w:rsid w:val="00C40E94"/>
    <w:rsid w:val="00C4129E"/>
    <w:rsid w:val="00C41B34"/>
    <w:rsid w:val="00C41D5F"/>
    <w:rsid w:val="00C41ED8"/>
    <w:rsid w:val="00C437BA"/>
    <w:rsid w:val="00C43888"/>
    <w:rsid w:val="00C44386"/>
    <w:rsid w:val="00C449B9"/>
    <w:rsid w:val="00C44E55"/>
    <w:rsid w:val="00C44F6D"/>
    <w:rsid w:val="00C4507C"/>
    <w:rsid w:val="00C45A7D"/>
    <w:rsid w:val="00C45BEF"/>
    <w:rsid w:val="00C46987"/>
    <w:rsid w:val="00C47117"/>
    <w:rsid w:val="00C47228"/>
    <w:rsid w:val="00C47A78"/>
    <w:rsid w:val="00C509B4"/>
    <w:rsid w:val="00C5120B"/>
    <w:rsid w:val="00C518BD"/>
    <w:rsid w:val="00C51E8E"/>
    <w:rsid w:val="00C52C19"/>
    <w:rsid w:val="00C53787"/>
    <w:rsid w:val="00C541B0"/>
    <w:rsid w:val="00C541C6"/>
    <w:rsid w:val="00C54579"/>
    <w:rsid w:val="00C55B0C"/>
    <w:rsid w:val="00C56B48"/>
    <w:rsid w:val="00C56C29"/>
    <w:rsid w:val="00C56FB8"/>
    <w:rsid w:val="00C60107"/>
    <w:rsid w:val="00C60721"/>
    <w:rsid w:val="00C60952"/>
    <w:rsid w:val="00C60F22"/>
    <w:rsid w:val="00C61209"/>
    <w:rsid w:val="00C62012"/>
    <w:rsid w:val="00C62979"/>
    <w:rsid w:val="00C62D11"/>
    <w:rsid w:val="00C63030"/>
    <w:rsid w:val="00C630F8"/>
    <w:rsid w:val="00C6312A"/>
    <w:rsid w:val="00C63229"/>
    <w:rsid w:val="00C63504"/>
    <w:rsid w:val="00C63832"/>
    <w:rsid w:val="00C644D0"/>
    <w:rsid w:val="00C64732"/>
    <w:rsid w:val="00C647E2"/>
    <w:rsid w:val="00C6534E"/>
    <w:rsid w:val="00C6541C"/>
    <w:rsid w:val="00C654FF"/>
    <w:rsid w:val="00C65777"/>
    <w:rsid w:val="00C657C0"/>
    <w:rsid w:val="00C65D01"/>
    <w:rsid w:val="00C66201"/>
    <w:rsid w:val="00C665E8"/>
    <w:rsid w:val="00C6682E"/>
    <w:rsid w:val="00C700FC"/>
    <w:rsid w:val="00C704FD"/>
    <w:rsid w:val="00C72252"/>
    <w:rsid w:val="00C722A8"/>
    <w:rsid w:val="00C72584"/>
    <w:rsid w:val="00C726A3"/>
    <w:rsid w:val="00C7320F"/>
    <w:rsid w:val="00C73BDE"/>
    <w:rsid w:val="00C74812"/>
    <w:rsid w:val="00C75B85"/>
    <w:rsid w:val="00C77AE9"/>
    <w:rsid w:val="00C77FCA"/>
    <w:rsid w:val="00C80033"/>
    <w:rsid w:val="00C80072"/>
    <w:rsid w:val="00C80177"/>
    <w:rsid w:val="00C80237"/>
    <w:rsid w:val="00C80895"/>
    <w:rsid w:val="00C81548"/>
    <w:rsid w:val="00C81908"/>
    <w:rsid w:val="00C81D1A"/>
    <w:rsid w:val="00C8223F"/>
    <w:rsid w:val="00C82EEE"/>
    <w:rsid w:val="00C830F2"/>
    <w:rsid w:val="00C83531"/>
    <w:rsid w:val="00C83751"/>
    <w:rsid w:val="00C840E6"/>
    <w:rsid w:val="00C84891"/>
    <w:rsid w:val="00C84DEC"/>
    <w:rsid w:val="00C8533F"/>
    <w:rsid w:val="00C8630B"/>
    <w:rsid w:val="00C868EF"/>
    <w:rsid w:val="00C86A6C"/>
    <w:rsid w:val="00C90703"/>
    <w:rsid w:val="00C918D2"/>
    <w:rsid w:val="00C92684"/>
    <w:rsid w:val="00C93660"/>
    <w:rsid w:val="00C938A8"/>
    <w:rsid w:val="00C93CDD"/>
    <w:rsid w:val="00C93E37"/>
    <w:rsid w:val="00C93F48"/>
    <w:rsid w:val="00C94034"/>
    <w:rsid w:val="00C9411F"/>
    <w:rsid w:val="00C96F38"/>
    <w:rsid w:val="00C972C5"/>
    <w:rsid w:val="00C97F8D"/>
    <w:rsid w:val="00CA0873"/>
    <w:rsid w:val="00CA10E5"/>
    <w:rsid w:val="00CA2338"/>
    <w:rsid w:val="00CA28E3"/>
    <w:rsid w:val="00CA339E"/>
    <w:rsid w:val="00CA51E3"/>
    <w:rsid w:val="00CA6119"/>
    <w:rsid w:val="00CA6373"/>
    <w:rsid w:val="00CA6DD9"/>
    <w:rsid w:val="00CA722B"/>
    <w:rsid w:val="00CA78BD"/>
    <w:rsid w:val="00CB02C7"/>
    <w:rsid w:val="00CB0AA4"/>
    <w:rsid w:val="00CB12BD"/>
    <w:rsid w:val="00CB1F97"/>
    <w:rsid w:val="00CB287F"/>
    <w:rsid w:val="00CB36E0"/>
    <w:rsid w:val="00CB39E7"/>
    <w:rsid w:val="00CB439D"/>
    <w:rsid w:val="00CB6233"/>
    <w:rsid w:val="00CB6674"/>
    <w:rsid w:val="00CB6881"/>
    <w:rsid w:val="00CB68E9"/>
    <w:rsid w:val="00CB6909"/>
    <w:rsid w:val="00CB71CA"/>
    <w:rsid w:val="00CB741D"/>
    <w:rsid w:val="00CB75F0"/>
    <w:rsid w:val="00CC01AA"/>
    <w:rsid w:val="00CC0728"/>
    <w:rsid w:val="00CC0B58"/>
    <w:rsid w:val="00CC12DB"/>
    <w:rsid w:val="00CC23B9"/>
    <w:rsid w:val="00CC27A5"/>
    <w:rsid w:val="00CC2B90"/>
    <w:rsid w:val="00CC3899"/>
    <w:rsid w:val="00CC3B06"/>
    <w:rsid w:val="00CC3E15"/>
    <w:rsid w:val="00CC421D"/>
    <w:rsid w:val="00CC5BB4"/>
    <w:rsid w:val="00CC5BC3"/>
    <w:rsid w:val="00CC5C47"/>
    <w:rsid w:val="00CC5FB2"/>
    <w:rsid w:val="00CC6566"/>
    <w:rsid w:val="00CC6EBE"/>
    <w:rsid w:val="00CC75C7"/>
    <w:rsid w:val="00CC78D4"/>
    <w:rsid w:val="00CC7CF1"/>
    <w:rsid w:val="00CD0102"/>
    <w:rsid w:val="00CD01D8"/>
    <w:rsid w:val="00CD0315"/>
    <w:rsid w:val="00CD08D3"/>
    <w:rsid w:val="00CD1244"/>
    <w:rsid w:val="00CD18F9"/>
    <w:rsid w:val="00CD1C56"/>
    <w:rsid w:val="00CD1F17"/>
    <w:rsid w:val="00CD2243"/>
    <w:rsid w:val="00CD23A6"/>
    <w:rsid w:val="00CD2D70"/>
    <w:rsid w:val="00CD2DAB"/>
    <w:rsid w:val="00CD3E04"/>
    <w:rsid w:val="00CD4BFA"/>
    <w:rsid w:val="00CD5809"/>
    <w:rsid w:val="00CD5A42"/>
    <w:rsid w:val="00CD5D05"/>
    <w:rsid w:val="00CD62AA"/>
    <w:rsid w:val="00CD6396"/>
    <w:rsid w:val="00CD64C1"/>
    <w:rsid w:val="00CD71ED"/>
    <w:rsid w:val="00CD7A77"/>
    <w:rsid w:val="00CE0427"/>
    <w:rsid w:val="00CE044E"/>
    <w:rsid w:val="00CE0A9B"/>
    <w:rsid w:val="00CE175A"/>
    <w:rsid w:val="00CE23C8"/>
    <w:rsid w:val="00CE3423"/>
    <w:rsid w:val="00CE43F8"/>
    <w:rsid w:val="00CE442A"/>
    <w:rsid w:val="00CE443B"/>
    <w:rsid w:val="00CE4727"/>
    <w:rsid w:val="00CE4D1E"/>
    <w:rsid w:val="00CE4F12"/>
    <w:rsid w:val="00CE541C"/>
    <w:rsid w:val="00CE541D"/>
    <w:rsid w:val="00CE57E0"/>
    <w:rsid w:val="00CE59A3"/>
    <w:rsid w:val="00CE5F43"/>
    <w:rsid w:val="00CE61CA"/>
    <w:rsid w:val="00CE653A"/>
    <w:rsid w:val="00CE675C"/>
    <w:rsid w:val="00CE69FB"/>
    <w:rsid w:val="00CE70AC"/>
    <w:rsid w:val="00CE7F9F"/>
    <w:rsid w:val="00CF0AEF"/>
    <w:rsid w:val="00CF0B54"/>
    <w:rsid w:val="00CF36DD"/>
    <w:rsid w:val="00CF39E8"/>
    <w:rsid w:val="00CF3C5E"/>
    <w:rsid w:val="00CF4081"/>
    <w:rsid w:val="00CF40BA"/>
    <w:rsid w:val="00CF4923"/>
    <w:rsid w:val="00CF4AAC"/>
    <w:rsid w:val="00CF5C33"/>
    <w:rsid w:val="00CF5E12"/>
    <w:rsid w:val="00CF61A5"/>
    <w:rsid w:val="00CF6CA6"/>
    <w:rsid w:val="00CF7099"/>
    <w:rsid w:val="00CF7CE9"/>
    <w:rsid w:val="00D00FEF"/>
    <w:rsid w:val="00D01B79"/>
    <w:rsid w:val="00D01CC0"/>
    <w:rsid w:val="00D01F9B"/>
    <w:rsid w:val="00D0281B"/>
    <w:rsid w:val="00D02A0A"/>
    <w:rsid w:val="00D02BB2"/>
    <w:rsid w:val="00D02C6C"/>
    <w:rsid w:val="00D03863"/>
    <w:rsid w:val="00D03D35"/>
    <w:rsid w:val="00D04C22"/>
    <w:rsid w:val="00D04C6D"/>
    <w:rsid w:val="00D04CF0"/>
    <w:rsid w:val="00D051E2"/>
    <w:rsid w:val="00D05720"/>
    <w:rsid w:val="00D05E2A"/>
    <w:rsid w:val="00D06381"/>
    <w:rsid w:val="00D06466"/>
    <w:rsid w:val="00D06D12"/>
    <w:rsid w:val="00D070D4"/>
    <w:rsid w:val="00D072B8"/>
    <w:rsid w:val="00D078E9"/>
    <w:rsid w:val="00D10053"/>
    <w:rsid w:val="00D10A8C"/>
    <w:rsid w:val="00D10BB2"/>
    <w:rsid w:val="00D11735"/>
    <w:rsid w:val="00D12254"/>
    <w:rsid w:val="00D1275B"/>
    <w:rsid w:val="00D12F1D"/>
    <w:rsid w:val="00D1333F"/>
    <w:rsid w:val="00D13B2C"/>
    <w:rsid w:val="00D14292"/>
    <w:rsid w:val="00D14803"/>
    <w:rsid w:val="00D15138"/>
    <w:rsid w:val="00D160FD"/>
    <w:rsid w:val="00D1610B"/>
    <w:rsid w:val="00D1624E"/>
    <w:rsid w:val="00D162C0"/>
    <w:rsid w:val="00D1684E"/>
    <w:rsid w:val="00D16B00"/>
    <w:rsid w:val="00D16F71"/>
    <w:rsid w:val="00D17176"/>
    <w:rsid w:val="00D173CF"/>
    <w:rsid w:val="00D1748B"/>
    <w:rsid w:val="00D2070F"/>
    <w:rsid w:val="00D20781"/>
    <w:rsid w:val="00D215BE"/>
    <w:rsid w:val="00D2175D"/>
    <w:rsid w:val="00D219BC"/>
    <w:rsid w:val="00D219C9"/>
    <w:rsid w:val="00D22119"/>
    <w:rsid w:val="00D22161"/>
    <w:rsid w:val="00D2249A"/>
    <w:rsid w:val="00D2277D"/>
    <w:rsid w:val="00D22CA8"/>
    <w:rsid w:val="00D23C62"/>
    <w:rsid w:val="00D24F14"/>
    <w:rsid w:val="00D24F8F"/>
    <w:rsid w:val="00D25CA0"/>
    <w:rsid w:val="00D26024"/>
    <w:rsid w:val="00D260AD"/>
    <w:rsid w:val="00D26190"/>
    <w:rsid w:val="00D262FB"/>
    <w:rsid w:val="00D27E35"/>
    <w:rsid w:val="00D303E1"/>
    <w:rsid w:val="00D307B6"/>
    <w:rsid w:val="00D30814"/>
    <w:rsid w:val="00D30FB6"/>
    <w:rsid w:val="00D31014"/>
    <w:rsid w:val="00D31ECB"/>
    <w:rsid w:val="00D334E2"/>
    <w:rsid w:val="00D342FA"/>
    <w:rsid w:val="00D34308"/>
    <w:rsid w:val="00D345A0"/>
    <w:rsid w:val="00D34B7D"/>
    <w:rsid w:val="00D34C9B"/>
    <w:rsid w:val="00D34E0A"/>
    <w:rsid w:val="00D35F7B"/>
    <w:rsid w:val="00D3789D"/>
    <w:rsid w:val="00D37D0C"/>
    <w:rsid w:val="00D4036A"/>
    <w:rsid w:val="00D40E1E"/>
    <w:rsid w:val="00D413F5"/>
    <w:rsid w:val="00D41603"/>
    <w:rsid w:val="00D428EF"/>
    <w:rsid w:val="00D43117"/>
    <w:rsid w:val="00D4328B"/>
    <w:rsid w:val="00D43762"/>
    <w:rsid w:val="00D43EE5"/>
    <w:rsid w:val="00D44136"/>
    <w:rsid w:val="00D44922"/>
    <w:rsid w:val="00D44A06"/>
    <w:rsid w:val="00D44AD1"/>
    <w:rsid w:val="00D44BF3"/>
    <w:rsid w:val="00D4556B"/>
    <w:rsid w:val="00D45911"/>
    <w:rsid w:val="00D45C6A"/>
    <w:rsid w:val="00D45FA6"/>
    <w:rsid w:val="00D4624F"/>
    <w:rsid w:val="00D463F4"/>
    <w:rsid w:val="00D46B45"/>
    <w:rsid w:val="00D50F79"/>
    <w:rsid w:val="00D512B8"/>
    <w:rsid w:val="00D5171E"/>
    <w:rsid w:val="00D52905"/>
    <w:rsid w:val="00D5376E"/>
    <w:rsid w:val="00D53889"/>
    <w:rsid w:val="00D538C6"/>
    <w:rsid w:val="00D53CF7"/>
    <w:rsid w:val="00D549B9"/>
    <w:rsid w:val="00D54B87"/>
    <w:rsid w:val="00D551F8"/>
    <w:rsid w:val="00D55256"/>
    <w:rsid w:val="00D552D0"/>
    <w:rsid w:val="00D55A57"/>
    <w:rsid w:val="00D566EF"/>
    <w:rsid w:val="00D56D75"/>
    <w:rsid w:val="00D57595"/>
    <w:rsid w:val="00D57FFE"/>
    <w:rsid w:val="00D602C9"/>
    <w:rsid w:val="00D611AD"/>
    <w:rsid w:val="00D613B5"/>
    <w:rsid w:val="00D616C2"/>
    <w:rsid w:val="00D61B11"/>
    <w:rsid w:val="00D622DD"/>
    <w:rsid w:val="00D62AC8"/>
    <w:rsid w:val="00D62B45"/>
    <w:rsid w:val="00D632D9"/>
    <w:rsid w:val="00D6358E"/>
    <w:rsid w:val="00D63EFA"/>
    <w:rsid w:val="00D66C74"/>
    <w:rsid w:val="00D67029"/>
    <w:rsid w:val="00D67377"/>
    <w:rsid w:val="00D677C0"/>
    <w:rsid w:val="00D67806"/>
    <w:rsid w:val="00D67AE3"/>
    <w:rsid w:val="00D67EC3"/>
    <w:rsid w:val="00D7128D"/>
    <w:rsid w:val="00D714B9"/>
    <w:rsid w:val="00D717D3"/>
    <w:rsid w:val="00D742E7"/>
    <w:rsid w:val="00D74880"/>
    <w:rsid w:val="00D74D11"/>
    <w:rsid w:val="00D75081"/>
    <w:rsid w:val="00D75433"/>
    <w:rsid w:val="00D75BF5"/>
    <w:rsid w:val="00D7615B"/>
    <w:rsid w:val="00D761F8"/>
    <w:rsid w:val="00D76221"/>
    <w:rsid w:val="00D7626F"/>
    <w:rsid w:val="00D769B7"/>
    <w:rsid w:val="00D771B6"/>
    <w:rsid w:val="00D77511"/>
    <w:rsid w:val="00D77A28"/>
    <w:rsid w:val="00D800E0"/>
    <w:rsid w:val="00D80AF9"/>
    <w:rsid w:val="00D80CAD"/>
    <w:rsid w:val="00D811FE"/>
    <w:rsid w:val="00D81A6D"/>
    <w:rsid w:val="00D8282F"/>
    <w:rsid w:val="00D83EB0"/>
    <w:rsid w:val="00D8441C"/>
    <w:rsid w:val="00D84D30"/>
    <w:rsid w:val="00D84D3A"/>
    <w:rsid w:val="00D8587E"/>
    <w:rsid w:val="00D85904"/>
    <w:rsid w:val="00D86BA7"/>
    <w:rsid w:val="00D87178"/>
    <w:rsid w:val="00D87237"/>
    <w:rsid w:val="00D87DE8"/>
    <w:rsid w:val="00D90118"/>
    <w:rsid w:val="00D91031"/>
    <w:rsid w:val="00D91795"/>
    <w:rsid w:val="00D917EE"/>
    <w:rsid w:val="00D927DC"/>
    <w:rsid w:val="00D92B98"/>
    <w:rsid w:val="00D932EF"/>
    <w:rsid w:val="00D93475"/>
    <w:rsid w:val="00D93F50"/>
    <w:rsid w:val="00D94159"/>
    <w:rsid w:val="00D9455D"/>
    <w:rsid w:val="00D94FB4"/>
    <w:rsid w:val="00D95297"/>
    <w:rsid w:val="00D9677C"/>
    <w:rsid w:val="00D967C7"/>
    <w:rsid w:val="00D97497"/>
    <w:rsid w:val="00D97D6B"/>
    <w:rsid w:val="00D97FEA"/>
    <w:rsid w:val="00DA05CD"/>
    <w:rsid w:val="00DA0679"/>
    <w:rsid w:val="00DA0C3E"/>
    <w:rsid w:val="00DA1D4D"/>
    <w:rsid w:val="00DA1DA1"/>
    <w:rsid w:val="00DA2106"/>
    <w:rsid w:val="00DA2ADE"/>
    <w:rsid w:val="00DA3372"/>
    <w:rsid w:val="00DA3822"/>
    <w:rsid w:val="00DA391F"/>
    <w:rsid w:val="00DA3AB9"/>
    <w:rsid w:val="00DA3BDC"/>
    <w:rsid w:val="00DA3E97"/>
    <w:rsid w:val="00DA5E90"/>
    <w:rsid w:val="00DA6393"/>
    <w:rsid w:val="00DA6789"/>
    <w:rsid w:val="00DA735E"/>
    <w:rsid w:val="00DA75A8"/>
    <w:rsid w:val="00DA79D4"/>
    <w:rsid w:val="00DB09E4"/>
    <w:rsid w:val="00DB0B19"/>
    <w:rsid w:val="00DB0E4C"/>
    <w:rsid w:val="00DB150C"/>
    <w:rsid w:val="00DB1766"/>
    <w:rsid w:val="00DB2A7D"/>
    <w:rsid w:val="00DB462F"/>
    <w:rsid w:val="00DB46DD"/>
    <w:rsid w:val="00DB51D3"/>
    <w:rsid w:val="00DB600A"/>
    <w:rsid w:val="00DB6246"/>
    <w:rsid w:val="00DB7BD8"/>
    <w:rsid w:val="00DC07C4"/>
    <w:rsid w:val="00DC135D"/>
    <w:rsid w:val="00DC14D1"/>
    <w:rsid w:val="00DC37DB"/>
    <w:rsid w:val="00DC56EA"/>
    <w:rsid w:val="00DC6531"/>
    <w:rsid w:val="00DC7319"/>
    <w:rsid w:val="00DC77A4"/>
    <w:rsid w:val="00DC78B9"/>
    <w:rsid w:val="00DC7EF3"/>
    <w:rsid w:val="00DD02E8"/>
    <w:rsid w:val="00DD0435"/>
    <w:rsid w:val="00DD1032"/>
    <w:rsid w:val="00DD1291"/>
    <w:rsid w:val="00DD12D3"/>
    <w:rsid w:val="00DD1CCC"/>
    <w:rsid w:val="00DD21A0"/>
    <w:rsid w:val="00DD252E"/>
    <w:rsid w:val="00DD2699"/>
    <w:rsid w:val="00DD2D33"/>
    <w:rsid w:val="00DD2D9E"/>
    <w:rsid w:val="00DD3024"/>
    <w:rsid w:val="00DD323E"/>
    <w:rsid w:val="00DD32C7"/>
    <w:rsid w:val="00DD374F"/>
    <w:rsid w:val="00DD37F3"/>
    <w:rsid w:val="00DD3B94"/>
    <w:rsid w:val="00DD423E"/>
    <w:rsid w:val="00DD4D12"/>
    <w:rsid w:val="00DD4E11"/>
    <w:rsid w:val="00DD5883"/>
    <w:rsid w:val="00DD5C58"/>
    <w:rsid w:val="00DD6CA2"/>
    <w:rsid w:val="00DD7337"/>
    <w:rsid w:val="00DD740F"/>
    <w:rsid w:val="00DD7532"/>
    <w:rsid w:val="00DD7CA6"/>
    <w:rsid w:val="00DE0B34"/>
    <w:rsid w:val="00DE1424"/>
    <w:rsid w:val="00DE1D41"/>
    <w:rsid w:val="00DE21D9"/>
    <w:rsid w:val="00DE2E55"/>
    <w:rsid w:val="00DE3B0F"/>
    <w:rsid w:val="00DE5558"/>
    <w:rsid w:val="00DE6123"/>
    <w:rsid w:val="00DE6442"/>
    <w:rsid w:val="00DE7978"/>
    <w:rsid w:val="00DE7E4C"/>
    <w:rsid w:val="00DF01B8"/>
    <w:rsid w:val="00DF0992"/>
    <w:rsid w:val="00DF0A2B"/>
    <w:rsid w:val="00DF172F"/>
    <w:rsid w:val="00DF1C20"/>
    <w:rsid w:val="00DF1E6A"/>
    <w:rsid w:val="00DF24C4"/>
    <w:rsid w:val="00DF2586"/>
    <w:rsid w:val="00DF2EFF"/>
    <w:rsid w:val="00DF2FE8"/>
    <w:rsid w:val="00DF38B8"/>
    <w:rsid w:val="00DF40CE"/>
    <w:rsid w:val="00DF4C62"/>
    <w:rsid w:val="00DF547C"/>
    <w:rsid w:val="00DF55E5"/>
    <w:rsid w:val="00DF5ACC"/>
    <w:rsid w:val="00DF64BE"/>
    <w:rsid w:val="00DF69C9"/>
    <w:rsid w:val="00DF7672"/>
    <w:rsid w:val="00E005CF"/>
    <w:rsid w:val="00E009FC"/>
    <w:rsid w:val="00E00A26"/>
    <w:rsid w:val="00E01149"/>
    <w:rsid w:val="00E0181E"/>
    <w:rsid w:val="00E01B2C"/>
    <w:rsid w:val="00E024A4"/>
    <w:rsid w:val="00E02645"/>
    <w:rsid w:val="00E029E9"/>
    <w:rsid w:val="00E02FD5"/>
    <w:rsid w:val="00E0311F"/>
    <w:rsid w:val="00E0402F"/>
    <w:rsid w:val="00E0497F"/>
    <w:rsid w:val="00E05C46"/>
    <w:rsid w:val="00E05D3F"/>
    <w:rsid w:val="00E05F24"/>
    <w:rsid w:val="00E0612B"/>
    <w:rsid w:val="00E06836"/>
    <w:rsid w:val="00E07809"/>
    <w:rsid w:val="00E07DF0"/>
    <w:rsid w:val="00E104E8"/>
    <w:rsid w:val="00E10569"/>
    <w:rsid w:val="00E10D7B"/>
    <w:rsid w:val="00E10F2B"/>
    <w:rsid w:val="00E1163A"/>
    <w:rsid w:val="00E12CE2"/>
    <w:rsid w:val="00E13360"/>
    <w:rsid w:val="00E13866"/>
    <w:rsid w:val="00E13C42"/>
    <w:rsid w:val="00E14114"/>
    <w:rsid w:val="00E1497A"/>
    <w:rsid w:val="00E1532F"/>
    <w:rsid w:val="00E1541F"/>
    <w:rsid w:val="00E15498"/>
    <w:rsid w:val="00E157F9"/>
    <w:rsid w:val="00E159CB"/>
    <w:rsid w:val="00E15AE5"/>
    <w:rsid w:val="00E164B2"/>
    <w:rsid w:val="00E16819"/>
    <w:rsid w:val="00E1682B"/>
    <w:rsid w:val="00E16CD2"/>
    <w:rsid w:val="00E16F51"/>
    <w:rsid w:val="00E17EAC"/>
    <w:rsid w:val="00E20814"/>
    <w:rsid w:val="00E2300F"/>
    <w:rsid w:val="00E234A9"/>
    <w:rsid w:val="00E236B5"/>
    <w:rsid w:val="00E23768"/>
    <w:rsid w:val="00E2415D"/>
    <w:rsid w:val="00E241ED"/>
    <w:rsid w:val="00E24337"/>
    <w:rsid w:val="00E2465B"/>
    <w:rsid w:val="00E249D5"/>
    <w:rsid w:val="00E2535D"/>
    <w:rsid w:val="00E25AD0"/>
    <w:rsid w:val="00E25CFD"/>
    <w:rsid w:val="00E262F1"/>
    <w:rsid w:val="00E26BEA"/>
    <w:rsid w:val="00E26DBC"/>
    <w:rsid w:val="00E302C0"/>
    <w:rsid w:val="00E30505"/>
    <w:rsid w:val="00E31321"/>
    <w:rsid w:val="00E31535"/>
    <w:rsid w:val="00E31F8D"/>
    <w:rsid w:val="00E32450"/>
    <w:rsid w:val="00E32F09"/>
    <w:rsid w:val="00E3334D"/>
    <w:rsid w:val="00E33372"/>
    <w:rsid w:val="00E3344B"/>
    <w:rsid w:val="00E338CB"/>
    <w:rsid w:val="00E33BDA"/>
    <w:rsid w:val="00E33E0D"/>
    <w:rsid w:val="00E340FA"/>
    <w:rsid w:val="00E343D2"/>
    <w:rsid w:val="00E3454F"/>
    <w:rsid w:val="00E34702"/>
    <w:rsid w:val="00E34B76"/>
    <w:rsid w:val="00E34BD7"/>
    <w:rsid w:val="00E34CE5"/>
    <w:rsid w:val="00E3502D"/>
    <w:rsid w:val="00E354C5"/>
    <w:rsid w:val="00E356AF"/>
    <w:rsid w:val="00E35AE6"/>
    <w:rsid w:val="00E35CF7"/>
    <w:rsid w:val="00E3609D"/>
    <w:rsid w:val="00E36635"/>
    <w:rsid w:val="00E36D5F"/>
    <w:rsid w:val="00E36F6A"/>
    <w:rsid w:val="00E37883"/>
    <w:rsid w:val="00E37AAC"/>
    <w:rsid w:val="00E37B79"/>
    <w:rsid w:val="00E37EC5"/>
    <w:rsid w:val="00E400C5"/>
    <w:rsid w:val="00E4072C"/>
    <w:rsid w:val="00E413FC"/>
    <w:rsid w:val="00E41802"/>
    <w:rsid w:val="00E41C34"/>
    <w:rsid w:val="00E4306E"/>
    <w:rsid w:val="00E43127"/>
    <w:rsid w:val="00E4348D"/>
    <w:rsid w:val="00E43CCE"/>
    <w:rsid w:val="00E445AE"/>
    <w:rsid w:val="00E4469B"/>
    <w:rsid w:val="00E448A7"/>
    <w:rsid w:val="00E451CE"/>
    <w:rsid w:val="00E4555D"/>
    <w:rsid w:val="00E455EF"/>
    <w:rsid w:val="00E45E60"/>
    <w:rsid w:val="00E46CC8"/>
    <w:rsid w:val="00E47B38"/>
    <w:rsid w:val="00E5032D"/>
    <w:rsid w:val="00E50589"/>
    <w:rsid w:val="00E50F69"/>
    <w:rsid w:val="00E51190"/>
    <w:rsid w:val="00E5182E"/>
    <w:rsid w:val="00E51CEC"/>
    <w:rsid w:val="00E51D78"/>
    <w:rsid w:val="00E52187"/>
    <w:rsid w:val="00E52707"/>
    <w:rsid w:val="00E52749"/>
    <w:rsid w:val="00E5316D"/>
    <w:rsid w:val="00E539EF"/>
    <w:rsid w:val="00E53DCF"/>
    <w:rsid w:val="00E53F18"/>
    <w:rsid w:val="00E54B30"/>
    <w:rsid w:val="00E54C62"/>
    <w:rsid w:val="00E54E34"/>
    <w:rsid w:val="00E54E90"/>
    <w:rsid w:val="00E55800"/>
    <w:rsid w:val="00E56049"/>
    <w:rsid w:val="00E56F1F"/>
    <w:rsid w:val="00E5794F"/>
    <w:rsid w:val="00E60094"/>
    <w:rsid w:val="00E606EE"/>
    <w:rsid w:val="00E60D07"/>
    <w:rsid w:val="00E61245"/>
    <w:rsid w:val="00E61D51"/>
    <w:rsid w:val="00E61DB0"/>
    <w:rsid w:val="00E621AC"/>
    <w:rsid w:val="00E63147"/>
    <w:rsid w:val="00E633AA"/>
    <w:rsid w:val="00E637F6"/>
    <w:rsid w:val="00E6418B"/>
    <w:rsid w:val="00E64413"/>
    <w:rsid w:val="00E663D6"/>
    <w:rsid w:val="00E670FB"/>
    <w:rsid w:val="00E67701"/>
    <w:rsid w:val="00E717C1"/>
    <w:rsid w:val="00E71FCC"/>
    <w:rsid w:val="00E720EB"/>
    <w:rsid w:val="00E7247E"/>
    <w:rsid w:val="00E72819"/>
    <w:rsid w:val="00E72F5F"/>
    <w:rsid w:val="00E734B9"/>
    <w:rsid w:val="00E735D6"/>
    <w:rsid w:val="00E73AE0"/>
    <w:rsid w:val="00E73BF8"/>
    <w:rsid w:val="00E74BC6"/>
    <w:rsid w:val="00E74DA0"/>
    <w:rsid w:val="00E7610A"/>
    <w:rsid w:val="00E765CF"/>
    <w:rsid w:val="00E7686B"/>
    <w:rsid w:val="00E76CD9"/>
    <w:rsid w:val="00E77920"/>
    <w:rsid w:val="00E77FA0"/>
    <w:rsid w:val="00E80B88"/>
    <w:rsid w:val="00E81ADC"/>
    <w:rsid w:val="00E81E71"/>
    <w:rsid w:val="00E823A1"/>
    <w:rsid w:val="00E835B8"/>
    <w:rsid w:val="00E837A3"/>
    <w:rsid w:val="00E8438A"/>
    <w:rsid w:val="00E85650"/>
    <w:rsid w:val="00E85BD5"/>
    <w:rsid w:val="00E862FA"/>
    <w:rsid w:val="00E86C27"/>
    <w:rsid w:val="00E871EE"/>
    <w:rsid w:val="00E87540"/>
    <w:rsid w:val="00E913A8"/>
    <w:rsid w:val="00E91D02"/>
    <w:rsid w:val="00E92642"/>
    <w:rsid w:val="00E9290E"/>
    <w:rsid w:val="00E92F20"/>
    <w:rsid w:val="00E9323C"/>
    <w:rsid w:val="00E93AF4"/>
    <w:rsid w:val="00E9405B"/>
    <w:rsid w:val="00E941D1"/>
    <w:rsid w:val="00E942E7"/>
    <w:rsid w:val="00E94948"/>
    <w:rsid w:val="00E94A70"/>
    <w:rsid w:val="00E9526E"/>
    <w:rsid w:val="00E9527A"/>
    <w:rsid w:val="00E95304"/>
    <w:rsid w:val="00E95921"/>
    <w:rsid w:val="00E961FE"/>
    <w:rsid w:val="00E9655C"/>
    <w:rsid w:val="00E97519"/>
    <w:rsid w:val="00E975B0"/>
    <w:rsid w:val="00EA03F2"/>
    <w:rsid w:val="00EA05F5"/>
    <w:rsid w:val="00EA1DD4"/>
    <w:rsid w:val="00EA2057"/>
    <w:rsid w:val="00EA29A5"/>
    <w:rsid w:val="00EA2D17"/>
    <w:rsid w:val="00EA2EA2"/>
    <w:rsid w:val="00EA3AC2"/>
    <w:rsid w:val="00EA4A9A"/>
    <w:rsid w:val="00EA4FA1"/>
    <w:rsid w:val="00EA6417"/>
    <w:rsid w:val="00EA642F"/>
    <w:rsid w:val="00EA69A5"/>
    <w:rsid w:val="00EA6D20"/>
    <w:rsid w:val="00EA6D40"/>
    <w:rsid w:val="00EA76B7"/>
    <w:rsid w:val="00EA7ABA"/>
    <w:rsid w:val="00EB0932"/>
    <w:rsid w:val="00EB191D"/>
    <w:rsid w:val="00EB276B"/>
    <w:rsid w:val="00EB28A3"/>
    <w:rsid w:val="00EB29E8"/>
    <w:rsid w:val="00EB35E6"/>
    <w:rsid w:val="00EB3AB1"/>
    <w:rsid w:val="00EB4AB1"/>
    <w:rsid w:val="00EB5DC4"/>
    <w:rsid w:val="00EB64A3"/>
    <w:rsid w:val="00EB6905"/>
    <w:rsid w:val="00EB7952"/>
    <w:rsid w:val="00EB7C13"/>
    <w:rsid w:val="00EB7CFC"/>
    <w:rsid w:val="00EB7F08"/>
    <w:rsid w:val="00EC0194"/>
    <w:rsid w:val="00EC0FAF"/>
    <w:rsid w:val="00EC1FB3"/>
    <w:rsid w:val="00EC2030"/>
    <w:rsid w:val="00EC2CB7"/>
    <w:rsid w:val="00EC3DD0"/>
    <w:rsid w:val="00EC4088"/>
    <w:rsid w:val="00EC4242"/>
    <w:rsid w:val="00EC553C"/>
    <w:rsid w:val="00EC5765"/>
    <w:rsid w:val="00EC5A4F"/>
    <w:rsid w:val="00EC5AC6"/>
    <w:rsid w:val="00EC7DD3"/>
    <w:rsid w:val="00ED0236"/>
    <w:rsid w:val="00ED0BB8"/>
    <w:rsid w:val="00ED1411"/>
    <w:rsid w:val="00ED1899"/>
    <w:rsid w:val="00ED2326"/>
    <w:rsid w:val="00ED2B03"/>
    <w:rsid w:val="00ED3022"/>
    <w:rsid w:val="00ED3044"/>
    <w:rsid w:val="00ED321A"/>
    <w:rsid w:val="00ED334D"/>
    <w:rsid w:val="00ED4045"/>
    <w:rsid w:val="00ED4364"/>
    <w:rsid w:val="00ED442A"/>
    <w:rsid w:val="00ED4D25"/>
    <w:rsid w:val="00ED56B6"/>
    <w:rsid w:val="00ED575D"/>
    <w:rsid w:val="00ED5ADE"/>
    <w:rsid w:val="00ED5F09"/>
    <w:rsid w:val="00ED63DE"/>
    <w:rsid w:val="00ED66A6"/>
    <w:rsid w:val="00ED6AFA"/>
    <w:rsid w:val="00ED6CF9"/>
    <w:rsid w:val="00ED78EF"/>
    <w:rsid w:val="00ED7CC8"/>
    <w:rsid w:val="00ED7D7B"/>
    <w:rsid w:val="00EE0526"/>
    <w:rsid w:val="00EE0C5F"/>
    <w:rsid w:val="00EE0F45"/>
    <w:rsid w:val="00EE205F"/>
    <w:rsid w:val="00EE20EB"/>
    <w:rsid w:val="00EE28CD"/>
    <w:rsid w:val="00EE28E0"/>
    <w:rsid w:val="00EE386E"/>
    <w:rsid w:val="00EE3991"/>
    <w:rsid w:val="00EE3A34"/>
    <w:rsid w:val="00EE4432"/>
    <w:rsid w:val="00EE61BB"/>
    <w:rsid w:val="00EE64DC"/>
    <w:rsid w:val="00EE666D"/>
    <w:rsid w:val="00EE6807"/>
    <w:rsid w:val="00EE689C"/>
    <w:rsid w:val="00EE751F"/>
    <w:rsid w:val="00EE78C3"/>
    <w:rsid w:val="00EF10FB"/>
    <w:rsid w:val="00EF1124"/>
    <w:rsid w:val="00EF194D"/>
    <w:rsid w:val="00EF23DD"/>
    <w:rsid w:val="00EF28D1"/>
    <w:rsid w:val="00EF2C25"/>
    <w:rsid w:val="00EF2D2D"/>
    <w:rsid w:val="00EF3077"/>
    <w:rsid w:val="00EF3254"/>
    <w:rsid w:val="00EF347E"/>
    <w:rsid w:val="00EF3C8F"/>
    <w:rsid w:val="00EF48DF"/>
    <w:rsid w:val="00EF4D22"/>
    <w:rsid w:val="00EF4F85"/>
    <w:rsid w:val="00EF528D"/>
    <w:rsid w:val="00EF54C7"/>
    <w:rsid w:val="00EF5715"/>
    <w:rsid w:val="00EF5CE5"/>
    <w:rsid w:val="00EF5D75"/>
    <w:rsid w:val="00EF614F"/>
    <w:rsid w:val="00EF65FC"/>
    <w:rsid w:val="00EF7005"/>
    <w:rsid w:val="00EF7096"/>
    <w:rsid w:val="00EF7151"/>
    <w:rsid w:val="00EF7636"/>
    <w:rsid w:val="00F00708"/>
    <w:rsid w:val="00F00DAA"/>
    <w:rsid w:val="00F00FBC"/>
    <w:rsid w:val="00F01122"/>
    <w:rsid w:val="00F01154"/>
    <w:rsid w:val="00F0147B"/>
    <w:rsid w:val="00F0167D"/>
    <w:rsid w:val="00F01B0B"/>
    <w:rsid w:val="00F02042"/>
    <w:rsid w:val="00F0215C"/>
    <w:rsid w:val="00F022D4"/>
    <w:rsid w:val="00F02331"/>
    <w:rsid w:val="00F028FA"/>
    <w:rsid w:val="00F02EF1"/>
    <w:rsid w:val="00F0355A"/>
    <w:rsid w:val="00F0356A"/>
    <w:rsid w:val="00F03B60"/>
    <w:rsid w:val="00F03DB0"/>
    <w:rsid w:val="00F03FC1"/>
    <w:rsid w:val="00F041E6"/>
    <w:rsid w:val="00F0455C"/>
    <w:rsid w:val="00F0526E"/>
    <w:rsid w:val="00F059AC"/>
    <w:rsid w:val="00F0615E"/>
    <w:rsid w:val="00F065AA"/>
    <w:rsid w:val="00F065C0"/>
    <w:rsid w:val="00F07674"/>
    <w:rsid w:val="00F11DC8"/>
    <w:rsid w:val="00F12066"/>
    <w:rsid w:val="00F12FC8"/>
    <w:rsid w:val="00F1363E"/>
    <w:rsid w:val="00F14064"/>
    <w:rsid w:val="00F14304"/>
    <w:rsid w:val="00F14487"/>
    <w:rsid w:val="00F148B1"/>
    <w:rsid w:val="00F149D8"/>
    <w:rsid w:val="00F14C8C"/>
    <w:rsid w:val="00F14D91"/>
    <w:rsid w:val="00F15119"/>
    <w:rsid w:val="00F152D3"/>
    <w:rsid w:val="00F15479"/>
    <w:rsid w:val="00F157A8"/>
    <w:rsid w:val="00F15CCA"/>
    <w:rsid w:val="00F15D70"/>
    <w:rsid w:val="00F15DFE"/>
    <w:rsid w:val="00F15E34"/>
    <w:rsid w:val="00F1631D"/>
    <w:rsid w:val="00F16725"/>
    <w:rsid w:val="00F1686A"/>
    <w:rsid w:val="00F1692F"/>
    <w:rsid w:val="00F16A8A"/>
    <w:rsid w:val="00F17249"/>
    <w:rsid w:val="00F17705"/>
    <w:rsid w:val="00F17A9B"/>
    <w:rsid w:val="00F17FC7"/>
    <w:rsid w:val="00F2041E"/>
    <w:rsid w:val="00F2084B"/>
    <w:rsid w:val="00F2152B"/>
    <w:rsid w:val="00F22715"/>
    <w:rsid w:val="00F22C89"/>
    <w:rsid w:val="00F23133"/>
    <w:rsid w:val="00F238E8"/>
    <w:rsid w:val="00F23E7A"/>
    <w:rsid w:val="00F24A29"/>
    <w:rsid w:val="00F25A1E"/>
    <w:rsid w:val="00F25AA4"/>
    <w:rsid w:val="00F26058"/>
    <w:rsid w:val="00F2677A"/>
    <w:rsid w:val="00F26EA1"/>
    <w:rsid w:val="00F3007F"/>
    <w:rsid w:val="00F302BA"/>
    <w:rsid w:val="00F31443"/>
    <w:rsid w:val="00F31C90"/>
    <w:rsid w:val="00F31D4C"/>
    <w:rsid w:val="00F323E7"/>
    <w:rsid w:val="00F32F35"/>
    <w:rsid w:val="00F3325C"/>
    <w:rsid w:val="00F33B61"/>
    <w:rsid w:val="00F34491"/>
    <w:rsid w:val="00F34B55"/>
    <w:rsid w:val="00F34D1F"/>
    <w:rsid w:val="00F34D28"/>
    <w:rsid w:val="00F35845"/>
    <w:rsid w:val="00F372E4"/>
    <w:rsid w:val="00F3735C"/>
    <w:rsid w:val="00F37CC8"/>
    <w:rsid w:val="00F37FB3"/>
    <w:rsid w:val="00F40063"/>
    <w:rsid w:val="00F4076C"/>
    <w:rsid w:val="00F418F4"/>
    <w:rsid w:val="00F41D9D"/>
    <w:rsid w:val="00F421FE"/>
    <w:rsid w:val="00F4226C"/>
    <w:rsid w:val="00F4262C"/>
    <w:rsid w:val="00F42885"/>
    <w:rsid w:val="00F4316E"/>
    <w:rsid w:val="00F43253"/>
    <w:rsid w:val="00F43710"/>
    <w:rsid w:val="00F43E5D"/>
    <w:rsid w:val="00F44078"/>
    <w:rsid w:val="00F44D03"/>
    <w:rsid w:val="00F454E5"/>
    <w:rsid w:val="00F45629"/>
    <w:rsid w:val="00F45949"/>
    <w:rsid w:val="00F464D4"/>
    <w:rsid w:val="00F468E9"/>
    <w:rsid w:val="00F47A5D"/>
    <w:rsid w:val="00F47D58"/>
    <w:rsid w:val="00F503D4"/>
    <w:rsid w:val="00F50674"/>
    <w:rsid w:val="00F507E4"/>
    <w:rsid w:val="00F50B91"/>
    <w:rsid w:val="00F5195E"/>
    <w:rsid w:val="00F51D33"/>
    <w:rsid w:val="00F520D4"/>
    <w:rsid w:val="00F52303"/>
    <w:rsid w:val="00F52AC3"/>
    <w:rsid w:val="00F52C6F"/>
    <w:rsid w:val="00F532CE"/>
    <w:rsid w:val="00F537DF"/>
    <w:rsid w:val="00F54495"/>
    <w:rsid w:val="00F55719"/>
    <w:rsid w:val="00F55909"/>
    <w:rsid w:val="00F57127"/>
    <w:rsid w:val="00F579C8"/>
    <w:rsid w:val="00F61219"/>
    <w:rsid w:val="00F61453"/>
    <w:rsid w:val="00F61853"/>
    <w:rsid w:val="00F61A76"/>
    <w:rsid w:val="00F62434"/>
    <w:rsid w:val="00F63E92"/>
    <w:rsid w:val="00F64515"/>
    <w:rsid w:val="00F6478A"/>
    <w:rsid w:val="00F64ABE"/>
    <w:rsid w:val="00F65ED8"/>
    <w:rsid w:val="00F66596"/>
    <w:rsid w:val="00F66B20"/>
    <w:rsid w:val="00F67139"/>
    <w:rsid w:val="00F67203"/>
    <w:rsid w:val="00F672C8"/>
    <w:rsid w:val="00F67787"/>
    <w:rsid w:val="00F67C7A"/>
    <w:rsid w:val="00F703B6"/>
    <w:rsid w:val="00F70D97"/>
    <w:rsid w:val="00F7125F"/>
    <w:rsid w:val="00F712BD"/>
    <w:rsid w:val="00F7140A"/>
    <w:rsid w:val="00F722CA"/>
    <w:rsid w:val="00F72864"/>
    <w:rsid w:val="00F72CDA"/>
    <w:rsid w:val="00F72DC4"/>
    <w:rsid w:val="00F73FB1"/>
    <w:rsid w:val="00F74839"/>
    <w:rsid w:val="00F750E9"/>
    <w:rsid w:val="00F76497"/>
    <w:rsid w:val="00F7675B"/>
    <w:rsid w:val="00F76949"/>
    <w:rsid w:val="00F76B2F"/>
    <w:rsid w:val="00F771F1"/>
    <w:rsid w:val="00F77544"/>
    <w:rsid w:val="00F77FB2"/>
    <w:rsid w:val="00F805D6"/>
    <w:rsid w:val="00F81525"/>
    <w:rsid w:val="00F8153B"/>
    <w:rsid w:val="00F81589"/>
    <w:rsid w:val="00F81E01"/>
    <w:rsid w:val="00F8238A"/>
    <w:rsid w:val="00F82F14"/>
    <w:rsid w:val="00F8343A"/>
    <w:rsid w:val="00F837FC"/>
    <w:rsid w:val="00F83967"/>
    <w:rsid w:val="00F83C6C"/>
    <w:rsid w:val="00F8460F"/>
    <w:rsid w:val="00F84777"/>
    <w:rsid w:val="00F84B05"/>
    <w:rsid w:val="00F84B3D"/>
    <w:rsid w:val="00F8545A"/>
    <w:rsid w:val="00F8560A"/>
    <w:rsid w:val="00F85ED6"/>
    <w:rsid w:val="00F86B6A"/>
    <w:rsid w:val="00F902F1"/>
    <w:rsid w:val="00F90557"/>
    <w:rsid w:val="00F9055F"/>
    <w:rsid w:val="00F90C2C"/>
    <w:rsid w:val="00F90D95"/>
    <w:rsid w:val="00F90EB9"/>
    <w:rsid w:val="00F910D0"/>
    <w:rsid w:val="00F91E27"/>
    <w:rsid w:val="00F92135"/>
    <w:rsid w:val="00F9481B"/>
    <w:rsid w:val="00F95A8A"/>
    <w:rsid w:val="00F95BC8"/>
    <w:rsid w:val="00F95F19"/>
    <w:rsid w:val="00F961F2"/>
    <w:rsid w:val="00F969FD"/>
    <w:rsid w:val="00F96C4F"/>
    <w:rsid w:val="00F97C2F"/>
    <w:rsid w:val="00F97F16"/>
    <w:rsid w:val="00FA04ED"/>
    <w:rsid w:val="00FA0B81"/>
    <w:rsid w:val="00FA181F"/>
    <w:rsid w:val="00FA18EA"/>
    <w:rsid w:val="00FA1C72"/>
    <w:rsid w:val="00FA1F4C"/>
    <w:rsid w:val="00FA2154"/>
    <w:rsid w:val="00FA2C01"/>
    <w:rsid w:val="00FA2D13"/>
    <w:rsid w:val="00FA34DA"/>
    <w:rsid w:val="00FA3A91"/>
    <w:rsid w:val="00FA4569"/>
    <w:rsid w:val="00FA5237"/>
    <w:rsid w:val="00FA553E"/>
    <w:rsid w:val="00FA56AE"/>
    <w:rsid w:val="00FA5B82"/>
    <w:rsid w:val="00FA66EE"/>
    <w:rsid w:val="00FA6A37"/>
    <w:rsid w:val="00FA7095"/>
    <w:rsid w:val="00FA7547"/>
    <w:rsid w:val="00FA7C35"/>
    <w:rsid w:val="00FA7F44"/>
    <w:rsid w:val="00FB01AF"/>
    <w:rsid w:val="00FB0435"/>
    <w:rsid w:val="00FB134F"/>
    <w:rsid w:val="00FB1B6B"/>
    <w:rsid w:val="00FB223B"/>
    <w:rsid w:val="00FB2723"/>
    <w:rsid w:val="00FB2D6C"/>
    <w:rsid w:val="00FB3302"/>
    <w:rsid w:val="00FB3400"/>
    <w:rsid w:val="00FB4030"/>
    <w:rsid w:val="00FB6186"/>
    <w:rsid w:val="00FB61C9"/>
    <w:rsid w:val="00FB662A"/>
    <w:rsid w:val="00FB6752"/>
    <w:rsid w:val="00FB6F38"/>
    <w:rsid w:val="00FB709F"/>
    <w:rsid w:val="00FB7F17"/>
    <w:rsid w:val="00FC013C"/>
    <w:rsid w:val="00FC047A"/>
    <w:rsid w:val="00FC054A"/>
    <w:rsid w:val="00FC06E0"/>
    <w:rsid w:val="00FC0841"/>
    <w:rsid w:val="00FC0ACC"/>
    <w:rsid w:val="00FC0DED"/>
    <w:rsid w:val="00FC1C53"/>
    <w:rsid w:val="00FC1FAE"/>
    <w:rsid w:val="00FC2813"/>
    <w:rsid w:val="00FC2FEA"/>
    <w:rsid w:val="00FC3E93"/>
    <w:rsid w:val="00FC3EAF"/>
    <w:rsid w:val="00FC45C5"/>
    <w:rsid w:val="00FC50AF"/>
    <w:rsid w:val="00FC50F8"/>
    <w:rsid w:val="00FC5518"/>
    <w:rsid w:val="00FC61D4"/>
    <w:rsid w:val="00FC622F"/>
    <w:rsid w:val="00FC64D7"/>
    <w:rsid w:val="00FC6BB5"/>
    <w:rsid w:val="00FC6F78"/>
    <w:rsid w:val="00FC6FB0"/>
    <w:rsid w:val="00FC748E"/>
    <w:rsid w:val="00FC7568"/>
    <w:rsid w:val="00FC7613"/>
    <w:rsid w:val="00FC7851"/>
    <w:rsid w:val="00FD076B"/>
    <w:rsid w:val="00FD148C"/>
    <w:rsid w:val="00FD1515"/>
    <w:rsid w:val="00FD1B77"/>
    <w:rsid w:val="00FD1C27"/>
    <w:rsid w:val="00FD1C86"/>
    <w:rsid w:val="00FD20B7"/>
    <w:rsid w:val="00FD2CDF"/>
    <w:rsid w:val="00FD300D"/>
    <w:rsid w:val="00FD34F0"/>
    <w:rsid w:val="00FD3FB2"/>
    <w:rsid w:val="00FD418D"/>
    <w:rsid w:val="00FD42EC"/>
    <w:rsid w:val="00FD431E"/>
    <w:rsid w:val="00FD4AB7"/>
    <w:rsid w:val="00FD52D8"/>
    <w:rsid w:val="00FD56C4"/>
    <w:rsid w:val="00FD584A"/>
    <w:rsid w:val="00FD5F0B"/>
    <w:rsid w:val="00FD6149"/>
    <w:rsid w:val="00FD64B2"/>
    <w:rsid w:val="00FD64EC"/>
    <w:rsid w:val="00FD745A"/>
    <w:rsid w:val="00FD74C1"/>
    <w:rsid w:val="00FD7F79"/>
    <w:rsid w:val="00FE343D"/>
    <w:rsid w:val="00FE3B38"/>
    <w:rsid w:val="00FE3BDC"/>
    <w:rsid w:val="00FE41A0"/>
    <w:rsid w:val="00FE43BA"/>
    <w:rsid w:val="00FE4561"/>
    <w:rsid w:val="00FE4AFF"/>
    <w:rsid w:val="00FE50D5"/>
    <w:rsid w:val="00FE5242"/>
    <w:rsid w:val="00FE582A"/>
    <w:rsid w:val="00FE5EB7"/>
    <w:rsid w:val="00FE62A0"/>
    <w:rsid w:val="00FE62A6"/>
    <w:rsid w:val="00FE7674"/>
    <w:rsid w:val="00FE7B94"/>
    <w:rsid w:val="00FF00A4"/>
    <w:rsid w:val="00FF04D6"/>
    <w:rsid w:val="00FF0567"/>
    <w:rsid w:val="00FF127D"/>
    <w:rsid w:val="00FF18DB"/>
    <w:rsid w:val="00FF2231"/>
    <w:rsid w:val="00FF272E"/>
    <w:rsid w:val="00FF2D44"/>
    <w:rsid w:val="00FF314F"/>
    <w:rsid w:val="00FF377C"/>
    <w:rsid w:val="00FF378D"/>
    <w:rsid w:val="00FF3EFD"/>
    <w:rsid w:val="00FF5155"/>
    <w:rsid w:val="00FF53F5"/>
    <w:rsid w:val="00FF5577"/>
    <w:rsid w:val="00FF5D55"/>
    <w:rsid w:val="00FF6472"/>
    <w:rsid w:val="00FF6882"/>
    <w:rsid w:val="00FF756F"/>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36B"/>
  <w15:chartTrackingRefBased/>
  <w15:docId w15:val="{6C45BDC8-AF91-4E82-9E59-52E5B4E6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7B02"/>
  </w:style>
  <w:style w:type="paragraph" w:styleId="berschrift1">
    <w:name w:val="heading 1"/>
    <w:basedOn w:val="Standard"/>
    <w:next w:val="Standard"/>
    <w:link w:val="berschrift1Zchn"/>
    <w:uiPriority w:val="9"/>
    <w:qFormat/>
    <w:rsid w:val="00670B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0728D"/>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berschrift4">
    <w:name w:val="heading 4"/>
    <w:basedOn w:val="Standard"/>
    <w:next w:val="Standard"/>
    <w:link w:val="berschrift4Zchn"/>
    <w:uiPriority w:val="9"/>
    <w:semiHidden/>
    <w:unhideWhenUsed/>
    <w:qFormat/>
    <w:rsid w:val="007E79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63E90"/>
  </w:style>
  <w:style w:type="paragraph" w:styleId="Listenabsatz">
    <w:name w:val="List Paragraph"/>
    <w:basedOn w:val="Standard"/>
    <w:uiPriority w:val="34"/>
    <w:qFormat/>
    <w:rsid w:val="007B13A1"/>
    <w:pPr>
      <w:ind w:left="720"/>
      <w:contextualSpacing/>
    </w:pPr>
  </w:style>
  <w:style w:type="character" w:styleId="Hervorhebung">
    <w:name w:val="Emphasis"/>
    <w:basedOn w:val="Absatz-Standardschriftart"/>
    <w:uiPriority w:val="20"/>
    <w:qFormat/>
    <w:rsid w:val="002B1679"/>
    <w:rPr>
      <w:i/>
      <w:iCs/>
    </w:rPr>
  </w:style>
  <w:style w:type="paragraph" w:styleId="StandardWeb">
    <w:name w:val="Normal (Web)"/>
    <w:basedOn w:val="Standard"/>
    <w:uiPriority w:val="99"/>
    <w:semiHidden/>
    <w:unhideWhenUsed/>
    <w:rsid w:val="008C77E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Absatz-Standardschriftart"/>
    <w:uiPriority w:val="99"/>
    <w:unhideWhenUsed/>
    <w:rsid w:val="00F42885"/>
    <w:rPr>
      <w:color w:val="0563C1" w:themeColor="hyperlink"/>
      <w:u w:val="single"/>
    </w:rPr>
  </w:style>
  <w:style w:type="character" w:styleId="NichtaufgelsteErwhnung">
    <w:name w:val="Unresolved Mention"/>
    <w:basedOn w:val="Absatz-Standardschriftart"/>
    <w:uiPriority w:val="99"/>
    <w:semiHidden/>
    <w:unhideWhenUsed/>
    <w:rsid w:val="00F42885"/>
    <w:rPr>
      <w:color w:val="605E5C"/>
      <w:shd w:val="clear" w:color="auto" w:fill="E1DFDD"/>
    </w:rPr>
  </w:style>
  <w:style w:type="character" w:customStyle="1" w:styleId="berschrift2Zchn">
    <w:name w:val="Überschrift 2 Zchn"/>
    <w:basedOn w:val="Absatz-Standardschriftart"/>
    <w:link w:val="berschrift2"/>
    <w:uiPriority w:val="9"/>
    <w:rsid w:val="00C0728D"/>
    <w:rPr>
      <w:rFonts w:ascii="Times New Roman" w:eastAsia="Times New Roman" w:hAnsi="Times New Roman" w:cs="Times New Roman"/>
      <w:b/>
      <w:bCs/>
      <w:sz w:val="36"/>
      <w:szCs w:val="36"/>
      <w:lang w:val="nl-NL" w:eastAsia="nl-NL"/>
    </w:rPr>
  </w:style>
  <w:style w:type="character" w:styleId="Kommentarzeichen">
    <w:name w:val="annotation reference"/>
    <w:basedOn w:val="Absatz-Standardschriftart"/>
    <w:uiPriority w:val="99"/>
    <w:semiHidden/>
    <w:unhideWhenUsed/>
    <w:rsid w:val="0026401C"/>
    <w:rPr>
      <w:sz w:val="16"/>
      <w:szCs w:val="16"/>
    </w:rPr>
  </w:style>
  <w:style w:type="paragraph" w:styleId="Kommentartext">
    <w:name w:val="annotation text"/>
    <w:basedOn w:val="Standard"/>
    <w:link w:val="KommentartextZchn"/>
    <w:uiPriority w:val="99"/>
    <w:unhideWhenUsed/>
    <w:rsid w:val="0026401C"/>
    <w:pPr>
      <w:spacing w:line="240" w:lineRule="auto"/>
    </w:pPr>
    <w:rPr>
      <w:sz w:val="20"/>
      <w:szCs w:val="20"/>
    </w:rPr>
  </w:style>
  <w:style w:type="character" w:customStyle="1" w:styleId="KommentartextZchn">
    <w:name w:val="Kommentartext Zchn"/>
    <w:basedOn w:val="Absatz-Standardschriftart"/>
    <w:link w:val="Kommentartext"/>
    <w:uiPriority w:val="99"/>
    <w:rsid w:val="0026401C"/>
    <w:rPr>
      <w:sz w:val="20"/>
      <w:szCs w:val="20"/>
    </w:rPr>
  </w:style>
  <w:style w:type="paragraph" w:styleId="Kommentarthema">
    <w:name w:val="annotation subject"/>
    <w:basedOn w:val="Kommentartext"/>
    <w:next w:val="Kommentartext"/>
    <w:link w:val="KommentarthemaZchn"/>
    <w:uiPriority w:val="99"/>
    <w:semiHidden/>
    <w:unhideWhenUsed/>
    <w:rsid w:val="0026401C"/>
    <w:rPr>
      <w:b/>
      <w:bCs/>
    </w:rPr>
  </w:style>
  <w:style w:type="character" w:customStyle="1" w:styleId="KommentarthemaZchn">
    <w:name w:val="Kommentarthema Zchn"/>
    <w:basedOn w:val="KommentartextZchn"/>
    <w:link w:val="Kommentarthema"/>
    <w:uiPriority w:val="99"/>
    <w:semiHidden/>
    <w:rsid w:val="0026401C"/>
    <w:rPr>
      <w:b/>
      <w:bCs/>
      <w:sz w:val="20"/>
      <w:szCs w:val="20"/>
    </w:rPr>
  </w:style>
  <w:style w:type="paragraph" w:styleId="Sprechblasentext">
    <w:name w:val="Balloon Text"/>
    <w:basedOn w:val="Standard"/>
    <w:link w:val="SprechblasentextZchn"/>
    <w:uiPriority w:val="99"/>
    <w:semiHidden/>
    <w:unhideWhenUsed/>
    <w:rsid w:val="000726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26A8"/>
    <w:rPr>
      <w:rFonts w:ascii="Segoe UI" w:hAnsi="Segoe UI" w:cs="Segoe UI"/>
      <w:sz w:val="18"/>
      <w:szCs w:val="18"/>
    </w:rPr>
  </w:style>
  <w:style w:type="paragraph" w:styleId="berarbeitung">
    <w:name w:val="Revision"/>
    <w:hidden/>
    <w:uiPriority w:val="99"/>
    <w:semiHidden/>
    <w:rsid w:val="00D57FFE"/>
    <w:pPr>
      <w:spacing w:after="0" w:line="240" w:lineRule="auto"/>
    </w:pPr>
  </w:style>
  <w:style w:type="paragraph" w:styleId="Funotentext">
    <w:name w:val="footnote text"/>
    <w:basedOn w:val="Standard"/>
    <w:link w:val="FunotentextZchn"/>
    <w:uiPriority w:val="99"/>
    <w:semiHidden/>
    <w:unhideWhenUsed/>
    <w:rsid w:val="001372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72D2"/>
    <w:rPr>
      <w:sz w:val="20"/>
      <w:szCs w:val="20"/>
    </w:rPr>
  </w:style>
  <w:style w:type="character" w:styleId="Funotenzeichen">
    <w:name w:val="footnote reference"/>
    <w:basedOn w:val="Absatz-Standardschriftart"/>
    <w:uiPriority w:val="99"/>
    <w:semiHidden/>
    <w:unhideWhenUsed/>
    <w:rsid w:val="001372D2"/>
    <w:rPr>
      <w:vertAlign w:val="superscript"/>
    </w:rPr>
  </w:style>
  <w:style w:type="paragraph" w:styleId="Kopfzeile">
    <w:name w:val="header"/>
    <w:basedOn w:val="Standard"/>
    <w:link w:val="KopfzeileZchn"/>
    <w:uiPriority w:val="99"/>
    <w:unhideWhenUsed/>
    <w:rsid w:val="004313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33E"/>
  </w:style>
  <w:style w:type="paragraph" w:styleId="Fuzeile">
    <w:name w:val="footer"/>
    <w:basedOn w:val="Standard"/>
    <w:link w:val="FuzeileZchn"/>
    <w:uiPriority w:val="99"/>
    <w:unhideWhenUsed/>
    <w:rsid w:val="004313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33E"/>
  </w:style>
  <w:style w:type="character" w:customStyle="1" w:styleId="berschrift1Zchn">
    <w:name w:val="Überschrift 1 Zchn"/>
    <w:basedOn w:val="Absatz-Standardschriftart"/>
    <w:link w:val="berschrift1"/>
    <w:uiPriority w:val="9"/>
    <w:rsid w:val="00670B2F"/>
    <w:rPr>
      <w:rFonts w:asciiTheme="majorHAnsi" w:eastAsiaTheme="majorEastAsia" w:hAnsiTheme="majorHAnsi" w:cstheme="majorBidi"/>
      <w:color w:val="2F5496" w:themeColor="accent1" w:themeShade="BF"/>
      <w:sz w:val="32"/>
      <w:szCs w:val="32"/>
    </w:rPr>
  </w:style>
  <w:style w:type="paragraph" w:styleId="Literaturverzeichnis">
    <w:name w:val="Bibliography"/>
    <w:basedOn w:val="Standard"/>
    <w:next w:val="Standard"/>
    <w:uiPriority w:val="37"/>
    <w:semiHidden/>
    <w:unhideWhenUsed/>
    <w:rsid w:val="003C6C33"/>
  </w:style>
  <w:style w:type="table" w:styleId="Tabellenraster">
    <w:name w:val="Table Grid"/>
    <w:basedOn w:val="NormaleTabelle"/>
    <w:uiPriority w:val="39"/>
    <w:rsid w:val="0053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BB1B40"/>
    <w:rPr>
      <w:rFonts w:ascii="Segoe UI" w:hAnsi="Segoe UI" w:cs="Segoe UI" w:hint="default"/>
      <w:sz w:val="18"/>
      <w:szCs w:val="18"/>
    </w:rPr>
  </w:style>
  <w:style w:type="paragraph" w:customStyle="1" w:styleId="pf0">
    <w:name w:val="pf0"/>
    <w:basedOn w:val="Standard"/>
    <w:rsid w:val="008714C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BesuchterLink">
    <w:name w:val="FollowedHyperlink"/>
    <w:basedOn w:val="Absatz-Standardschriftart"/>
    <w:uiPriority w:val="99"/>
    <w:semiHidden/>
    <w:unhideWhenUsed/>
    <w:rsid w:val="00294A06"/>
    <w:rPr>
      <w:color w:val="954F72" w:themeColor="followedHyperlink"/>
      <w:u w:val="single"/>
    </w:rPr>
  </w:style>
  <w:style w:type="character" w:customStyle="1" w:styleId="berschrift4Zchn">
    <w:name w:val="Überschrift 4 Zchn"/>
    <w:basedOn w:val="Absatz-Standardschriftart"/>
    <w:link w:val="berschrift4"/>
    <w:uiPriority w:val="9"/>
    <w:semiHidden/>
    <w:rsid w:val="007E7950"/>
    <w:rPr>
      <w:rFonts w:asciiTheme="majorHAnsi" w:eastAsiaTheme="majorEastAsia" w:hAnsiTheme="majorHAnsi" w:cstheme="majorBidi"/>
      <w:i/>
      <w:iCs/>
      <w:color w:val="2F5496" w:themeColor="accent1" w:themeShade="BF"/>
    </w:rPr>
  </w:style>
  <w:style w:type="paragraph" w:styleId="Endnotentext">
    <w:name w:val="endnote text"/>
    <w:basedOn w:val="Standard"/>
    <w:link w:val="EndnotentextZchn"/>
    <w:uiPriority w:val="99"/>
    <w:semiHidden/>
    <w:unhideWhenUsed/>
    <w:rsid w:val="00282AB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82AB2"/>
    <w:rPr>
      <w:sz w:val="20"/>
      <w:szCs w:val="20"/>
    </w:rPr>
  </w:style>
  <w:style w:type="character" w:styleId="Endnotenzeichen">
    <w:name w:val="endnote reference"/>
    <w:basedOn w:val="Absatz-Standardschriftart"/>
    <w:uiPriority w:val="99"/>
    <w:semiHidden/>
    <w:unhideWhenUsed/>
    <w:rsid w:val="00282AB2"/>
    <w:rPr>
      <w:vertAlign w:val="superscript"/>
    </w:rPr>
  </w:style>
  <w:style w:type="character" w:customStyle="1" w:styleId="EndNoteBibliographyChar">
    <w:name w:val="EndNote Bibliography Char"/>
    <w:basedOn w:val="Absatz-Standardschriftart"/>
    <w:link w:val="EndNoteBibliography"/>
    <w:locked/>
    <w:rsid w:val="002C0FD6"/>
    <w:rPr>
      <w:rFonts w:ascii="Calibri" w:hAnsi="Calibri" w:cs="Calibri"/>
    </w:rPr>
  </w:style>
  <w:style w:type="paragraph" w:customStyle="1" w:styleId="EndNoteBibliography">
    <w:name w:val="EndNote Bibliography"/>
    <w:basedOn w:val="Standard"/>
    <w:link w:val="EndNoteBibliographyChar"/>
    <w:rsid w:val="002C0FD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782">
      <w:bodyDiv w:val="1"/>
      <w:marLeft w:val="0"/>
      <w:marRight w:val="0"/>
      <w:marTop w:val="0"/>
      <w:marBottom w:val="0"/>
      <w:divBdr>
        <w:top w:val="none" w:sz="0" w:space="0" w:color="auto"/>
        <w:left w:val="none" w:sz="0" w:space="0" w:color="auto"/>
        <w:bottom w:val="none" w:sz="0" w:space="0" w:color="auto"/>
        <w:right w:val="none" w:sz="0" w:space="0" w:color="auto"/>
      </w:divBdr>
    </w:div>
    <w:div w:id="51929440">
      <w:bodyDiv w:val="1"/>
      <w:marLeft w:val="0"/>
      <w:marRight w:val="0"/>
      <w:marTop w:val="0"/>
      <w:marBottom w:val="0"/>
      <w:divBdr>
        <w:top w:val="none" w:sz="0" w:space="0" w:color="auto"/>
        <w:left w:val="none" w:sz="0" w:space="0" w:color="auto"/>
        <w:bottom w:val="none" w:sz="0" w:space="0" w:color="auto"/>
        <w:right w:val="none" w:sz="0" w:space="0" w:color="auto"/>
      </w:divBdr>
    </w:div>
    <w:div w:id="90128528">
      <w:bodyDiv w:val="1"/>
      <w:marLeft w:val="0"/>
      <w:marRight w:val="0"/>
      <w:marTop w:val="0"/>
      <w:marBottom w:val="0"/>
      <w:divBdr>
        <w:top w:val="none" w:sz="0" w:space="0" w:color="auto"/>
        <w:left w:val="none" w:sz="0" w:space="0" w:color="auto"/>
        <w:bottom w:val="none" w:sz="0" w:space="0" w:color="auto"/>
        <w:right w:val="none" w:sz="0" w:space="0" w:color="auto"/>
      </w:divBdr>
    </w:div>
    <w:div w:id="100103686">
      <w:bodyDiv w:val="1"/>
      <w:marLeft w:val="0"/>
      <w:marRight w:val="0"/>
      <w:marTop w:val="0"/>
      <w:marBottom w:val="0"/>
      <w:divBdr>
        <w:top w:val="none" w:sz="0" w:space="0" w:color="auto"/>
        <w:left w:val="none" w:sz="0" w:space="0" w:color="auto"/>
        <w:bottom w:val="none" w:sz="0" w:space="0" w:color="auto"/>
        <w:right w:val="none" w:sz="0" w:space="0" w:color="auto"/>
      </w:divBdr>
      <w:divsChild>
        <w:div w:id="1821380033">
          <w:marLeft w:val="0"/>
          <w:marRight w:val="0"/>
          <w:marTop w:val="0"/>
          <w:marBottom w:val="0"/>
          <w:divBdr>
            <w:top w:val="none" w:sz="0" w:space="0" w:color="auto"/>
            <w:left w:val="none" w:sz="0" w:space="0" w:color="auto"/>
            <w:bottom w:val="none" w:sz="0" w:space="0" w:color="auto"/>
            <w:right w:val="none" w:sz="0" w:space="0" w:color="auto"/>
          </w:divBdr>
          <w:divsChild>
            <w:div w:id="821973030">
              <w:marLeft w:val="0"/>
              <w:marRight w:val="0"/>
              <w:marTop w:val="0"/>
              <w:marBottom w:val="0"/>
              <w:divBdr>
                <w:top w:val="none" w:sz="0" w:space="0" w:color="auto"/>
                <w:left w:val="none" w:sz="0" w:space="0" w:color="auto"/>
                <w:bottom w:val="none" w:sz="0" w:space="0" w:color="auto"/>
                <w:right w:val="none" w:sz="0" w:space="0" w:color="auto"/>
              </w:divBdr>
            </w:div>
          </w:divsChild>
        </w:div>
        <w:div w:id="1033187599">
          <w:marLeft w:val="0"/>
          <w:marRight w:val="0"/>
          <w:marTop w:val="0"/>
          <w:marBottom w:val="0"/>
          <w:divBdr>
            <w:top w:val="none" w:sz="0" w:space="0" w:color="auto"/>
            <w:left w:val="none" w:sz="0" w:space="0" w:color="auto"/>
            <w:bottom w:val="none" w:sz="0" w:space="0" w:color="auto"/>
            <w:right w:val="none" w:sz="0" w:space="0" w:color="auto"/>
          </w:divBdr>
          <w:divsChild>
            <w:div w:id="811603365">
              <w:marLeft w:val="0"/>
              <w:marRight w:val="0"/>
              <w:marTop w:val="0"/>
              <w:marBottom w:val="0"/>
              <w:divBdr>
                <w:top w:val="none" w:sz="0" w:space="0" w:color="auto"/>
                <w:left w:val="none" w:sz="0" w:space="0" w:color="auto"/>
                <w:bottom w:val="none" w:sz="0" w:space="0" w:color="auto"/>
                <w:right w:val="none" w:sz="0" w:space="0" w:color="auto"/>
              </w:divBdr>
            </w:div>
            <w:div w:id="1850171779">
              <w:marLeft w:val="0"/>
              <w:marRight w:val="0"/>
              <w:marTop w:val="0"/>
              <w:marBottom w:val="0"/>
              <w:divBdr>
                <w:top w:val="none" w:sz="0" w:space="0" w:color="auto"/>
                <w:left w:val="none" w:sz="0" w:space="0" w:color="auto"/>
                <w:bottom w:val="none" w:sz="0" w:space="0" w:color="auto"/>
                <w:right w:val="none" w:sz="0" w:space="0" w:color="auto"/>
              </w:divBdr>
            </w:div>
            <w:div w:id="339892098">
              <w:marLeft w:val="0"/>
              <w:marRight w:val="0"/>
              <w:marTop w:val="0"/>
              <w:marBottom w:val="0"/>
              <w:divBdr>
                <w:top w:val="none" w:sz="0" w:space="0" w:color="auto"/>
                <w:left w:val="none" w:sz="0" w:space="0" w:color="auto"/>
                <w:bottom w:val="none" w:sz="0" w:space="0" w:color="auto"/>
                <w:right w:val="none" w:sz="0" w:space="0" w:color="auto"/>
              </w:divBdr>
            </w:div>
            <w:div w:id="671840607">
              <w:marLeft w:val="0"/>
              <w:marRight w:val="0"/>
              <w:marTop w:val="0"/>
              <w:marBottom w:val="0"/>
              <w:divBdr>
                <w:top w:val="none" w:sz="0" w:space="0" w:color="auto"/>
                <w:left w:val="none" w:sz="0" w:space="0" w:color="auto"/>
                <w:bottom w:val="none" w:sz="0" w:space="0" w:color="auto"/>
                <w:right w:val="none" w:sz="0" w:space="0" w:color="auto"/>
              </w:divBdr>
            </w:div>
            <w:div w:id="1568683654">
              <w:marLeft w:val="0"/>
              <w:marRight w:val="0"/>
              <w:marTop w:val="0"/>
              <w:marBottom w:val="0"/>
              <w:divBdr>
                <w:top w:val="none" w:sz="0" w:space="0" w:color="auto"/>
                <w:left w:val="none" w:sz="0" w:space="0" w:color="auto"/>
                <w:bottom w:val="none" w:sz="0" w:space="0" w:color="auto"/>
                <w:right w:val="none" w:sz="0" w:space="0" w:color="auto"/>
              </w:divBdr>
            </w:div>
          </w:divsChild>
        </w:div>
        <w:div w:id="2049336823">
          <w:marLeft w:val="0"/>
          <w:marRight w:val="0"/>
          <w:marTop w:val="0"/>
          <w:marBottom w:val="0"/>
          <w:divBdr>
            <w:top w:val="none" w:sz="0" w:space="0" w:color="auto"/>
            <w:left w:val="none" w:sz="0" w:space="0" w:color="auto"/>
            <w:bottom w:val="none" w:sz="0" w:space="0" w:color="auto"/>
            <w:right w:val="none" w:sz="0" w:space="0" w:color="auto"/>
          </w:divBdr>
          <w:divsChild>
            <w:div w:id="265771970">
              <w:marLeft w:val="0"/>
              <w:marRight w:val="0"/>
              <w:marTop w:val="0"/>
              <w:marBottom w:val="0"/>
              <w:divBdr>
                <w:top w:val="none" w:sz="0" w:space="0" w:color="auto"/>
                <w:left w:val="none" w:sz="0" w:space="0" w:color="auto"/>
                <w:bottom w:val="none" w:sz="0" w:space="0" w:color="auto"/>
                <w:right w:val="none" w:sz="0" w:space="0" w:color="auto"/>
              </w:divBdr>
            </w:div>
            <w:div w:id="1253315097">
              <w:marLeft w:val="0"/>
              <w:marRight w:val="0"/>
              <w:marTop w:val="0"/>
              <w:marBottom w:val="0"/>
              <w:divBdr>
                <w:top w:val="none" w:sz="0" w:space="0" w:color="auto"/>
                <w:left w:val="none" w:sz="0" w:space="0" w:color="auto"/>
                <w:bottom w:val="none" w:sz="0" w:space="0" w:color="auto"/>
                <w:right w:val="none" w:sz="0" w:space="0" w:color="auto"/>
              </w:divBdr>
            </w:div>
            <w:div w:id="1587612247">
              <w:marLeft w:val="0"/>
              <w:marRight w:val="0"/>
              <w:marTop w:val="0"/>
              <w:marBottom w:val="0"/>
              <w:divBdr>
                <w:top w:val="none" w:sz="0" w:space="0" w:color="auto"/>
                <w:left w:val="none" w:sz="0" w:space="0" w:color="auto"/>
                <w:bottom w:val="none" w:sz="0" w:space="0" w:color="auto"/>
                <w:right w:val="none" w:sz="0" w:space="0" w:color="auto"/>
              </w:divBdr>
            </w:div>
            <w:div w:id="914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45">
      <w:bodyDiv w:val="1"/>
      <w:marLeft w:val="0"/>
      <w:marRight w:val="0"/>
      <w:marTop w:val="0"/>
      <w:marBottom w:val="0"/>
      <w:divBdr>
        <w:top w:val="none" w:sz="0" w:space="0" w:color="auto"/>
        <w:left w:val="none" w:sz="0" w:space="0" w:color="auto"/>
        <w:bottom w:val="none" w:sz="0" w:space="0" w:color="auto"/>
        <w:right w:val="none" w:sz="0" w:space="0" w:color="auto"/>
      </w:divBdr>
    </w:div>
    <w:div w:id="246615104">
      <w:bodyDiv w:val="1"/>
      <w:marLeft w:val="0"/>
      <w:marRight w:val="0"/>
      <w:marTop w:val="0"/>
      <w:marBottom w:val="0"/>
      <w:divBdr>
        <w:top w:val="none" w:sz="0" w:space="0" w:color="auto"/>
        <w:left w:val="none" w:sz="0" w:space="0" w:color="auto"/>
        <w:bottom w:val="none" w:sz="0" w:space="0" w:color="auto"/>
        <w:right w:val="none" w:sz="0" w:space="0" w:color="auto"/>
      </w:divBdr>
    </w:div>
    <w:div w:id="285550974">
      <w:bodyDiv w:val="1"/>
      <w:marLeft w:val="0"/>
      <w:marRight w:val="0"/>
      <w:marTop w:val="0"/>
      <w:marBottom w:val="0"/>
      <w:divBdr>
        <w:top w:val="none" w:sz="0" w:space="0" w:color="auto"/>
        <w:left w:val="none" w:sz="0" w:space="0" w:color="auto"/>
        <w:bottom w:val="none" w:sz="0" w:space="0" w:color="auto"/>
        <w:right w:val="none" w:sz="0" w:space="0" w:color="auto"/>
      </w:divBdr>
    </w:div>
    <w:div w:id="432938649">
      <w:bodyDiv w:val="1"/>
      <w:marLeft w:val="0"/>
      <w:marRight w:val="0"/>
      <w:marTop w:val="0"/>
      <w:marBottom w:val="0"/>
      <w:divBdr>
        <w:top w:val="none" w:sz="0" w:space="0" w:color="auto"/>
        <w:left w:val="none" w:sz="0" w:space="0" w:color="auto"/>
        <w:bottom w:val="none" w:sz="0" w:space="0" w:color="auto"/>
        <w:right w:val="none" w:sz="0" w:space="0" w:color="auto"/>
      </w:divBdr>
    </w:div>
    <w:div w:id="460416260">
      <w:bodyDiv w:val="1"/>
      <w:marLeft w:val="0"/>
      <w:marRight w:val="0"/>
      <w:marTop w:val="0"/>
      <w:marBottom w:val="0"/>
      <w:divBdr>
        <w:top w:val="none" w:sz="0" w:space="0" w:color="auto"/>
        <w:left w:val="none" w:sz="0" w:space="0" w:color="auto"/>
        <w:bottom w:val="none" w:sz="0" w:space="0" w:color="auto"/>
        <w:right w:val="none" w:sz="0" w:space="0" w:color="auto"/>
      </w:divBdr>
    </w:div>
    <w:div w:id="499080916">
      <w:bodyDiv w:val="1"/>
      <w:marLeft w:val="0"/>
      <w:marRight w:val="0"/>
      <w:marTop w:val="0"/>
      <w:marBottom w:val="0"/>
      <w:divBdr>
        <w:top w:val="none" w:sz="0" w:space="0" w:color="auto"/>
        <w:left w:val="none" w:sz="0" w:space="0" w:color="auto"/>
        <w:bottom w:val="none" w:sz="0" w:space="0" w:color="auto"/>
        <w:right w:val="none" w:sz="0" w:space="0" w:color="auto"/>
      </w:divBdr>
    </w:div>
    <w:div w:id="665983186">
      <w:bodyDiv w:val="1"/>
      <w:marLeft w:val="0"/>
      <w:marRight w:val="0"/>
      <w:marTop w:val="0"/>
      <w:marBottom w:val="0"/>
      <w:divBdr>
        <w:top w:val="none" w:sz="0" w:space="0" w:color="auto"/>
        <w:left w:val="none" w:sz="0" w:space="0" w:color="auto"/>
        <w:bottom w:val="none" w:sz="0" w:space="0" w:color="auto"/>
        <w:right w:val="none" w:sz="0" w:space="0" w:color="auto"/>
      </w:divBdr>
    </w:div>
    <w:div w:id="682167482">
      <w:bodyDiv w:val="1"/>
      <w:marLeft w:val="0"/>
      <w:marRight w:val="0"/>
      <w:marTop w:val="0"/>
      <w:marBottom w:val="0"/>
      <w:divBdr>
        <w:top w:val="none" w:sz="0" w:space="0" w:color="auto"/>
        <w:left w:val="none" w:sz="0" w:space="0" w:color="auto"/>
        <w:bottom w:val="none" w:sz="0" w:space="0" w:color="auto"/>
        <w:right w:val="none" w:sz="0" w:space="0" w:color="auto"/>
      </w:divBdr>
    </w:div>
    <w:div w:id="692614296">
      <w:bodyDiv w:val="1"/>
      <w:marLeft w:val="0"/>
      <w:marRight w:val="0"/>
      <w:marTop w:val="0"/>
      <w:marBottom w:val="0"/>
      <w:divBdr>
        <w:top w:val="none" w:sz="0" w:space="0" w:color="auto"/>
        <w:left w:val="none" w:sz="0" w:space="0" w:color="auto"/>
        <w:bottom w:val="none" w:sz="0" w:space="0" w:color="auto"/>
        <w:right w:val="none" w:sz="0" w:space="0" w:color="auto"/>
      </w:divBdr>
    </w:div>
    <w:div w:id="764040219">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sChild>
        <w:div w:id="1487436626">
          <w:marLeft w:val="0"/>
          <w:marRight w:val="0"/>
          <w:marTop w:val="0"/>
          <w:marBottom w:val="0"/>
          <w:divBdr>
            <w:top w:val="none" w:sz="0" w:space="0" w:color="auto"/>
            <w:left w:val="none" w:sz="0" w:space="0" w:color="auto"/>
            <w:bottom w:val="none" w:sz="0" w:space="0" w:color="auto"/>
            <w:right w:val="none" w:sz="0" w:space="0" w:color="auto"/>
          </w:divBdr>
        </w:div>
      </w:divsChild>
    </w:div>
    <w:div w:id="845362152">
      <w:bodyDiv w:val="1"/>
      <w:marLeft w:val="0"/>
      <w:marRight w:val="0"/>
      <w:marTop w:val="0"/>
      <w:marBottom w:val="0"/>
      <w:divBdr>
        <w:top w:val="none" w:sz="0" w:space="0" w:color="auto"/>
        <w:left w:val="none" w:sz="0" w:space="0" w:color="auto"/>
        <w:bottom w:val="none" w:sz="0" w:space="0" w:color="auto"/>
        <w:right w:val="none" w:sz="0" w:space="0" w:color="auto"/>
      </w:divBdr>
    </w:div>
    <w:div w:id="906111512">
      <w:bodyDiv w:val="1"/>
      <w:marLeft w:val="0"/>
      <w:marRight w:val="0"/>
      <w:marTop w:val="0"/>
      <w:marBottom w:val="0"/>
      <w:divBdr>
        <w:top w:val="none" w:sz="0" w:space="0" w:color="auto"/>
        <w:left w:val="none" w:sz="0" w:space="0" w:color="auto"/>
        <w:bottom w:val="none" w:sz="0" w:space="0" w:color="auto"/>
        <w:right w:val="none" w:sz="0" w:space="0" w:color="auto"/>
      </w:divBdr>
    </w:div>
    <w:div w:id="1060591123">
      <w:bodyDiv w:val="1"/>
      <w:marLeft w:val="0"/>
      <w:marRight w:val="0"/>
      <w:marTop w:val="0"/>
      <w:marBottom w:val="0"/>
      <w:divBdr>
        <w:top w:val="none" w:sz="0" w:space="0" w:color="auto"/>
        <w:left w:val="none" w:sz="0" w:space="0" w:color="auto"/>
        <w:bottom w:val="none" w:sz="0" w:space="0" w:color="auto"/>
        <w:right w:val="none" w:sz="0" w:space="0" w:color="auto"/>
      </w:divBdr>
    </w:div>
    <w:div w:id="1065185387">
      <w:bodyDiv w:val="1"/>
      <w:marLeft w:val="0"/>
      <w:marRight w:val="0"/>
      <w:marTop w:val="0"/>
      <w:marBottom w:val="0"/>
      <w:divBdr>
        <w:top w:val="none" w:sz="0" w:space="0" w:color="auto"/>
        <w:left w:val="none" w:sz="0" w:space="0" w:color="auto"/>
        <w:bottom w:val="none" w:sz="0" w:space="0" w:color="auto"/>
        <w:right w:val="none" w:sz="0" w:space="0" w:color="auto"/>
      </w:divBdr>
    </w:div>
    <w:div w:id="1085348115">
      <w:bodyDiv w:val="1"/>
      <w:marLeft w:val="0"/>
      <w:marRight w:val="0"/>
      <w:marTop w:val="0"/>
      <w:marBottom w:val="0"/>
      <w:divBdr>
        <w:top w:val="none" w:sz="0" w:space="0" w:color="auto"/>
        <w:left w:val="none" w:sz="0" w:space="0" w:color="auto"/>
        <w:bottom w:val="none" w:sz="0" w:space="0" w:color="auto"/>
        <w:right w:val="none" w:sz="0" w:space="0" w:color="auto"/>
      </w:divBdr>
    </w:div>
    <w:div w:id="1090155228">
      <w:bodyDiv w:val="1"/>
      <w:marLeft w:val="0"/>
      <w:marRight w:val="0"/>
      <w:marTop w:val="0"/>
      <w:marBottom w:val="0"/>
      <w:divBdr>
        <w:top w:val="none" w:sz="0" w:space="0" w:color="auto"/>
        <w:left w:val="none" w:sz="0" w:space="0" w:color="auto"/>
        <w:bottom w:val="none" w:sz="0" w:space="0" w:color="auto"/>
        <w:right w:val="none" w:sz="0" w:space="0" w:color="auto"/>
      </w:divBdr>
      <w:divsChild>
        <w:div w:id="448083387">
          <w:marLeft w:val="0"/>
          <w:marRight w:val="0"/>
          <w:marTop w:val="0"/>
          <w:marBottom w:val="0"/>
          <w:divBdr>
            <w:top w:val="none" w:sz="0" w:space="0" w:color="auto"/>
            <w:left w:val="none" w:sz="0" w:space="0" w:color="auto"/>
            <w:bottom w:val="none" w:sz="0" w:space="0" w:color="auto"/>
            <w:right w:val="none" w:sz="0" w:space="0" w:color="auto"/>
          </w:divBdr>
        </w:div>
        <w:div w:id="1441219367">
          <w:marLeft w:val="0"/>
          <w:marRight w:val="0"/>
          <w:marTop w:val="0"/>
          <w:marBottom w:val="0"/>
          <w:divBdr>
            <w:top w:val="none" w:sz="0" w:space="0" w:color="auto"/>
            <w:left w:val="none" w:sz="0" w:space="0" w:color="auto"/>
            <w:bottom w:val="none" w:sz="0" w:space="0" w:color="auto"/>
            <w:right w:val="none" w:sz="0" w:space="0" w:color="auto"/>
          </w:divBdr>
          <w:divsChild>
            <w:div w:id="1070154265">
              <w:marLeft w:val="0"/>
              <w:marRight w:val="0"/>
              <w:marTop w:val="0"/>
              <w:marBottom w:val="0"/>
              <w:divBdr>
                <w:top w:val="none" w:sz="0" w:space="0" w:color="auto"/>
                <w:left w:val="none" w:sz="0" w:space="0" w:color="auto"/>
                <w:bottom w:val="none" w:sz="0" w:space="0" w:color="auto"/>
                <w:right w:val="none" w:sz="0" w:space="0" w:color="auto"/>
              </w:divBdr>
              <w:divsChild>
                <w:div w:id="1849520173">
                  <w:marLeft w:val="0"/>
                  <w:marRight w:val="0"/>
                  <w:marTop w:val="0"/>
                  <w:marBottom w:val="0"/>
                  <w:divBdr>
                    <w:top w:val="none" w:sz="0" w:space="0" w:color="auto"/>
                    <w:left w:val="none" w:sz="0" w:space="0" w:color="auto"/>
                    <w:bottom w:val="none" w:sz="0" w:space="0" w:color="auto"/>
                    <w:right w:val="none" w:sz="0" w:space="0" w:color="auto"/>
                  </w:divBdr>
                </w:div>
                <w:div w:id="165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0490">
      <w:bodyDiv w:val="1"/>
      <w:marLeft w:val="0"/>
      <w:marRight w:val="0"/>
      <w:marTop w:val="0"/>
      <w:marBottom w:val="0"/>
      <w:divBdr>
        <w:top w:val="none" w:sz="0" w:space="0" w:color="auto"/>
        <w:left w:val="none" w:sz="0" w:space="0" w:color="auto"/>
        <w:bottom w:val="none" w:sz="0" w:space="0" w:color="auto"/>
        <w:right w:val="none" w:sz="0" w:space="0" w:color="auto"/>
      </w:divBdr>
    </w:div>
    <w:div w:id="1110394095">
      <w:bodyDiv w:val="1"/>
      <w:marLeft w:val="0"/>
      <w:marRight w:val="0"/>
      <w:marTop w:val="0"/>
      <w:marBottom w:val="0"/>
      <w:divBdr>
        <w:top w:val="none" w:sz="0" w:space="0" w:color="auto"/>
        <w:left w:val="none" w:sz="0" w:space="0" w:color="auto"/>
        <w:bottom w:val="none" w:sz="0" w:space="0" w:color="auto"/>
        <w:right w:val="none" w:sz="0" w:space="0" w:color="auto"/>
      </w:divBdr>
      <w:divsChild>
        <w:div w:id="486240580">
          <w:marLeft w:val="0"/>
          <w:marRight w:val="0"/>
          <w:marTop w:val="0"/>
          <w:marBottom w:val="0"/>
          <w:divBdr>
            <w:top w:val="none" w:sz="0" w:space="0" w:color="auto"/>
            <w:left w:val="none" w:sz="0" w:space="0" w:color="auto"/>
            <w:bottom w:val="none" w:sz="0" w:space="0" w:color="auto"/>
            <w:right w:val="none" w:sz="0" w:space="0" w:color="auto"/>
          </w:divBdr>
          <w:divsChild>
            <w:div w:id="160856644">
              <w:marLeft w:val="0"/>
              <w:marRight w:val="0"/>
              <w:marTop w:val="0"/>
              <w:marBottom w:val="0"/>
              <w:divBdr>
                <w:top w:val="none" w:sz="0" w:space="0" w:color="auto"/>
                <w:left w:val="none" w:sz="0" w:space="0" w:color="auto"/>
                <w:bottom w:val="none" w:sz="0" w:space="0" w:color="auto"/>
                <w:right w:val="none" w:sz="0" w:space="0" w:color="auto"/>
              </w:divBdr>
            </w:div>
          </w:divsChild>
        </w:div>
        <w:div w:id="138231175">
          <w:marLeft w:val="0"/>
          <w:marRight w:val="0"/>
          <w:marTop w:val="0"/>
          <w:marBottom w:val="0"/>
          <w:divBdr>
            <w:top w:val="none" w:sz="0" w:space="0" w:color="auto"/>
            <w:left w:val="none" w:sz="0" w:space="0" w:color="auto"/>
            <w:bottom w:val="none" w:sz="0" w:space="0" w:color="auto"/>
            <w:right w:val="none" w:sz="0" w:space="0" w:color="auto"/>
          </w:divBdr>
          <w:divsChild>
            <w:div w:id="1424180416">
              <w:marLeft w:val="0"/>
              <w:marRight w:val="0"/>
              <w:marTop w:val="0"/>
              <w:marBottom w:val="0"/>
              <w:divBdr>
                <w:top w:val="none" w:sz="0" w:space="0" w:color="auto"/>
                <w:left w:val="none" w:sz="0" w:space="0" w:color="auto"/>
                <w:bottom w:val="none" w:sz="0" w:space="0" w:color="auto"/>
                <w:right w:val="none" w:sz="0" w:space="0" w:color="auto"/>
              </w:divBdr>
            </w:div>
            <w:div w:id="656955516">
              <w:marLeft w:val="0"/>
              <w:marRight w:val="0"/>
              <w:marTop w:val="0"/>
              <w:marBottom w:val="0"/>
              <w:divBdr>
                <w:top w:val="none" w:sz="0" w:space="0" w:color="auto"/>
                <w:left w:val="none" w:sz="0" w:space="0" w:color="auto"/>
                <w:bottom w:val="none" w:sz="0" w:space="0" w:color="auto"/>
                <w:right w:val="none" w:sz="0" w:space="0" w:color="auto"/>
              </w:divBdr>
            </w:div>
            <w:div w:id="923957317">
              <w:marLeft w:val="0"/>
              <w:marRight w:val="0"/>
              <w:marTop w:val="0"/>
              <w:marBottom w:val="0"/>
              <w:divBdr>
                <w:top w:val="none" w:sz="0" w:space="0" w:color="auto"/>
                <w:left w:val="none" w:sz="0" w:space="0" w:color="auto"/>
                <w:bottom w:val="none" w:sz="0" w:space="0" w:color="auto"/>
                <w:right w:val="none" w:sz="0" w:space="0" w:color="auto"/>
              </w:divBdr>
            </w:div>
            <w:div w:id="557521072">
              <w:marLeft w:val="0"/>
              <w:marRight w:val="0"/>
              <w:marTop w:val="0"/>
              <w:marBottom w:val="0"/>
              <w:divBdr>
                <w:top w:val="none" w:sz="0" w:space="0" w:color="auto"/>
                <w:left w:val="none" w:sz="0" w:space="0" w:color="auto"/>
                <w:bottom w:val="none" w:sz="0" w:space="0" w:color="auto"/>
                <w:right w:val="none" w:sz="0" w:space="0" w:color="auto"/>
              </w:divBdr>
            </w:div>
            <w:div w:id="643316453">
              <w:marLeft w:val="0"/>
              <w:marRight w:val="0"/>
              <w:marTop w:val="0"/>
              <w:marBottom w:val="0"/>
              <w:divBdr>
                <w:top w:val="none" w:sz="0" w:space="0" w:color="auto"/>
                <w:left w:val="none" w:sz="0" w:space="0" w:color="auto"/>
                <w:bottom w:val="none" w:sz="0" w:space="0" w:color="auto"/>
                <w:right w:val="none" w:sz="0" w:space="0" w:color="auto"/>
              </w:divBdr>
            </w:div>
          </w:divsChild>
        </w:div>
        <w:div w:id="218637648">
          <w:marLeft w:val="0"/>
          <w:marRight w:val="0"/>
          <w:marTop w:val="0"/>
          <w:marBottom w:val="0"/>
          <w:divBdr>
            <w:top w:val="none" w:sz="0" w:space="0" w:color="auto"/>
            <w:left w:val="none" w:sz="0" w:space="0" w:color="auto"/>
            <w:bottom w:val="none" w:sz="0" w:space="0" w:color="auto"/>
            <w:right w:val="none" w:sz="0" w:space="0" w:color="auto"/>
          </w:divBdr>
          <w:divsChild>
            <w:div w:id="1914585283">
              <w:marLeft w:val="0"/>
              <w:marRight w:val="0"/>
              <w:marTop w:val="0"/>
              <w:marBottom w:val="0"/>
              <w:divBdr>
                <w:top w:val="none" w:sz="0" w:space="0" w:color="auto"/>
                <w:left w:val="none" w:sz="0" w:space="0" w:color="auto"/>
                <w:bottom w:val="none" w:sz="0" w:space="0" w:color="auto"/>
                <w:right w:val="none" w:sz="0" w:space="0" w:color="auto"/>
              </w:divBdr>
            </w:div>
            <w:div w:id="499928585">
              <w:marLeft w:val="0"/>
              <w:marRight w:val="0"/>
              <w:marTop w:val="0"/>
              <w:marBottom w:val="0"/>
              <w:divBdr>
                <w:top w:val="none" w:sz="0" w:space="0" w:color="auto"/>
                <w:left w:val="none" w:sz="0" w:space="0" w:color="auto"/>
                <w:bottom w:val="none" w:sz="0" w:space="0" w:color="auto"/>
                <w:right w:val="none" w:sz="0" w:space="0" w:color="auto"/>
              </w:divBdr>
            </w:div>
            <w:div w:id="1031029822">
              <w:marLeft w:val="0"/>
              <w:marRight w:val="0"/>
              <w:marTop w:val="0"/>
              <w:marBottom w:val="0"/>
              <w:divBdr>
                <w:top w:val="none" w:sz="0" w:space="0" w:color="auto"/>
                <w:left w:val="none" w:sz="0" w:space="0" w:color="auto"/>
                <w:bottom w:val="none" w:sz="0" w:space="0" w:color="auto"/>
                <w:right w:val="none" w:sz="0" w:space="0" w:color="auto"/>
              </w:divBdr>
            </w:div>
            <w:div w:id="229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8721">
      <w:bodyDiv w:val="1"/>
      <w:marLeft w:val="0"/>
      <w:marRight w:val="0"/>
      <w:marTop w:val="0"/>
      <w:marBottom w:val="0"/>
      <w:divBdr>
        <w:top w:val="none" w:sz="0" w:space="0" w:color="auto"/>
        <w:left w:val="none" w:sz="0" w:space="0" w:color="auto"/>
        <w:bottom w:val="none" w:sz="0" w:space="0" w:color="auto"/>
        <w:right w:val="none" w:sz="0" w:space="0" w:color="auto"/>
      </w:divBdr>
      <w:divsChild>
        <w:div w:id="47532589">
          <w:marLeft w:val="0"/>
          <w:marRight w:val="0"/>
          <w:marTop w:val="0"/>
          <w:marBottom w:val="0"/>
          <w:divBdr>
            <w:top w:val="none" w:sz="0" w:space="0" w:color="auto"/>
            <w:left w:val="none" w:sz="0" w:space="0" w:color="auto"/>
            <w:bottom w:val="none" w:sz="0" w:space="0" w:color="auto"/>
            <w:right w:val="none" w:sz="0" w:space="0" w:color="auto"/>
          </w:divBdr>
        </w:div>
        <w:div w:id="1293168261">
          <w:marLeft w:val="0"/>
          <w:marRight w:val="0"/>
          <w:marTop w:val="0"/>
          <w:marBottom w:val="0"/>
          <w:divBdr>
            <w:top w:val="none" w:sz="0" w:space="0" w:color="auto"/>
            <w:left w:val="none" w:sz="0" w:space="0" w:color="auto"/>
            <w:bottom w:val="none" w:sz="0" w:space="0" w:color="auto"/>
            <w:right w:val="none" w:sz="0" w:space="0" w:color="auto"/>
          </w:divBdr>
        </w:div>
        <w:div w:id="740719005">
          <w:marLeft w:val="0"/>
          <w:marRight w:val="0"/>
          <w:marTop w:val="0"/>
          <w:marBottom w:val="0"/>
          <w:divBdr>
            <w:top w:val="none" w:sz="0" w:space="0" w:color="auto"/>
            <w:left w:val="none" w:sz="0" w:space="0" w:color="auto"/>
            <w:bottom w:val="none" w:sz="0" w:space="0" w:color="auto"/>
            <w:right w:val="none" w:sz="0" w:space="0" w:color="auto"/>
          </w:divBdr>
        </w:div>
        <w:div w:id="429861422">
          <w:marLeft w:val="0"/>
          <w:marRight w:val="0"/>
          <w:marTop w:val="0"/>
          <w:marBottom w:val="0"/>
          <w:divBdr>
            <w:top w:val="none" w:sz="0" w:space="0" w:color="auto"/>
            <w:left w:val="none" w:sz="0" w:space="0" w:color="auto"/>
            <w:bottom w:val="none" w:sz="0" w:space="0" w:color="auto"/>
            <w:right w:val="none" w:sz="0" w:space="0" w:color="auto"/>
          </w:divBdr>
        </w:div>
      </w:divsChild>
    </w:div>
    <w:div w:id="1533804610">
      <w:bodyDiv w:val="1"/>
      <w:marLeft w:val="0"/>
      <w:marRight w:val="0"/>
      <w:marTop w:val="0"/>
      <w:marBottom w:val="0"/>
      <w:divBdr>
        <w:top w:val="none" w:sz="0" w:space="0" w:color="auto"/>
        <w:left w:val="none" w:sz="0" w:space="0" w:color="auto"/>
        <w:bottom w:val="none" w:sz="0" w:space="0" w:color="auto"/>
        <w:right w:val="none" w:sz="0" w:space="0" w:color="auto"/>
      </w:divBdr>
    </w:div>
    <w:div w:id="1779450426">
      <w:bodyDiv w:val="1"/>
      <w:marLeft w:val="0"/>
      <w:marRight w:val="0"/>
      <w:marTop w:val="0"/>
      <w:marBottom w:val="0"/>
      <w:divBdr>
        <w:top w:val="none" w:sz="0" w:space="0" w:color="auto"/>
        <w:left w:val="none" w:sz="0" w:space="0" w:color="auto"/>
        <w:bottom w:val="none" w:sz="0" w:space="0" w:color="auto"/>
        <w:right w:val="none" w:sz="0" w:space="0" w:color="auto"/>
      </w:divBdr>
    </w:div>
    <w:div w:id="2029943709">
      <w:bodyDiv w:val="1"/>
      <w:marLeft w:val="0"/>
      <w:marRight w:val="0"/>
      <w:marTop w:val="0"/>
      <w:marBottom w:val="0"/>
      <w:divBdr>
        <w:top w:val="none" w:sz="0" w:space="0" w:color="auto"/>
        <w:left w:val="none" w:sz="0" w:space="0" w:color="auto"/>
        <w:bottom w:val="none" w:sz="0" w:space="0" w:color="auto"/>
        <w:right w:val="none" w:sz="0" w:space="0" w:color="auto"/>
      </w:divBdr>
    </w:div>
    <w:div w:id="2102987173">
      <w:bodyDiv w:val="1"/>
      <w:marLeft w:val="0"/>
      <w:marRight w:val="0"/>
      <w:marTop w:val="0"/>
      <w:marBottom w:val="0"/>
      <w:divBdr>
        <w:top w:val="none" w:sz="0" w:space="0" w:color="auto"/>
        <w:left w:val="none" w:sz="0" w:space="0" w:color="auto"/>
        <w:bottom w:val="none" w:sz="0" w:space="0" w:color="auto"/>
        <w:right w:val="none" w:sz="0" w:space="0" w:color="auto"/>
      </w:divBdr>
    </w:div>
    <w:div w:id="21268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9EDF12B84F5468999AB844ADF14A0" ma:contentTypeVersion="14" ma:contentTypeDescription="Create a new document." ma:contentTypeScope="" ma:versionID="ad3f465470ccc78f64b9d80af4b4feb4">
  <xsd:schema xmlns:xsd="http://www.w3.org/2001/XMLSchema" xmlns:xs="http://www.w3.org/2001/XMLSchema" xmlns:p="http://schemas.microsoft.com/office/2006/metadata/properties" xmlns:ns3="f3c439ed-21aa-40f1-af26-172b6c41e2f9" xmlns:ns4="81104e27-d0ad-483a-92d9-b6334b7678dc" targetNamespace="http://schemas.microsoft.com/office/2006/metadata/properties" ma:root="true" ma:fieldsID="11ae80e880418533261e3c7abb7077b3" ns3:_="" ns4:_="">
    <xsd:import namespace="f3c439ed-21aa-40f1-af26-172b6c41e2f9"/>
    <xsd:import namespace="81104e27-d0ad-483a-92d9-b6334b7678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39ed-21aa-40f1-af26-172b6c41e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04e27-d0ad-483a-92d9-b6334b7678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30CCD-93EA-4114-9DE3-08FEBF78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439ed-21aa-40f1-af26-172b6c41e2f9"/>
    <ds:schemaRef ds:uri="81104e27-d0ad-483a-92d9-b6334b767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B7105-5347-43AD-A2C5-157ED6F30A81}">
  <ds:schemaRefs>
    <ds:schemaRef ds:uri="http://schemas.openxmlformats.org/officeDocument/2006/bibliography"/>
  </ds:schemaRefs>
</ds:datastoreItem>
</file>

<file path=customXml/itemProps3.xml><?xml version="1.0" encoding="utf-8"?>
<ds:datastoreItem xmlns:ds="http://schemas.openxmlformats.org/officeDocument/2006/customXml" ds:itemID="{1FC86846-FDBE-4782-B3D0-3F8AAD0783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A7AEE1-D4F8-4617-92AF-1684BB75A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2677</Words>
  <Characters>15264</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Schut</dc:creator>
  <cp:keywords/>
  <dc:description/>
  <cp:lastModifiedBy>cornelia henschke</cp:lastModifiedBy>
  <cp:revision>3</cp:revision>
  <cp:lastPrinted>2023-04-18T10:51:00Z</cp:lastPrinted>
  <dcterms:created xsi:type="dcterms:W3CDTF">2023-08-08T12:01:00Z</dcterms:created>
  <dcterms:modified xsi:type="dcterms:W3CDTF">2023-08-08T12:06:00Z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0x0101000B89EDF12B84F5468999AB844ADF14A0</vt:lpwstr>
  </property>
</Properties>
</file>