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6C" w:rsidRPr="009171F9" w:rsidRDefault="004059DE" w:rsidP="00E8456C">
      <w:pPr>
        <w:rPr>
          <w:rFonts w:ascii="Arial" w:hAnsi="Arial" w:cs="Arial"/>
        </w:rPr>
      </w:pPr>
      <w:r>
        <w:rPr>
          <w:rFonts w:ascii="Arial" w:hAnsi="Arial" w:cs="Arial"/>
        </w:rPr>
        <w:t>Supplementary T</w:t>
      </w:r>
      <w:r w:rsidR="00E8456C" w:rsidRPr="009171F9">
        <w:rPr>
          <w:rFonts w:ascii="Arial" w:hAnsi="Arial" w:cs="Arial"/>
        </w:rPr>
        <w:t xml:space="preserve">able </w:t>
      </w:r>
      <w:r>
        <w:rPr>
          <w:rFonts w:ascii="Arial" w:hAnsi="Arial" w:cs="Arial"/>
        </w:rPr>
        <w:t>S</w:t>
      </w:r>
      <w:r w:rsidR="00E8456C" w:rsidRPr="009171F9">
        <w:rPr>
          <w:rFonts w:ascii="Arial" w:hAnsi="Arial" w:cs="Arial"/>
        </w:rPr>
        <w:t>3:  List of genes, their position and function identified within haploblocks containing the ten most associated SNPs for perinatal mortality.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417"/>
        <w:gridCol w:w="1418"/>
        <w:gridCol w:w="1417"/>
        <w:gridCol w:w="3889"/>
      </w:tblGrid>
      <w:tr w:rsidR="00E8456C" w:rsidRPr="009171F9" w:rsidTr="008E75A2">
        <w:tc>
          <w:tcPr>
            <w:tcW w:w="1101" w:type="dxa"/>
          </w:tcPr>
          <w:p w:rsidR="00E8456C" w:rsidRPr="0093295F" w:rsidRDefault="00E8456C" w:rsidP="008E75A2">
            <w:pPr>
              <w:rPr>
                <w:rFonts w:ascii="Arial" w:hAnsi="Arial" w:cs="Arial"/>
                <w:sz w:val="20"/>
                <w:szCs w:val="20"/>
              </w:rPr>
            </w:pPr>
            <w:r>
              <w:rPr>
                <w:rFonts w:ascii="Arial" w:hAnsi="Arial" w:cs="Arial"/>
                <w:sz w:val="20"/>
                <w:szCs w:val="20"/>
              </w:rPr>
              <w:t>BTA</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Haploblock position</w:t>
            </w: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rPr>
              <w:t>Gene</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Position</w:t>
            </w:r>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rPr>
              <w:t>Function</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14</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71356288-72195341</w:t>
            </w: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SLC26A7</w:t>
            </w:r>
          </w:p>
        </w:tc>
        <w:tc>
          <w:tcPr>
            <w:tcW w:w="1417" w:type="dxa"/>
          </w:tcPr>
          <w:p w:rsidR="00E8456C" w:rsidRPr="00606C0E" w:rsidRDefault="00196367" w:rsidP="008E75A2">
            <w:pPr>
              <w:rPr>
                <w:rFonts w:ascii="Arial" w:hAnsi="Arial" w:cs="Arial"/>
                <w:sz w:val="20"/>
                <w:szCs w:val="20"/>
              </w:rPr>
            </w:pPr>
            <w:hyperlink r:id="rId6" w:history="1">
              <w:r w:rsidR="00E8456C" w:rsidRPr="00606C0E">
                <w:rPr>
                  <w:rStyle w:val="Hyperlink"/>
                  <w:rFonts w:ascii="Arial" w:hAnsi="Arial" w:cs="Arial"/>
                  <w:color w:val="auto"/>
                  <w:sz w:val="20"/>
                  <w:szCs w:val="20"/>
                  <w:u w:val="none"/>
                  <w:shd w:val="clear" w:color="auto" w:fill="FFFFFF"/>
                </w:rPr>
                <w:t>71,722,604-71,871,605</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This gene is one member of a family of sulfate/anion transporter genes</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Style w:val="Strong"/>
                <w:rFonts w:ascii="Arial" w:hAnsi="Arial" w:cs="Arial"/>
                <w:b w:val="0"/>
                <w:sz w:val="20"/>
                <w:szCs w:val="20"/>
                <w:shd w:val="clear" w:color="auto" w:fill="FFFFFF"/>
              </w:rPr>
              <w:t>TMEM55A</w:t>
            </w:r>
          </w:p>
        </w:tc>
        <w:tc>
          <w:tcPr>
            <w:tcW w:w="1417" w:type="dxa"/>
          </w:tcPr>
          <w:p w:rsidR="00E8456C" w:rsidRPr="00606C0E" w:rsidRDefault="00196367" w:rsidP="008E75A2">
            <w:pPr>
              <w:rPr>
                <w:rFonts w:ascii="Arial" w:hAnsi="Arial" w:cs="Arial"/>
                <w:sz w:val="20"/>
                <w:szCs w:val="20"/>
              </w:rPr>
            </w:pPr>
            <w:hyperlink r:id="rId7" w:history="1">
              <w:r w:rsidR="00E8456C" w:rsidRPr="00606C0E">
                <w:rPr>
                  <w:rStyle w:val="Hyperlink"/>
                  <w:rFonts w:ascii="Arial" w:hAnsi="Arial" w:cs="Arial"/>
                  <w:color w:val="auto"/>
                  <w:sz w:val="20"/>
                  <w:szCs w:val="20"/>
                  <w:u w:val="none"/>
                  <w:shd w:val="clear" w:color="auto" w:fill="FFFFFF"/>
                </w:rPr>
                <w:t>72,033,027-72,105,636</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Catalyzes the hydrolysis of the 4-position phosphate of phosphatidylinositol 4,5-bisphosphate.</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rPr>
              <w:t>Tmem64</w:t>
            </w:r>
          </w:p>
        </w:tc>
        <w:tc>
          <w:tcPr>
            <w:tcW w:w="1417" w:type="dxa"/>
          </w:tcPr>
          <w:p w:rsidR="00E8456C" w:rsidRPr="00606C0E" w:rsidRDefault="00196367" w:rsidP="008E75A2">
            <w:pPr>
              <w:rPr>
                <w:rFonts w:ascii="Arial" w:hAnsi="Arial" w:cs="Arial"/>
                <w:sz w:val="20"/>
                <w:szCs w:val="20"/>
              </w:rPr>
            </w:pPr>
            <w:hyperlink r:id="rId8" w:history="1">
              <w:r w:rsidR="00E8456C" w:rsidRPr="00606C0E">
                <w:rPr>
                  <w:rStyle w:val="Hyperlink"/>
                  <w:rFonts w:ascii="Arial" w:hAnsi="Arial" w:cs="Arial"/>
                  <w:color w:val="auto"/>
                  <w:sz w:val="20"/>
                  <w:szCs w:val="20"/>
                  <w:u w:val="none"/>
                  <w:shd w:val="clear" w:color="auto" w:fill="FFFFFF"/>
                </w:rPr>
                <w:t>72,195,056-72,229,443</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rPr>
              <w:t> </w:t>
            </w:r>
            <w:r w:rsidRPr="0093295F">
              <w:rPr>
                <w:rFonts w:ascii="Arial" w:hAnsi="Arial" w:cs="Arial"/>
                <w:sz w:val="20"/>
                <w:szCs w:val="20"/>
                <w:shd w:val="clear" w:color="auto" w:fill="FFFFFF"/>
              </w:rPr>
              <w:t>Transmembrane protein 64 (Tmem64) as a regulator of Ca(2+) oscillation during osteoclastogenesis.</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16</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74717247-75179403</w:t>
            </w:r>
          </w:p>
        </w:tc>
        <w:tc>
          <w:tcPr>
            <w:tcW w:w="1418" w:type="dxa"/>
          </w:tcPr>
          <w:p w:rsidR="00E8456C" w:rsidRPr="0093295F" w:rsidRDefault="00E8456C" w:rsidP="008E75A2">
            <w:pPr>
              <w:rPr>
                <w:rFonts w:ascii="Arial" w:hAnsi="Arial" w:cs="Arial"/>
                <w:sz w:val="20"/>
                <w:szCs w:val="20"/>
              </w:rPr>
            </w:pPr>
            <w:r w:rsidRPr="0093295F">
              <w:rPr>
                <w:rStyle w:val="Strong"/>
                <w:rFonts w:ascii="Arial" w:hAnsi="Arial" w:cs="Arial"/>
                <w:b w:val="0"/>
                <w:sz w:val="20"/>
                <w:szCs w:val="20"/>
                <w:shd w:val="clear" w:color="auto" w:fill="FFFFFF"/>
              </w:rPr>
              <w:t>DENND1B</w:t>
            </w:r>
          </w:p>
        </w:tc>
        <w:tc>
          <w:tcPr>
            <w:tcW w:w="1417" w:type="dxa"/>
          </w:tcPr>
          <w:p w:rsidR="00E8456C" w:rsidRPr="00606C0E" w:rsidRDefault="00196367" w:rsidP="008E75A2">
            <w:pPr>
              <w:rPr>
                <w:rFonts w:ascii="Arial" w:hAnsi="Arial" w:cs="Arial"/>
                <w:sz w:val="20"/>
                <w:szCs w:val="20"/>
              </w:rPr>
            </w:pPr>
            <w:hyperlink r:id="rId9" w:history="1">
              <w:r w:rsidR="00E8456C" w:rsidRPr="00606C0E">
                <w:rPr>
                  <w:rStyle w:val="Hyperlink"/>
                  <w:rFonts w:ascii="Arial" w:hAnsi="Arial" w:cs="Arial"/>
                  <w:color w:val="auto"/>
                  <w:sz w:val="20"/>
                  <w:szCs w:val="20"/>
                  <w:u w:val="none"/>
                  <w:shd w:val="clear" w:color="auto" w:fill="FFFFFF"/>
                </w:rPr>
                <w:t>74,792,846-74,895,655</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 xml:space="preserve">Members of the connecdenn family, such as DENND1B, function as guanine nucleotide exchange factors (GEFs) for the early endosomal small GTPase RAB35 (MIM 604199) and bind to clathrin and clathrin adaptor protein-2 </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10</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12585173-12899363</w:t>
            </w:r>
          </w:p>
        </w:tc>
        <w:tc>
          <w:tcPr>
            <w:tcW w:w="1418" w:type="dxa"/>
          </w:tcPr>
          <w:p w:rsidR="00E8456C" w:rsidRPr="0093295F" w:rsidRDefault="00E8456C" w:rsidP="008E75A2">
            <w:pPr>
              <w:rPr>
                <w:rFonts w:ascii="Arial" w:hAnsi="Arial" w:cs="Arial"/>
                <w:sz w:val="20"/>
                <w:szCs w:val="20"/>
              </w:rPr>
            </w:pPr>
            <w:r w:rsidRPr="0093295F">
              <w:rPr>
                <w:rFonts w:ascii="Arial" w:hAnsi="Arial" w:cs="Arial"/>
                <w:bCs/>
                <w:sz w:val="20"/>
                <w:szCs w:val="20"/>
                <w:shd w:val="clear" w:color="auto" w:fill="FFFFFF"/>
              </w:rPr>
              <w:t>RAB11A</w:t>
            </w:r>
          </w:p>
        </w:tc>
        <w:tc>
          <w:tcPr>
            <w:tcW w:w="1417" w:type="dxa"/>
          </w:tcPr>
          <w:p w:rsidR="00E8456C" w:rsidRPr="00606C0E" w:rsidRDefault="00196367" w:rsidP="008E75A2">
            <w:pPr>
              <w:rPr>
                <w:rFonts w:ascii="Arial" w:hAnsi="Arial" w:cs="Arial"/>
                <w:sz w:val="20"/>
                <w:szCs w:val="20"/>
              </w:rPr>
            </w:pPr>
            <w:hyperlink r:id="rId10" w:history="1">
              <w:r w:rsidR="00E8456C" w:rsidRPr="00606C0E">
                <w:rPr>
                  <w:rStyle w:val="Hyperlink"/>
                  <w:rFonts w:ascii="Arial" w:hAnsi="Arial" w:cs="Arial"/>
                  <w:color w:val="auto"/>
                  <w:sz w:val="20"/>
                  <w:szCs w:val="20"/>
                  <w:u w:val="none"/>
                  <w:shd w:val="clear" w:color="auto" w:fill="FFFFFF"/>
                </w:rPr>
                <w:t>12,568,783-12,588,033</w:t>
              </w:r>
            </w:hyperlink>
            <w:r w:rsidR="00E8456C" w:rsidRPr="00606C0E">
              <w:rPr>
                <w:rStyle w:val="apple-converted-space"/>
                <w:rFonts w:ascii="Arial" w:hAnsi="Arial" w:cs="Arial"/>
                <w:sz w:val="20"/>
                <w:szCs w:val="20"/>
                <w:shd w:val="clear" w:color="auto" w:fill="FFFFFF"/>
              </w:rPr>
              <w:t> </w:t>
            </w:r>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The small GTPases Rab are key regulators of intracellular membrane trafficking, from the formation of transport vesicles to their fusion with membranes. In humans Rab11a was involved in the recruitment of TLR4 to phagosomes in a process requiring TLR4 signaling.</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MEGF11</w:t>
            </w:r>
          </w:p>
        </w:tc>
        <w:tc>
          <w:tcPr>
            <w:tcW w:w="1417" w:type="dxa"/>
          </w:tcPr>
          <w:p w:rsidR="00E8456C" w:rsidRPr="00606C0E" w:rsidRDefault="00196367" w:rsidP="008E75A2">
            <w:pPr>
              <w:rPr>
                <w:rFonts w:ascii="Arial" w:hAnsi="Arial" w:cs="Arial"/>
                <w:sz w:val="20"/>
                <w:szCs w:val="20"/>
              </w:rPr>
            </w:pPr>
            <w:hyperlink r:id="rId11" w:history="1">
              <w:r w:rsidR="00E8456C" w:rsidRPr="00606C0E">
                <w:rPr>
                  <w:rStyle w:val="Hyperlink"/>
                  <w:rFonts w:ascii="Arial" w:hAnsi="Arial" w:cs="Arial"/>
                  <w:color w:val="auto"/>
                  <w:sz w:val="20"/>
                  <w:szCs w:val="20"/>
                  <w:u w:val="none"/>
                  <w:shd w:val="clear" w:color="auto" w:fill="FFFFFF"/>
                </w:rPr>
                <w:t>12,599,062-12,690,387</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rPr>
              <w:t>In humans</w:t>
            </w:r>
            <w:r>
              <w:rPr>
                <w:rFonts w:ascii="Arial" w:hAnsi="Arial" w:cs="Arial"/>
                <w:sz w:val="20"/>
                <w:szCs w:val="20"/>
              </w:rPr>
              <w:t xml:space="preserve"> its thought it m</w:t>
            </w:r>
            <w:r w:rsidRPr="0093295F">
              <w:rPr>
                <w:rFonts w:ascii="Arial" w:hAnsi="Arial" w:cs="Arial"/>
                <w:sz w:val="20"/>
                <w:szCs w:val="20"/>
                <w:shd w:val="clear" w:color="auto" w:fill="FFFFFF"/>
              </w:rPr>
              <w:t>ay regulate the mosaic spacing of specific</w:t>
            </w:r>
            <w:r>
              <w:rPr>
                <w:rFonts w:ascii="Arial" w:hAnsi="Arial" w:cs="Arial"/>
                <w:sz w:val="20"/>
                <w:szCs w:val="20"/>
                <w:shd w:val="clear" w:color="auto" w:fill="FFFFFF"/>
              </w:rPr>
              <w:t xml:space="preserve"> neuron subtypes in the retina</w:t>
            </w:r>
            <w:r w:rsidRPr="0093295F">
              <w:rPr>
                <w:rFonts w:ascii="Arial" w:hAnsi="Arial" w:cs="Arial"/>
                <w:sz w:val="20"/>
                <w:szCs w:val="20"/>
                <w:shd w:val="clear" w:color="auto" w:fill="FFFFFF"/>
              </w:rPr>
              <w:t>. Mosaics provide a mechanism to distribute each cell type evenly across the retina, ensuring that all parts of the visual field have access to a full set of processing elements</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4</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24191610-25183065</w:t>
            </w: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AGMO</w:t>
            </w:r>
          </w:p>
        </w:tc>
        <w:tc>
          <w:tcPr>
            <w:tcW w:w="1417" w:type="dxa"/>
          </w:tcPr>
          <w:p w:rsidR="00E8456C" w:rsidRPr="00606C0E" w:rsidRDefault="00196367" w:rsidP="008E75A2">
            <w:pPr>
              <w:rPr>
                <w:rFonts w:ascii="Arial" w:hAnsi="Arial" w:cs="Arial"/>
                <w:sz w:val="20"/>
                <w:szCs w:val="20"/>
              </w:rPr>
            </w:pPr>
            <w:hyperlink r:id="rId12" w:history="1">
              <w:r w:rsidR="00E8456C" w:rsidRPr="00606C0E">
                <w:rPr>
                  <w:rStyle w:val="Hyperlink"/>
                  <w:rFonts w:ascii="Arial" w:hAnsi="Arial" w:cs="Arial"/>
                  <w:color w:val="auto"/>
                  <w:sz w:val="20"/>
                  <w:szCs w:val="20"/>
                  <w:u w:val="none"/>
                  <w:shd w:val="clear" w:color="auto" w:fill="FFFFFF"/>
                </w:rPr>
                <w:t>24,807,121-25,004,482</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The protein encoded by this gene is a tetrahydrobiopterin- and iron-dependent enzyme that cleaves the ether bond of alkylglycerols. Sequence comparisons distinguish this protein as forming a third, distinct class of tetrahydrobiopterin-dependent enzymes. Variations in this gene have been associated with decreased glucose-stimulated insulin response, type 2 diabetes, and susceptibility to intracranial aneurysms in humans</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Style w:val="Strong"/>
                <w:rFonts w:ascii="Arial" w:hAnsi="Arial" w:cs="Arial"/>
                <w:b w:val="0"/>
                <w:sz w:val="20"/>
                <w:szCs w:val="20"/>
                <w:shd w:val="clear" w:color="auto" w:fill="FFFFFF"/>
              </w:rPr>
              <w:t>MEOX2</w:t>
            </w:r>
          </w:p>
        </w:tc>
        <w:tc>
          <w:tcPr>
            <w:tcW w:w="1417" w:type="dxa"/>
          </w:tcPr>
          <w:p w:rsidR="00E8456C" w:rsidRPr="00606C0E" w:rsidRDefault="00196367" w:rsidP="008E75A2">
            <w:pPr>
              <w:rPr>
                <w:rFonts w:ascii="Arial" w:hAnsi="Arial" w:cs="Arial"/>
                <w:sz w:val="20"/>
                <w:szCs w:val="20"/>
              </w:rPr>
            </w:pPr>
            <w:hyperlink r:id="rId13" w:history="1">
              <w:r w:rsidR="00E8456C" w:rsidRPr="00606C0E">
                <w:rPr>
                  <w:rStyle w:val="Hyperlink"/>
                  <w:rFonts w:ascii="Arial" w:hAnsi="Arial" w:cs="Arial"/>
                  <w:color w:val="auto"/>
                  <w:sz w:val="20"/>
                  <w:szCs w:val="20"/>
                  <w:u w:val="none"/>
                  <w:shd w:val="clear" w:color="auto" w:fill="FFFFFF"/>
                </w:rPr>
                <w:t>25,059,437-25,135,467</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This gene encodes a member of a subfamily of non-clustered, diverged, antennapedia-like homeobox-containing genes. The encoded protein may play a role in the regulation of vertebrate limb myogenesis. Mutations in the related mouse protein may be associated with craniofacial and/or skeletal abnormalities</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2</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108276539-109093402</w:t>
            </w: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MARCH4</w:t>
            </w:r>
          </w:p>
        </w:tc>
        <w:tc>
          <w:tcPr>
            <w:tcW w:w="1417" w:type="dxa"/>
          </w:tcPr>
          <w:p w:rsidR="00E8456C" w:rsidRPr="00606C0E" w:rsidRDefault="00196367" w:rsidP="008E75A2">
            <w:pPr>
              <w:rPr>
                <w:rFonts w:ascii="Arial" w:hAnsi="Arial" w:cs="Arial"/>
                <w:sz w:val="20"/>
                <w:szCs w:val="20"/>
              </w:rPr>
            </w:pPr>
            <w:hyperlink r:id="rId14" w:history="1">
              <w:r w:rsidR="00E8456C" w:rsidRPr="00606C0E">
                <w:rPr>
                  <w:rStyle w:val="Hyperlink"/>
                  <w:rFonts w:ascii="Arial" w:hAnsi="Arial" w:cs="Arial"/>
                  <w:color w:val="auto"/>
                  <w:sz w:val="20"/>
                  <w:szCs w:val="20"/>
                  <w:u w:val="none"/>
                  <w:shd w:val="clear" w:color="auto" w:fill="FFFFFF"/>
                </w:rPr>
                <w:t>108,258,480-108,284,436</w:t>
              </w:r>
            </w:hyperlink>
            <w:r w:rsidR="00E8456C" w:rsidRPr="00606C0E">
              <w:rPr>
                <w:rStyle w:val="apple-converted-space"/>
                <w:rFonts w:ascii="Arial" w:hAnsi="Arial" w:cs="Arial"/>
                <w:sz w:val="20"/>
                <w:szCs w:val="20"/>
                <w:shd w:val="clear" w:color="auto" w:fill="FFFFFF"/>
              </w:rPr>
              <w:t> </w:t>
            </w:r>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MARCH4 is a member of the MARCH family of membrane-bound E3 ubiquitin ligases (EC 6.3.2.19). MARCH enzymes add ubiquitin (see MIM 191339) to target lysines in substrate proteins, thereby signaling their vesicular transport between membrane compartments. MARCH4 reduces surface accumulation of several membrane glycoproteins by directing them to the endosomal compartment</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Style w:val="Strong"/>
                <w:rFonts w:ascii="Arial" w:hAnsi="Arial" w:cs="Arial"/>
                <w:b w:val="0"/>
                <w:sz w:val="20"/>
                <w:szCs w:val="20"/>
                <w:shd w:val="clear" w:color="auto" w:fill="FFFFFF"/>
              </w:rPr>
              <w:t>SMARCAL1</w:t>
            </w:r>
          </w:p>
        </w:tc>
        <w:tc>
          <w:tcPr>
            <w:tcW w:w="1417" w:type="dxa"/>
          </w:tcPr>
          <w:p w:rsidR="00E8456C" w:rsidRPr="00606C0E" w:rsidRDefault="00196367" w:rsidP="008E75A2">
            <w:pPr>
              <w:rPr>
                <w:rFonts w:ascii="Arial" w:hAnsi="Arial" w:cs="Arial"/>
                <w:sz w:val="20"/>
                <w:szCs w:val="20"/>
              </w:rPr>
            </w:pPr>
            <w:hyperlink r:id="rId15" w:history="1">
              <w:r w:rsidR="00E8456C" w:rsidRPr="00606C0E">
                <w:rPr>
                  <w:rStyle w:val="Hyperlink"/>
                  <w:rFonts w:ascii="Arial" w:hAnsi="Arial" w:cs="Arial"/>
                  <w:color w:val="auto"/>
                  <w:sz w:val="20"/>
                  <w:szCs w:val="20"/>
                  <w:u w:val="none"/>
                  <w:shd w:val="clear" w:color="auto" w:fill="FFFFFF"/>
                </w:rPr>
                <w:t>108,615,915-108,666,059</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ATP-dependent annealing helicase that catalyzes the rewinding of the stably unwound DNA. Rewinds single-stranded DNA bubbles that are stably bound by replication protein A (RPA). Acts throughout the genome to reanneal stably unwound DNA, performing the opposite reaction of many enzymes, such as helicases and polymerases, that unwind DNA</w:t>
            </w:r>
            <w:r w:rsidRPr="0093295F">
              <w:rPr>
                <w:rFonts w:ascii="Arial" w:hAnsi="Arial" w:cs="Arial"/>
                <w:sz w:val="20"/>
                <w:szCs w:val="20"/>
              </w:rPr>
              <w:t> </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rPr>
              <w:br/>
            </w:r>
            <w:r w:rsidRPr="0093295F">
              <w:rPr>
                <w:rFonts w:ascii="Arial" w:hAnsi="Arial" w:cs="Arial"/>
                <w:bCs/>
                <w:sz w:val="20"/>
                <w:szCs w:val="20"/>
                <w:shd w:val="clear" w:color="auto" w:fill="FFFFFF"/>
              </w:rPr>
              <w:t>RPL37A</w:t>
            </w:r>
          </w:p>
        </w:tc>
        <w:tc>
          <w:tcPr>
            <w:tcW w:w="1417" w:type="dxa"/>
          </w:tcPr>
          <w:p w:rsidR="00E8456C" w:rsidRPr="00606C0E" w:rsidRDefault="00196367" w:rsidP="008E75A2">
            <w:pPr>
              <w:rPr>
                <w:rFonts w:ascii="Arial" w:hAnsi="Arial" w:cs="Arial"/>
                <w:sz w:val="20"/>
                <w:szCs w:val="20"/>
              </w:rPr>
            </w:pPr>
            <w:hyperlink r:id="rId16" w:history="1">
              <w:r w:rsidR="00E8456C" w:rsidRPr="00606C0E">
                <w:rPr>
                  <w:rStyle w:val="Hyperlink"/>
                  <w:rFonts w:ascii="Arial" w:hAnsi="Arial" w:cs="Arial"/>
                  <w:color w:val="auto"/>
                  <w:sz w:val="20"/>
                  <w:szCs w:val="20"/>
                  <w:u w:val="none"/>
                  <w:shd w:val="clear" w:color="auto" w:fill="FFFFFF"/>
                </w:rPr>
                <w:t>108,679,858-108,682,477</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This gene encodes a ribosomal protein that is a component of the 60S subunit of the ribosome.</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Fonts w:ascii="Arial" w:hAnsi="Arial" w:cs="Arial"/>
                <w:bCs/>
                <w:sz w:val="20"/>
                <w:szCs w:val="20"/>
                <w:shd w:val="clear" w:color="auto" w:fill="FFFFFF"/>
              </w:rPr>
              <w:t>IGFBP2</w:t>
            </w:r>
          </w:p>
        </w:tc>
        <w:tc>
          <w:tcPr>
            <w:tcW w:w="1417" w:type="dxa"/>
          </w:tcPr>
          <w:p w:rsidR="00E8456C" w:rsidRPr="00606C0E" w:rsidRDefault="00196367" w:rsidP="008E75A2">
            <w:pPr>
              <w:rPr>
                <w:rFonts w:ascii="Arial" w:hAnsi="Arial" w:cs="Arial"/>
                <w:sz w:val="20"/>
                <w:szCs w:val="20"/>
              </w:rPr>
            </w:pPr>
            <w:hyperlink r:id="rId17" w:history="1">
              <w:r w:rsidR="00E8456C" w:rsidRPr="00606C0E">
                <w:rPr>
                  <w:rStyle w:val="Hyperlink"/>
                  <w:rFonts w:ascii="Arial" w:hAnsi="Arial" w:cs="Arial"/>
                  <w:color w:val="auto"/>
                  <w:sz w:val="20"/>
                  <w:szCs w:val="20"/>
                  <w:u w:val="none"/>
                  <w:shd w:val="clear" w:color="auto" w:fill="FFFFFF"/>
                </w:rPr>
                <w:t>108,810,787-108,839,273</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Inhibits IGF-mediated growth and developmental rates</w:t>
            </w:r>
            <w:r w:rsidRPr="0093295F">
              <w:rPr>
                <w:rFonts w:ascii="Arial" w:hAnsi="Arial" w:cs="Arial"/>
                <w:sz w:val="20"/>
                <w:szCs w:val="20"/>
              </w:rPr>
              <w:t> by similarity</w:t>
            </w:r>
            <w:r w:rsidRPr="0093295F">
              <w:rPr>
                <w:rFonts w:ascii="Arial" w:hAnsi="Arial" w:cs="Arial"/>
                <w:sz w:val="20"/>
                <w:szCs w:val="20"/>
                <w:shd w:val="clear" w:color="auto" w:fill="FFFFFF"/>
              </w:rPr>
              <w:t>. IGF-binding proteins prolong the half-life of the IGFs and have been shown to either inhibit or stimulate the growth promoting effects of the IGFs on cell culture. They alter the interaction of IGFs with their cell surface receptors.</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rPr>
            </w:pPr>
            <w:r w:rsidRPr="0093295F">
              <w:rPr>
                <w:rStyle w:val="Strong"/>
                <w:rFonts w:ascii="Arial" w:hAnsi="Arial" w:cs="Arial"/>
                <w:b w:val="0"/>
                <w:sz w:val="20"/>
                <w:szCs w:val="20"/>
                <w:shd w:val="clear" w:color="auto" w:fill="FFFFFF"/>
              </w:rPr>
              <w:t>IGFBP5</w:t>
            </w:r>
          </w:p>
        </w:tc>
        <w:tc>
          <w:tcPr>
            <w:tcW w:w="1417" w:type="dxa"/>
          </w:tcPr>
          <w:p w:rsidR="00E8456C" w:rsidRPr="00606C0E" w:rsidRDefault="00196367" w:rsidP="008E75A2">
            <w:pPr>
              <w:rPr>
                <w:rFonts w:ascii="Arial" w:hAnsi="Arial" w:cs="Arial"/>
                <w:sz w:val="20"/>
                <w:szCs w:val="20"/>
              </w:rPr>
            </w:pPr>
            <w:hyperlink r:id="rId18" w:history="1">
              <w:r w:rsidR="00E8456C" w:rsidRPr="00606C0E">
                <w:rPr>
                  <w:rStyle w:val="Hyperlink"/>
                  <w:rFonts w:ascii="Arial" w:hAnsi="Arial" w:cs="Arial"/>
                  <w:color w:val="auto"/>
                  <w:sz w:val="20"/>
                  <w:szCs w:val="20"/>
                  <w:u w:val="none"/>
                  <w:shd w:val="clear" w:color="auto" w:fill="FFFFFF"/>
                </w:rPr>
                <w:t>108,851,172-108,854,511</w:t>
              </w:r>
            </w:hyperlink>
            <w:r w:rsidR="00E8456C" w:rsidRPr="00606C0E">
              <w:rPr>
                <w:rStyle w:val="apple-converted-space"/>
                <w:rFonts w:ascii="Arial" w:hAnsi="Arial" w:cs="Arial"/>
                <w:sz w:val="20"/>
                <w:szCs w:val="20"/>
                <w:shd w:val="clear" w:color="auto" w:fill="FFFFFF"/>
              </w:rPr>
              <w:t> </w:t>
            </w:r>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IGF-binding proteins prolong the half-life of the IGFs and have been shown to either inhibit or stimulate the growth promoting effects of the IGFs on cell culture. They alter the interaction of IGFs with their cell surface receptors.</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12</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6281991-</w:t>
            </w:r>
            <w:r w:rsidRPr="0093295F">
              <w:rPr>
                <w:rFonts w:ascii="Arial" w:hAnsi="Arial" w:cs="Arial"/>
                <w:sz w:val="20"/>
                <w:szCs w:val="20"/>
              </w:rPr>
              <w:lastRenderedPageBreak/>
              <w:t>6307016</w:t>
            </w:r>
          </w:p>
        </w:tc>
        <w:tc>
          <w:tcPr>
            <w:tcW w:w="1418" w:type="dxa"/>
          </w:tcPr>
          <w:p w:rsidR="00E8456C" w:rsidRPr="0093295F" w:rsidRDefault="00E8456C" w:rsidP="008E75A2">
            <w:pPr>
              <w:rPr>
                <w:rFonts w:ascii="Arial" w:hAnsi="Arial" w:cs="Arial"/>
                <w:sz w:val="20"/>
                <w:szCs w:val="20"/>
              </w:rPr>
            </w:pPr>
            <w:r w:rsidRPr="0093295F">
              <w:rPr>
                <w:rFonts w:ascii="Arial" w:hAnsi="Arial" w:cs="Arial"/>
                <w:sz w:val="20"/>
                <w:szCs w:val="20"/>
              </w:rPr>
              <w:lastRenderedPageBreak/>
              <w:t>NONE</w:t>
            </w:r>
          </w:p>
        </w:tc>
        <w:tc>
          <w:tcPr>
            <w:tcW w:w="1417" w:type="dxa"/>
          </w:tcPr>
          <w:p w:rsidR="00E8456C" w:rsidRPr="00606C0E" w:rsidRDefault="00E8456C" w:rsidP="008E75A2">
            <w:pPr>
              <w:rPr>
                <w:rFonts w:ascii="Arial" w:hAnsi="Arial" w:cs="Arial"/>
                <w:sz w:val="20"/>
                <w:szCs w:val="20"/>
              </w:rPr>
            </w:pPr>
            <w:r w:rsidRPr="00606C0E">
              <w:rPr>
                <w:rFonts w:ascii="Arial" w:hAnsi="Arial" w:cs="Arial"/>
                <w:sz w:val="20"/>
                <w:szCs w:val="20"/>
              </w:rPr>
              <w:t>N/A</w:t>
            </w:r>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rPr>
              <w:t>N/A</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lastRenderedPageBreak/>
              <w:t>15</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60424410-61035044</w:t>
            </w:r>
          </w:p>
        </w:tc>
        <w:tc>
          <w:tcPr>
            <w:tcW w:w="1418" w:type="dxa"/>
          </w:tcPr>
          <w:p w:rsidR="00E8456C" w:rsidRPr="0093295F" w:rsidRDefault="00E8456C" w:rsidP="008E75A2">
            <w:pPr>
              <w:rPr>
                <w:rFonts w:ascii="Arial" w:hAnsi="Arial" w:cs="Arial"/>
                <w:sz w:val="20"/>
                <w:szCs w:val="20"/>
              </w:rPr>
            </w:pPr>
            <w:r w:rsidRPr="0093295F">
              <w:rPr>
                <w:rFonts w:ascii="Arial" w:hAnsi="Arial" w:cs="Arial"/>
                <w:bCs/>
                <w:sz w:val="20"/>
                <w:szCs w:val="20"/>
                <w:shd w:val="clear" w:color="auto" w:fill="FFFFFF"/>
              </w:rPr>
              <w:t>KCNA4</w:t>
            </w:r>
          </w:p>
        </w:tc>
        <w:tc>
          <w:tcPr>
            <w:tcW w:w="1417" w:type="dxa"/>
          </w:tcPr>
          <w:p w:rsidR="00E8456C" w:rsidRPr="00606C0E" w:rsidRDefault="00196367" w:rsidP="008E75A2">
            <w:pPr>
              <w:rPr>
                <w:rFonts w:ascii="Arial" w:hAnsi="Arial" w:cs="Arial"/>
                <w:sz w:val="20"/>
                <w:szCs w:val="20"/>
              </w:rPr>
            </w:pPr>
            <w:hyperlink r:id="rId19" w:history="1">
              <w:r w:rsidR="00E8456C" w:rsidRPr="00606C0E">
                <w:rPr>
                  <w:rStyle w:val="Hyperlink"/>
                  <w:rFonts w:ascii="Arial" w:hAnsi="Arial" w:cs="Arial"/>
                  <w:color w:val="auto"/>
                  <w:sz w:val="20"/>
                  <w:szCs w:val="20"/>
                  <w:u w:val="none"/>
                  <w:shd w:val="clear" w:color="auto" w:fill="FFFFFF"/>
                </w:rPr>
                <w:t>60,436,517-60,443,987</w:t>
              </w:r>
            </w:hyperlink>
          </w:p>
        </w:tc>
        <w:tc>
          <w:tcPr>
            <w:tcW w:w="3889" w:type="dxa"/>
          </w:tcPr>
          <w:p w:rsidR="00E8456C" w:rsidRPr="0093295F" w:rsidRDefault="00E8456C" w:rsidP="008E75A2">
            <w:pPr>
              <w:rPr>
                <w:rFonts w:ascii="Arial" w:hAnsi="Arial" w:cs="Arial"/>
                <w:sz w:val="20"/>
                <w:szCs w:val="20"/>
              </w:rPr>
            </w:pPr>
            <w:r w:rsidRPr="0093295F">
              <w:rPr>
                <w:rFonts w:ascii="Arial" w:hAnsi="Arial" w:cs="Arial"/>
                <w:sz w:val="20"/>
                <w:szCs w:val="20"/>
                <w:shd w:val="clear" w:color="auto" w:fill="FFFFFF"/>
              </w:rPr>
              <w:t>Mediates the voltage-dependent potassium ion permeability of excitable membranes. Assuming opened or closed conformations in response to the voltage difference across the membrane, the protein forms a potassium-selective channel through which potassium ions may pass in accordance with their electrochemical gradient.</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bCs/>
                <w:sz w:val="20"/>
                <w:szCs w:val="20"/>
                <w:shd w:val="clear" w:color="auto" w:fill="FFFFFF"/>
              </w:rPr>
            </w:pPr>
            <w:r w:rsidRPr="0093295F">
              <w:rPr>
                <w:rFonts w:ascii="Arial" w:hAnsi="Arial" w:cs="Arial"/>
                <w:sz w:val="20"/>
                <w:szCs w:val="20"/>
                <w:shd w:val="clear" w:color="auto" w:fill="FFFFFF"/>
              </w:rPr>
              <w:t>LOC787432</w:t>
            </w:r>
          </w:p>
        </w:tc>
        <w:tc>
          <w:tcPr>
            <w:tcW w:w="1417" w:type="dxa"/>
          </w:tcPr>
          <w:p w:rsidR="00E8456C" w:rsidRPr="00606C0E" w:rsidRDefault="00196367" w:rsidP="008E75A2">
            <w:pPr>
              <w:rPr>
                <w:rFonts w:ascii="Arial" w:hAnsi="Arial" w:cs="Arial"/>
                <w:sz w:val="20"/>
                <w:szCs w:val="20"/>
              </w:rPr>
            </w:pPr>
            <w:hyperlink r:id="rId20" w:history="1">
              <w:r w:rsidR="00E8456C" w:rsidRPr="00606C0E">
                <w:rPr>
                  <w:rStyle w:val="apple-converted-space"/>
                  <w:rFonts w:ascii="Arial" w:hAnsi="Arial" w:cs="Arial"/>
                  <w:sz w:val="20"/>
                  <w:szCs w:val="20"/>
                  <w:shd w:val="clear" w:color="auto" w:fill="FFFFFF"/>
                </w:rPr>
                <w:t> </w:t>
              </w:r>
              <w:r w:rsidR="00E8456C" w:rsidRPr="00606C0E">
                <w:rPr>
                  <w:rStyle w:val="Hyperlink"/>
                  <w:rFonts w:ascii="Arial" w:hAnsi="Arial" w:cs="Arial"/>
                  <w:color w:val="auto"/>
                  <w:sz w:val="20"/>
                  <w:szCs w:val="20"/>
                  <w:u w:val="none"/>
                  <w:shd w:val="clear" w:color="auto" w:fill="FFFFFF"/>
                </w:rPr>
                <w:t>60,620,624-60,626,625</w:t>
              </w:r>
            </w:hyperlink>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 xml:space="preserve">Follicle stimulating hormone that regulates the development, growth, pubertal maturation, and reproductive processes of the body. </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sz w:val="20"/>
                <w:szCs w:val="20"/>
                <w:shd w:val="clear" w:color="auto" w:fill="FFFFFF"/>
              </w:rPr>
            </w:pPr>
            <w:r w:rsidRPr="0093295F">
              <w:rPr>
                <w:rFonts w:ascii="Arial" w:hAnsi="Arial" w:cs="Arial"/>
                <w:bCs/>
                <w:sz w:val="20"/>
                <w:szCs w:val="20"/>
                <w:shd w:val="clear" w:color="auto" w:fill="FFFFFF"/>
              </w:rPr>
              <w:t>FSHB</w:t>
            </w:r>
          </w:p>
        </w:tc>
        <w:tc>
          <w:tcPr>
            <w:tcW w:w="1417" w:type="dxa"/>
          </w:tcPr>
          <w:p w:rsidR="00E8456C" w:rsidRPr="00606C0E" w:rsidRDefault="00196367" w:rsidP="008E75A2">
            <w:pPr>
              <w:rPr>
                <w:rFonts w:ascii="Arial" w:hAnsi="Arial" w:cs="Arial"/>
                <w:sz w:val="20"/>
                <w:szCs w:val="20"/>
              </w:rPr>
            </w:pPr>
            <w:hyperlink r:id="rId21" w:history="1">
              <w:r w:rsidR="00E8456C" w:rsidRPr="00606C0E">
                <w:rPr>
                  <w:rStyle w:val="Hyperlink"/>
                  <w:rFonts w:ascii="Arial" w:hAnsi="Arial" w:cs="Arial"/>
                  <w:color w:val="auto"/>
                  <w:sz w:val="20"/>
                  <w:szCs w:val="20"/>
                  <w:u w:val="none"/>
                  <w:shd w:val="clear" w:color="auto" w:fill="FFFFFF"/>
                </w:rPr>
                <w:t>60,683,262-60,687,228</w:t>
              </w:r>
            </w:hyperlink>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Stimulates development of follicle and spermatogenesis in the reproductive organs.</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Fonts w:ascii="Arial" w:hAnsi="Arial" w:cs="Arial"/>
                <w:bCs/>
                <w:sz w:val="20"/>
                <w:szCs w:val="20"/>
                <w:shd w:val="clear" w:color="auto" w:fill="FFFFFF"/>
              </w:rPr>
            </w:pPr>
            <w:r w:rsidRPr="0093295F">
              <w:rPr>
                <w:rStyle w:val="Strong"/>
                <w:rFonts w:ascii="Arial" w:hAnsi="Arial" w:cs="Arial"/>
                <w:b w:val="0"/>
                <w:sz w:val="20"/>
                <w:szCs w:val="20"/>
                <w:shd w:val="clear" w:color="auto" w:fill="FFFFFF"/>
              </w:rPr>
              <w:t>ARL14EP</w:t>
            </w:r>
          </w:p>
        </w:tc>
        <w:tc>
          <w:tcPr>
            <w:tcW w:w="1417" w:type="dxa"/>
          </w:tcPr>
          <w:p w:rsidR="00E8456C" w:rsidRPr="00606C0E" w:rsidRDefault="00196367" w:rsidP="008E75A2">
            <w:pPr>
              <w:rPr>
                <w:rFonts w:ascii="Arial" w:hAnsi="Arial" w:cs="Arial"/>
                <w:sz w:val="20"/>
                <w:szCs w:val="20"/>
              </w:rPr>
            </w:pPr>
            <w:hyperlink r:id="rId22" w:history="1">
              <w:r w:rsidR="00E8456C" w:rsidRPr="00606C0E">
                <w:rPr>
                  <w:rStyle w:val="Hyperlink"/>
                  <w:rFonts w:ascii="Arial" w:hAnsi="Arial" w:cs="Arial"/>
                  <w:color w:val="auto"/>
                  <w:sz w:val="20"/>
                  <w:szCs w:val="20"/>
                  <w:u w:val="none"/>
                  <w:shd w:val="clear" w:color="auto" w:fill="FFFFFF"/>
                </w:rPr>
                <w:t>60,753,945-60,767,727</w:t>
              </w:r>
            </w:hyperlink>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 xml:space="preserve">Through its interaction with ARL14 and MYO1E, </w:t>
            </w:r>
            <w:r w:rsidRPr="0093295F">
              <w:rPr>
                <w:rStyle w:val="Strong"/>
                <w:rFonts w:ascii="Arial" w:hAnsi="Arial" w:cs="Arial"/>
                <w:b w:val="0"/>
                <w:sz w:val="20"/>
                <w:szCs w:val="20"/>
                <w:shd w:val="clear" w:color="auto" w:fill="FFFFFF"/>
              </w:rPr>
              <w:t>ARL14EP</w:t>
            </w:r>
            <w:r>
              <w:rPr>
                <w:rStyle w:val="Strong"/>
                <w:rFonts w:ascii="Arial" w:hAnsi="Arial" w:cs="Arial"/>
                <w:b w:val="0"/>
                <w:sz w:val="20"/>
                <w:szCs w:val="20"/>
                <w:shd w:val="clear" w:color="auto" w:fill="FFFFFF"/>
              </w:rPr>
              <w:t xml:space="preserve"> </w:t>
            </w:r>
            <w:r w:rsidRPr="0093295F">
              <w:rPr>
                <w:rFonts w:ascii="Arial" w:hAnsi="Arial" w:cs="Arial"/>
                <w:sz w:val="20"/>
                <w:szCs w:val="20"/>
                <w:shd w:val="clear" w:color="auto" w:fill="FFFFFF"/>
              </w:rPr>
              <w:t>may connect MHC class II-containing cytoplasmic vesicles to the actin n</w:t>
            </w:r>
            <w:r>
              <w:rPr>
                <w:rFonts w:ascii="Arial" w:hAnsi="Arial" w:cs="Arial"/>
                <w:sz w:val="20"/>
                <w:szCs w:val="20"/>
                <w:shd w:val="clear" w:color="auto" w:fill="FFFFFF"/>
              </w:rPr>
              <w:t>etwork allowing it to control</w:t>
            </w:r>
            <w:r w:rsidRPr="0093295F">
              <w:rPr>
                <w:rFonts w:ascii="Arial" w:hAnsi="Arial" w:cs="Arial"/>
                <w:sz w:val="20"/>
                <w:szCs w:val="20"/>
                <w:shd w:val="clear" w:color="auto" w:fill="FFFFFF"/>
              </w:rPr>
              <w:t xml:space="preserve"> the movement of these vesicles along the actin cytoskeleton in dendritic cells</w:t>
            </w:r>
          </w:p>
        </w:tc>
      </w:tr>
      <w:tr w:rsidR="00E8456C" w:rsidRPr="009171F9" w:rsidTr="008E75A2">
        <w:tc>
          <w:tcPr>
            <w:tcW w:w="1101" w:type="dxa"/>
          </w:tcPr>
          <w:p w:rsidR="00E8456C" w:rsidRPr="0093295F" w:rsidRDefault="00E8456C" w:rsidP="008E75A2">
            <w:pPr>
              <w:rPr>
                <w:rFonts w:ascii="Arial" w:hAnsi="Arial" w:cs="Arial"/>
                <w:sz w:val="20"/>
                <w:szCs w:val="20"/>
              </w:rPr>
            </w:pPr>
          </w:p>
        </w:tc>
        <w:tc>
          <w:tcPr>
            <w:tcW w:w="1417" w:type="dxa"/>
          </w:tcPr>
          <w:p w:rsidR="00E8456C" w:rsidRPr="0093295F" w:rsidRDefault="00E8456C" w:rsidP="008E75A2">
            <w:pPr>
              <w:rPr>
                <w:rFonts w:ascii="Arial" w:hAnsi="Arial" w:cs="Arial"/>
                <w:sz w:val="20"/>
                <w:szCs w:val="20"/>
              </w:rPr>
            </w:pPr>
          </w:p>
        </w:tc>
        <w:tc>
          <w:tcPr>
            <w:tcW w:w="1418" w:type="dxa"/>
          </w:tcPr>
          <w:p w:rsidR="00E8456C" w:rsidRPr="0093295F" w:rsidRDefault="00E8456C" w:rsidP="008E75A2">
            <w:pPr>
              <w:rPr>
                <w:rStyle w:val="Strong"/>
                <w:rFonts w:ascii="Arial" w:hAnsi="Arial" w:cs="Arial"/>
              </w:rPr>
            </w:pPr>
            <w:r w:rsidRPr="0093295F">
              <w:rPr>
                <w:rStyle w:val="Strong"/>
                <w:rFonts w:ascii="Arial" w:hAnsi="Arial" w:cs="Arial"/>
                <w:b w:val="0"/>
                <w:sz w:val="20"/>
                <w:szCs w:val="20"/>
                <w:shd w:val="clear" w:color="auto" w:fill="FFFFFF"/>
              </w:rPr>
              <w:t>MPPED2</w:t>
            </w:r>
          </w:p>
        </w:tc>
        <w:tc>
          <w:tcPr>
            <w:tcW w:w="1417" w:type="dxa"/>
          </w:tcPr>
          <w:p w:rsidR="00E8456C" w:rsidRPr="00606C0E" w:rsidRDefault="00196367" w:rsidP="008E75A2">
            <w:pPr>
              <w:rPr>
                <w:rFonts w:ascii="Arial" w:hAnsi="Arial" w:cs="Arial"/>
                <w:sz w:val="20"/>
                <w:szCs w:val="20"/>
              </w:rPr>
            </w:pPr>
            <w:hyperlink r:id="rId23" w:history="1">
              <w:r w:rsidR="00E8456C" w:rsidRPr="00606C0E">
                <w:rPr>
                  <w:rStyle w:val="Hyperlink"/>
                  <w:rFonts w:ascii="Arial" w:hAnsi="Arial" w:cs="Arial"/>
                  <w:color w:val="auto"/>
                  <w:sz w:val="20"/>
                  <w:szCs w:val="20"/>
                  <w:u w:val="none"/>
                  <w:shd w:val="clear" w:color="auto" w:fill="FFFFFF"/>
                </w:rPr>
                <w:t>60,867,597-61,077,511</w:t>
              </w:r>
            </w:hyperlink>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This gene likely encodes a metallophosphoesterase. The encoded protein may play a role a brain development.</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6</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66407840-66809119</w:t>
            </w:r>
          </w:p>
        </w:tc>
        <w:tc>
          <w:tcPr>
            <w:tcW w:w="1418" w:type="dxa"/>
          </w:tcPr>
          <w:p w:rsidR="00E8456C" w:rsidRPr="0093295F" w:rsidRDefault="00E8456C" w:rsidP="008E75A2">
            <w:pPr>
              <w:rPr>
                <w:rStyle w:val="Strong"/>
                <w:rFonts w:ascii="Arial" w:hAnsi="Arial" w:cs="Arial"/>
              </w:rPr>
            </w:pPr>
            <w:r w:rsidRPr="0093295F">
              <w:rPr>
                <w:rStyle w:val="Strong"/>
                <w:rFonts w:ascii="Arial" w:hAnsi="Arial" w:cs="Arial"/>
                <w:b w:val="0"/>
                <w:sz w:val="20"/>
                <w:szCs w:val="20"/>
                <w:shd w:val="clear" w:color="auto" w:fill="FFFFFF"/>
              </w:rPr>
              <w:t>None</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N/A</w:t>
            </w:r>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N/A</w:t>
            </w:r>
          </w:p>
        </w:tc>
      </w:tr>
      <w:tr w:rsidR="00E8456C" w:rsidRPr="009171F9" w:rsidTr="008E75A2">
        <w:tc>
          <w:tcPr>
            <w:tcW w:w="1101" w:type="dxa"/>
          </w:tcPr>
          <w:p w:rsidR="00E8456C" w:rsidRPr="0093295F" w:rsidRDefault="00E8456C" w:rsidP="008E75A2">
            <w:pPr>
              <w:rPr>
                <w:rFonts w:ascii="Arial" w:hAnsi="Arial" w:cs="Arial"/>
                <w:sz w:val="20"/>
                <w:szCs w:val="20"/>
              </w:rPr>
            </w:pPr>
            <w:r w:rsidRPr="0093295F">
              <w:rPr>
                <w:rFonts w:ascii="Arial" w:hAnsi="Arial" w:cs="Arial"/>
                <w:sz w:val="20"/>
                <w:szCs w:val="20"/>
              </w:rPr>
              <w:t>10</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No haploblock</w:t>
            </w:r>
          </w:p>
        </w:tc>
        <w:tc>
          <w:tcPr>
            <w:tcW w:w="1418" w:type="dxa"/>
          </w:tcPr>
          <w:p w:rsidR="00E8456C" w:rsidRPr="0093295F" w:rsidRDefault="00E8456C" w:rsidP="008E75A2">
            <w:pPr>
              <w:rPr>
                <w:rStyle w:val="Strong"/>
                <w:rFonts w:ascii="Arial" w:hAnsi="Arial" w:cs="Arial"/>
              </w:rPr>
            </w:pPr>
            <w:r w:rsidRPr="0093295F">
              <w:rPr>
                <w:rStyle w:val="Strong"/>
                <w:rFonts w:ascii="Arial" w:hAnsi="Arial" w:cs="Arial"/>
                <w:b w:val="0"/>
                <w:sz w:val="20"/>
                <w:szCs w:val="20"/>
                <w:shd w:val="clear" w:color="auto" w:fill="FFFFFF"/>
              </w:rPr>
              <w:t>N/A</w:t>
            </w:r>
          </w:p>
        </w:tc>
        <w:tc>
          <w:tcPr>
            <w:tcW w:w="1417" w:type="dxa"/>
          </w:tcPr>
          <w:p w:rsidR="00E8456C" w:rsidRPr="0093295F" w:rsidRDefault="00E8456C" w:rsidP="008E75A2">
            <w:pPr>
              <w:rPr>
                <w:rFonts w:ascii="Arial" w:hAnsi="Arial" w:cs="Arial"/>
                <w:sz w:val="20"/>
                <w:szCs w:val="20"/>
              </w:rPr>
            </w:pPr>
            <w:r w:rsidRPr="0093295F">
              <w:rPr>
                <w:rFonts w:ascii="Arial" w:hAnsi="Arial" w:cs="Arial"/>
                <w:sz w:val="20"/>
                <w:szCs w:val="20"/>
              </w:rPr>
              <w:t>N/A</w:t>
            </w:r>
          </w:p>
        </w:tc>
        <w:tc>
          <w:tcPr>
            <w:tcW w:w="3889" w:type="dxa"/>
          </w:tcPr>
          <w:p w:rsidR="00E8456C" w:rsidRPr="0093295F" w:rsidRDefault="00E8456C" w:rsidP="008E75A2">
            <w:pPr>
              <w:rPr>
                <w:rFonts w:ascii="Arial" w:hAnsi="Arial" w:cs="Arial"/>
                <w:sz w:val="20"/>
                <w:szCs w:val="20"/>
                <w:shd w:val="clear" w:color="auto" w:fill="FFFFFF"/>
              </w:rPr>
            </w:pPr>
            <w:r w:rsidRPr="0093295F">
              <w:rPr>
                <w:rFonts w:ascii="Arial" w:hAnsi="Arial" w:cs="Arial"/>
                <w:sz w:val="20"/>
                <w:szCs w:val="20"/>
                <w:shd w:val="clear" w:color="auto" w:fill="FFFFFF"/>
              </w:rPr>
              <w:t>N/A</w:t>
            </w:r>
          </w:p>
        </w:tc>
      </w:tr>
    </w:tbl>
    <w:p w:rsidR="00E8456C" w:rsidRPr="009171F9" w:rsidRDefault="00E8456C" w:rsidP="00E8456C">
      <w:pPr>
        <w:rPr>
          <w:rFonts w:ascii="Arial" w:hAnsi="Arial" w:cs="Arial"/>
        </w:rPr>
      </w:pPr>
    </w:p>
    <w:p w:rsidR="00E8456C" w:rsidRDefault="00E8456C" w:rsidP="00E8456C"/>
    <w:p w:rsidR="00083C6D" w:rsidRDefault="00083C6D"/>
    <w:sectPr w:rsidR="00083C6D" w:rsidSect="00822A9B">
      <w:footerReference w:type="default" r:id="rId24"/>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367" w:rsidRDefault="00196367" w:rsidP="00196367">
      <w:pPr>
        <w:spacing w:after="0" w:line="240" w:lineRule="auto"/>
      </w:pPr>
      <w:r>
        <w:separator/>
      </w:r>
    </w:p>
  </w:endnote>
  <w:endnote w:type="continuationSeparator" w:id="1">
    <w:p w:rsidR="00196367" w:rsidRDefault="00196367" w:rsidP="00196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C5" w:rsidRDefault="00196367">
    <w:pPr>
      <w:pStyle w:val="Footer"/>
      <w:jc w:val="right"/>
    </w:pPr>
    <w:r>
      <w:fldChar w:fldCharType="begin"/>
    </w:r>
    <w:r w:rsidR="00E8456C">
      <w:instrText xml:space="preserve"> PAGE   \* MERGEFORMAT </w:instrText>
    </w:r>
    <w:r>
      <w:fldChar w:fldCharType="separate"/>
    </w:r>
    <w:r w:rsidR="004059DE">
      <w:rPr>
        <w:noProof/>
      </w:rPr>
      <w:t>1</w:t>
    </w:r>
    <w:r>
      <w:fldChar w:fldCharType="end"/>
    </w:r>
  </w:p>
  <w:p w:rsidR="009913C5" w:rsidRDefault="00405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367" w:rsidRDefault="00196367" w:rsidP="00196367">
      <w:pPr>
        <w:spacing w:after="0" w:line="240" w:lineRule="auto"/>
      </w:pPr>
      <w:r>
        <w:separator/>
      </w:r>
    </w:p>
  </w:footnote>
  <w:footnote w:type="continuationSeparator" w:id="1">
    <w:p w:rsidR="00196367" w:rsidRDefault="00196367" w:rsidP="001963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8456C"/>
    <w:rsid w:val="00083C6D"/>
    <w:rsid w:val="00196367"/>
    <w:rsid w:val="004059DE"/>
    <w:rsid w:val="007979E4"/>
    <w:rsid w:val="00CD0E75"/>
    <w:rsid w:val="00E8456C"/>
    <w:rsid w:val="00FD706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8456C"/>
    <w:rPr>
      <w:rFonts w:cs="Times New Roman"/>
    </w:rPr>
  </w:style>
  <w:style w:type="character" w:styleId="Hyperlink">
    <w:name w:val="Hyperlink"/>
    <w:basedOn w:val="DefaultParagraphFont"/>
    <w:uiPriority w:val="99"/>
    <w:rsid w:val="00E8456C"/>
    <w:rPr>
      <w:rFonts w:cs="Times New Roman"/>
      <w:color w:val="0000FF"/>
      <w:u w:val="single"/>
    </w:rPr>
  </w:style>
  <w:style w:type="paragraph" w:styleId="Footer">
    <w:name w:val="footer"/>
    <w:basedOn w:val="Normal"/>
    <w:link w:val="FooterChar"/>
    <w:uiPriority w:val="99"/>
    <w:rsid w:val="00E8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6C"/>
    <w:rPr>
      <w:rFonts w:ascii="Calibri" w:eastAsia="Calibri" w:hAnsi="Calibri" w:cs="Times New Roman"/>
    </w:rPr>
  </w:style>
  <w:style w:type="character" w:styleId="Strong">
    <w:name w:val="Strong"/>
    <w:basedOn w:val="DefaultParagraphFont"/>
    <w:uiPriority w:val="99"/>
    <w:qFormat/>
    <w:rsid w:val="00E8456C"/>
    <w:rPr>
      <w:rFonts w:cs="Times New Roman"/>
      <w:b/>
      <w:bCs/>
    </w:rPr>
  </w:style>
  <w:style w:type="character" w:styleId="LineNumber">
    <w:name w:val="line number"/>
    <w:basedOn w:val="DefaultParagraphFont"/>
    <w:uiPriority w:val="99"/>
    <w:semiHidden/>
    <w:unhideWhenUsed/>
    <w:rsid w:val="00E845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n2011.archive.ensembl.org/Bos_taurus/Location/View?db=core;g=ENSBTAG00000011268;r=14:72195056-72229443;t=ENSBTAT00000045778" TargetMode="External"/><Relationship Id="rId13" Type="http://schemas.openxmlformats.org/officeDocument/2006/relationships/hyperlink" Target="http://jun2011.archive.ensembl.org/Bos_taurus/Location/View?db=core;g=ENSBTAG00000003238;r=4:25059437-25135467;t=ENSBTAT00000004198" TargetMode="External"/><Relationship Id="rId18" Type="http://schemas.openxmlformats.org/officeDocument/2006/relationships/hyperlink" Target="http://jun2011.archive.ensembl.org/Bos_taurus/Location/View?db=core;g=ENSBTAG00000007062;r=2:108851172-108854511;t=ENSBTAT0000000928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jun2011.archive.ensembl.org/Bos_taurus/Location/View?db=core;g=ENSBTAG00000010889;r=15:60683262-60687228" TargetMode="External"/><Relationship Id="rId7" Type="http://schemas.openxmlformats.org/officeDocument/2006/relationships/hyperlink" Target="http://jun2011.archive.ensembl.org/Bos_taurus/Location/View?db=core;g=ENSBTAG00000039968;r=14:72033027-72105636;t=ENSBTAT00000028656" TargetMode="External"/><Relationship Id="rId12" Type="http://schemas.openxmlformats.org/officeDocument/2006/relationships/hyperlink" Target="http://jun2011.archive.ensembl.org/Bos_taurus/Location/View?db=core;g=ENSBTAG00000034154;r=4:24807121-25004482" TargetMode="External"/><Relationship Id="rId17" Type="http://schemas.openxmlformats.org/officeDocument/2006/relationships/hyperlink" Target="http://jun2011.archive.ensembl.org/Bos_taurus/Location/View?db=core;g=ENSBTAG00000005596;r=2:108810787-108839273;t=ENSBTAT0000000734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un2011.archive.ensembl.org/Bos_taurus/Location/View?db=core;g=ENSBTAG00000003846;r=2:108679858-108682477;t=ENSBTAT00000005015" TargetMode="External"/><Relationship Id="rId20" Type="http://schemas.openxmlformats.org/officeDocument/2006/relationships/hyperlink" Target="http://jun2011.archive.ensembl.org/Bos_taurus/Location/View?db=core;g=ENSBTAG00000039236;r=15:60620624-60626625;t=ENSBTAT00000052558" TargetMode="External"/><Relationship Id="rId1" Type="http://schemas.openxmlformats.org/officeDocument/2006/relationships/styles" Target="styles.xml"/><Relationship Id="rId6" Type="http://schemas.openxmlformats.org/officeDocument/2006/relationships/hyperlink" Target="http://jun2011.archive.ensembl.org/Bos_taurus/Location/View?db=core;g=ENSBTAG00000032301;r=14:71722604-71871605;t=ENSBTAT00000045797" TargetMode="External"/><Relationship Id="rId11" Type="http://schemas.openxmlformats.org/officeDocument/2006/relationships/hyperlink" Target="http://jun2011.archive.ensembl.org/Bos_taurus/Location/View?db=core;g=ENSBTAG00000034140;r=10:12599062-12690387;t=ENSBTAT00000036967"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jun2011.archive.ensembl.org/Bos_taurus/Location/View?db=core;g=ENSBTAG00000003843;r=2:108615915-108666059;t=ENSBTAT00000005013" TargetMode="External"/><Relationship Id="rId23" Type="http://schemas.openxmlformats.org/officeDocument/2006/relationships/hyperlink" Target="http://jun2011.archive.ensembl.org/Bos_taurus/Location/View?db=core;g=ENSBTAG00000020956;r=15:60867597-61077511" TargetMode="External"/><Relationship Id="rId10" Type="http://schemas.openxmlformats.org/officeDocument/2006/relationships/hyperlink" Target="http://jun2011.archive.ensembl.org/Bos_taurus/Location/View?db=core;g=ENSBTAG00000018959;r=10:12568783-12588033;t=ENSBTAT00000025235" TargetMode="External"/><Relationship Id="rId19" Type="http://schemas.openxmlformats.org/officeDocument/2006/relationships/hyperlink" Target="http://jun2011.archive.ensembl.org/Bos_taurus/Location/View?db=core;g=ENSBTAG00000020793;r=15:60436517-60443987;t=ENSBTAT00000027710" TargetMode="External"/><Relationship Id="rId4" Type="http://schemas.openxmlformats.org/officeDocument/2006/relationships/footnotes" Target="footnotes.xml"/><Relationship Id="rId9" Type="http://schemas.openxmlformats.org/officeDocument/2006/relationships/hyperlink" Target="http://jun2011.archive.ensembl.org/Bos_taurus/Location/View?db=core;g=ENSBTAG00000012433;r=16:74792846-74895655;t=ENSBTAT00000016502" TargetMode="External"/><Relationship Id="rId14" Type="http://schemas.openxmlformats.org/officeDocument/2006/relationships/hyperlink" Target="http://jun2011.archive.ensembl.org/Bos_taurus/Location/View?db=core;g=ENSBTAG00000016183;r=2:108258480-108284436;t=ENSBTAT00000038261" TargetMode="External"/><Relationship Id="rId22" Type="http://schemas.openxmlformats.org/officeDocument/2006/relationships/hyperlink" Target="http://jun2011.archive.ensembl.org/Bos_taurus/Location/View?db=core;g=ENSBTAG00000012417;r=15:60753945-60767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Company>Microsoft</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deirdre.purfield</dc:creator>
  <cp:lastModifiedBy>deirdre.purfield</cp:lastModifiedBy>
  <cp:revision>2</cp:revision>
  <dcterms:created xsi:type="dcterms:W3CDTF">2013-06-14T18:32:00Z</dcterms:created>
  <dcterms:modified xsi:type="dcterms:W3CDTF">2013-06-27T16:12:00Z</dcterms:modified>
</cp:coreProperties>
</file>