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B" w:rsidRDefault="0072133B" w:rsidP="001503B6">
      <w:pPr>
        <w:spacing w:before="240"/>
        <w:jc w:val="both"/>
        <w:rPr>
          <w:szCs w:val="24"/>
        </w:rPr>
      </w:pPr>
      <w:r>
        <w:rPr>
          <w:b/>
          <w:szCs w:val="24"/>
        </w:rPr>
        <w:t xml:space="preserve">Supplementary Table </w:t>
      </w:r>
      <w:r w:rsidR="0021019F">
        <w:rPr>
          <w:b/>
          <w:szCs w:val="24"/>
        </w:rPr>
        <w:t>S</w:t>
      </w:r>
      <w:r w:rsidR="00FF4721">
        <w:rPr>
          <w:b/>
          <w:szCs w:val="24"/>
        </w:rPr>
        <w:t>3</w:t>
      </w:r>
      <w:r>
        <w:rPr>
          <w:b/>
          <w:szCs w:val="24"/>
        </w:rPr>
        <w:t xml:space="preserve">. </w:t>
      </w:r>
      <w:r w:rsidRPr="0072133B">
        <w:rPr>
          <w:szCs w:val="24"/>
        </w:rPr>
        <w:t>Heritability estimates (standard error in parenthesis) for fertility traits</w:t>
      </w:r>
      <w:r w:rsidR="007F2B2F" w:rsidRPr="00EC137D">
        <w:rPr>
          <w:vertAlign w:val="superscript"/>
        </w:rPr>
        <w:t>†</w:t>
      </w:r>
      <w:r w:rsidRPr="0072133B">
        <w:rPr>
          <w:szCs w:val="24"/>
        </w:rPr>
        <w:t xml:space="preserve"> in </w:t>
      </w:r>
      <w:r w:rsidR="005866BC">
        <w:rPr>
          <w:szCs w:val="24"/>
        </w:rPr>
        <w:t xml:space="preserve">beef </w:t>
      </w:r>
      <w:r w:rsidRPr="0072133B">
        <w:rPr>
          <w:szCs w:val="24"/>
        </w:rPr>
        <w:t>cows.</w:t>
      </w:r>
    </w:p>
    <w:tbl>
      <w:tblPr>
        <w:tblW w:w="14420" w:type="dxa"/>
        <w:tblInd w:w="108" w:type="dxa"/>
        <w:tblLook w:val="04A0"/>
      </w:tblPr>
      <w:tblGrid>
        <w:gridCol w:w="851"/>
        <w:gridCol w:w="992"/>
        <w:gridCol w:w="992"/>
        <w:gridCol w:w="993"/>
        <w:gridCol w:w="894"/>
        <w:gridCol w:w="807"/>
        <w:gridCol w:w="1275"/>
        <w:gridCol w:w="1252"/>
        <w:gridCol w:w="2156"/>
        <w:gridCol w:w="1236"/>
        <w:gridCol w:w="2972"/>
      </w:tblGrid>
      <w:tr w:rsidR="00ED67FC" w:rsidRPr="00544EB4" w:rsidTr="00FF472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ED67FC">
              <w:rPr>
                <w:snapToGrid/>
                <w:sz w:val="20"/>
                <w:lang w:val="en-IE" w:eastAsia="en-IE"/>
              </w:rPr>
              <w:t>AFO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AFC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ED67FC">
              <w:rPr>
                <w:snapToGrid/>
                <w:sz w:val="20"/>
                <w:lang w:val="en-IE" w:eastAsia="en-IE"/>
              </w:rPr>
              <w:t>C</w:t>
            </w:r>
            <w:r w:rsidRPr="00544EB4">
              <w:rPr>
                <w:snapToGrid/>
                <w:sz w:val="20"/>
                <w:lang w:val="en-IE" w:eastAsia="en-IE"/>
              </w:rPr>
              <w:t>FS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CIV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CCI/DO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>
              <w:rPr>
                <w:snapToGrid/>
                <w:sz w:val="20"/>
                <w:lang w:val="en-IE" w:eastAsia="en-IE"/>
              </w:rPr>
              <w:t>DtC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Calving rate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Parity</w:t>
            </w:r>
            <w:r w:rsidR="007F2B2F">
              <w:rPr>
                <w:vertAlign w:val="superscript"/>
              </w:rPr>
              <w:t>‡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Breed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Population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Reference</w:t>
            </w:r>
          </w:p>
        </w:tc>
      </w:tr>
      <w:tr w:rsidR="00ED67FC" w:rsidRPr="00544EB4" w:rsidTr="00FF472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0.31 (0.016)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0.02 (0.004)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0.008 (0.003)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7F2B2F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>
              <w:rPr>
                <w:snapToGrid/>
                <w:sz w:val="20"/>
                <w:lang w:val="en-IE" w:eastAsia="en-IE"/>
              </w:rPr>
              <w:t>M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Multiple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Ireland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Berry and Evans (2013)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0.04 (0.01)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Canchim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Brazil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Buzanskas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et al. (2010)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0.036 (0.007)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Angus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Australia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Donoghue et al. (2004)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Nelore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Brazil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Forni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and Albuquerque (2005)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1 &amp; 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Austurina</w:t>
            </w:r>
            <w:proofErr w:type="spellEnd"/>
            <w:r w:rsidRPr="00544EB4">
              <w:rPr>
                <w:snapToGrid/>
                <w:sz w:val="20"/>
                <w:lang w:val="en-IE" w:eastAsia="en-IE"/>
              </w:rPr>
              <w:t xml:space="preserve"> de los </w:t>
            </w:r>
            <w:proofErr w:type="spellStart"/>
            <w:r w:rsidRPr="00544EB4">
              <w:rPr>
                <w:snapToGrid/>
                <w:sz w:val="20"/>
                <w:lang w:val="en-IE" w:eastAsia="en-IE"/>
              </w:rPr>
              <w:t>Valles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Spain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Goyache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et al. (2005)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107E4A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>
              <w:rPr>
                <w:snapToGrid/>
                <w:sz w:val="20"/>
                <w:lang w:val="en-IE" w:eastAsia="en-IE"/>
              </w:rPr>
              <w:t>≥</w:t>
            </w:r>
            <w:r w:rsidR="00ED67FC" w:rsidRPr="00544EB4">
              <w:rPr>
                <w:snapToGrid/>
                <w:sz w:val="20"/>
                <w:lang w:val="en-IE" w:eastAsia="en-IE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Austurina</w:t>
            </w:r>
            <w:proofErr w:type="spellEnd"/>
            <w:r w:rsidRPr="00544EB4">
              <w:rPr>
                <w:snapToGrid/>
                <w:sz w:val="20"/>
                <w:lang w:val="en-IE" w:eastAsia="en-IE"/>
              </w:rPr>
              <w:t xml:space="preserve"> de los </w:t>
            </w:r>
            <w:proofErr w:type="spellStart"/>
            <w:r w:rsidRPr="00544EB4">
              <w:rPr>
                <w:snapToGrid/>
                <w:sz w:val="20"/>
                <w:lang w:val="en-IE" w:eastAsia="en-IE"/>
              </w:rPr>
              <w:t>Valles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Spain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Goyache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et al. (2005)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0.106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all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Austurina</w:t>
            </w:r>
            <w:proofErr w:type="spellEnd"/>
            <w:r w:rsidRPr="00544EB4">
              <w:rPr>
                <w:snapToGrid/>
                <w:sz w:val="20"/>
                <w:lang w:val="en-IE" w:eastAsia="en-IE"/>
              </w:rPr>
              <w:t xml:space="preserve"> de los </w:t>
            </w:r>
            <w:proofErr w:type="spellStart"/>
            <w:r w:rsidRPr="00544EB4">
              <w:rPr>
                <w:snapToGrid/>
                <w:sz w:val="20"/>
                <w:lang w:val="en-IE" w:eastAsia="en-IE"/>
              </w:rPr>
              <w:t>Valles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Spain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Goyache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et al. (2005)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0.235 (0.018)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0.125 (0.02)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7F2B2F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>
              <w:rPr>
                <w:snapToGrid/>
                <w:sz w:val="20"/>
                <w:lang w:val="en-IE" w:eastAsia="en-IE"/>
              </w:rPr>
              <w:t>M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Austurina</w:t>
            </w:r>
            <w:proofErr w:type="spellEnd"/>
            <w:r w:rsidRPr="00544EB4">
              <w:rPr>
                <w:snapToGrid/>
                <w:sz w:val="20"/>
                <w:lang w:val="en-IE" w:eastAsia="en-IE"/>
              </w:rPr>
              <w:t xml:space="preserve"> de los </w:t>
            </w:r>
            <w:proofErr w:type="spellStart"/>
            <w:r w:rsidRPr="00544EB4">
              <w:rPr>
                <w:snapToGrid/>
                <w:sz w:val="20"/>
                <w:lang w:val="en-IE" w:eastAsia="en-IE"/>
              </w:rPr>
              <w:t>Valles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Spain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Gutierrez et al. (2002)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0.121 (0.013)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Austurina</w:t>
            </w:r>
            <w:proofErr w:type="spellEnd"/>
            <w:r w:rsidRPr="00544EB4">
              <w:rPr>
                <w:snapToGrid/>
                <w:sz w:val="20"/>
                <w:lang w:val="en-IE" w:eastAsia="en-IE"/>
              </w:rPr>
              <w:t xml:space="preserve"> de los </w:t>
            </w:r>
            <w:proofErr w:type="spellStart"/>
            <w:r w:rsidRPr="00544EB4">
              <w:rPr>
                <w:snapToGrid/>
                <w:sz w:val="20"/>
                <w:lang w:val="en-IE" w:eastAsia="en-IE"/>
              </w:rPr>
              <w:t>Valles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Spain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Gutierrez et al. (2007)</w:t>
            </w:r>
          </w:p>
        </w:tc>
      </w:tr>
      <w:tr w:rsidR="00ED67FC" w:rsidRPr="00544EB4" w:rsidTr="00107E4A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All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Angus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Australia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Johnston and Bunter (1996)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0.31 (0.05)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0.11 (0.04)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7F2B2F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>
              <w:rPr>
                <w:snapToGrid/>
                <w:sz w:val="20"/>
                <w:lang w:val="en-IE" w:eastAsia="en-IE"/>
              </w:rPr>
              <w:t>M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Angus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New Zealand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Morris et al. (2000)</w:t>
            </w:r>
          </w:p>
        </w:tc>
      </w:tr>
      <w:tr w:rsidR="00ED67FC" w:rsidRPr="00544EB4" w:rsidTr="00107E4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0.01 (0.005)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Charolais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France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Phocas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(2009)</w:t>
            </w:r>
          </w:p>
        </w:tc>
      </w:tr>
      <w:tr w:rsidR="00ED67FC" w:rsidRPr="00544EB4" w:rsidTr="00107E4A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0.2</w:t>
            </w:r>
            <w:r>
              <w:rPr>
                <w:snapToGrid/>
                <w:sz w:val="20"/>
                <w:lang w:val="en-IE" w:eastAsia="en-IE"/>
              </w:rPr>
              <w:t>0</w:t>
            </w:r>
            <w:r w:rsidRPr="00544EB4">
              <w:rPr>
                <w:snapToGrid/>
                <w:sz w:val="20"/>
                <w:lang w:val="en-IE" w:eastAsia="en-IE"/>
              </w:rPr>
              <w:t xml:space="preserve"> to 0.31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107E4A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>
              <w:rPr>
                <w:snapToGrid/>
                <w:sz w:val="20"/>
                <w:lang w:val="en-IE" w:eastAsia="en-IE"/>
              </w:rPr>
              <w:t>0</w:t>
            </w:r>
            <w:r w:rsidR="00ED67FC" w:rsidRPr="00544EB4">
              <w:rPr>
                <w:snapToGrid/>
                <w:sz w:val="20"/>
                <w:lang w:val="en-IE" w:eastAsia="en-IE"/>
              </w:rPr>
              <w:t>.37 to 0.42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1, 2, 3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r w:rsidRPr="00544EB4">
              <w:rPr>
                <w:snapToGrid/>
                <w:sz w:val="20"/>
                <w:lang w:val="en-IE" w:eastAsia="en-IE"/>
              </w:rPr>
              <w:t>Angus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ED67FC">
            <w:pPr>
              <w:widowControl/>
              <w:jc w:val="center"/>
              <w:rPr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snapToGrid/>
                <w:sz w:val="20"/>
                <w:lang w:val="en-IE" w:eastAsia="en-IE"/>
              </w:rPr>
              <w:t>Urguary</w:t>
            </w:r>
            <w:proofErr w:type="spellEnd"/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FC" w:rsidRPr="00544EB4" w:rsidRDefault="00ED67FC" w:rsidP="00544EB4">
            <w:pPr>
              <w:widowControl/>
              <w:rPr>
                <w:rFonts w:ascii="Arial" w:hAnsi="Arial" w:cs="Arial"/>
                <w:snapToGrid/>
                <w:sz w:val="20"/>
                <w:lang w:val="en-IE" w:eastAsia="en-IE"/>
              </w:rPr>
            </w:pPr>
            <w:proofErr w:type="spellStart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>Urioste</w:t>
            </w:r>
            <w:proofErr w:type="spellEnd"/>
            <w:r w:rsidRPr="00544EB4">
              <w:rPr>
                <w:rFonts w:ascii="Arial" w:hAnsi="Arial" w:cs="Arial"/>
                <w:snapToGrid/>
                <w:sz w:val="20"/>
                <w:lang w:val="en-IE" w:eastAsia="en-IE"/>
              </w:rPr>
              <w:t xml:space="preserve"> et al. (2007)</w:t>
            </w:r>
          </w:p>
        </w:tc>
      </w:tr>
    </w:tbl>
    <w:p w:rsidR="00ED67FC" w:rsidRPr="00ED67FC" w:rsidRDefault="007F2B2F" w:rsidP="00ED67FC">
      <w:pPr>
        <w:spacing w:before="240"/>
        <w:jc w:val="both"/>
        <w:rPr>
          <w:sz w:val="20"/>
        </w:rPr>
      </w:pPr>
      <w:r w:rsidRPr="00EC137D">
        <w:rPr>
          <w:vertAlign w:val="superscript"/>
        </w:rPr>
        <w:t>†</w:t>
      </w:r>
      <w:r w:rsidR="00544EB4" w:rsidRPr="00ED67FC">
        <w:rPr>
          <w:sz w:val="20"/>
        </w:rPr>
        <w:t>AF</w:t>
      </w:r>
      <w:r w:rsidR="00317204" w:rsidRPr="00ED67FC">
        <w:rPr>
          <w:sz w:val="20"/>
        </w:rPr>
        <w:t xml:space="preserve">O </w:t>
      </w:r>
      <w:r w:rsidR="0072133B" w:rsidRPr="00ED67FC">
        <w:rPr>
          <w:sz w:val="20"/>
        </w:rPr>
        <w:t xml:space="preserve">= </w:t>
      </w:r>
      <w:r w:rsidR="00544EB4" w:rsidRPr="00ED67FC">
        <w:rPr>
          <w:sz w:val="20"/>
        </w:rPr>
        <w:t xml:space="preserve">age at first </w:t>
      </w:r>
      <w:proofErr w:type="spellStart"/>
      <w:r w:rsidR="00544EB4" w:rsidRPr="00ED67FC">
        <w:rPr>
          <w:sz w:val="20"/>
        </w:rPr>
        <w:t>oestrus</w:t>
      </w:r>
      <w:proofErr w:type="spellEnd"/>
      <w:r w:rsidR="0072133B" w:rsidRPr="00ED67FC">
        <w:rPr>
          <w:sz w:val="20"/>
        </w:rPr>
        <w:t xml:space="preserve">; </w:t>
      </w:r>
      <w:r w:rsidR="00ED67FC" w:rsidRPr="00ED67FC">
        <w:rPr>
          <w:sz w:val="20"/>
        </w:rPr>
        <w:t xml:space="preserve">AFC = age at first calving; CFS = interval from calving to first service; CIV = calving interval; CCI/DO = calving to conception interval/days open; </w:t>
      </w:r>
      <w:proofErr w:type="spellStart"/>
      <w:r w:rsidR="00ED67FC" w:rsidRPr="00ED67FC">
        <w:rPr>
          <w:sz w:val="20"/>
        </w:rPr>
        <w:t>DtC</w:t>
      </w:r>
      <w:proofErr w:type="spellEnd"/>
      <w:r w:rsidR="00ED67FC" w:rsidRPr="00ED67FC">
        <w:rPr>
          <w:sz w:val="20"/>
        </w:rPr>
        <w:t xml:space="preserve"> = days to calving</w:t>
      </w:r>
    </w:p>
    <w:p w:rsidR="0072133B" w:rsidRPr="00ED67FC" w:rsidRDefault="004210D1" w:rsidP="001503B6">
      <w:pPr>
        <w:spacing w:before="240"/>
        <w:jc w:val="both"/>
        <w:rPr>
          <w:sz w:val="20"/>
        </w:rPr>
      </w:pPr>
      <w:r w:rsidRPr="00ED67FC">
        <w:rPr>
          <w:sz w:val="20"/>
          <w:vertAlign w:val="superscript"/>
        </w:rPr>
        <w:t xml:space="preserve"> </w:t>
      </w:r>
      <w:r w:rsidR="007F2B2F">
        <w:rPr>
          <w:vertAlign w:val="superscript"/>
        </w:rPr>
        <w:t>‡</w:t>
      </w:r>
      <w:r w:rsidR="00A019D5" w:rsidRPr="00ED67FC">
        <w:rPr>
          <w:sz w:val="20"/>
        </w:rPr>
        <w:t>M= multiple parities</w:t>
      </w:r>
    </w:p>
    <w:p w:rsidR="00ED67FC" w:rsidRDefault="00ED67FC" w:rsidP="00ED67FC">
      <w:pPr>
        <w:spacing w:before="240"/>
        <w:jc w:val="both"/>
        <w:rPr>
          <w:b/>
          <w:szCs w:val="24"/>
        </w:rPr>
      </w:pPr>
    </w:p>
    <w:p w:rsidR="0089594F" w:rsidRDefault="0089594F" w:rsidP="001503B6">
      <w:pPr>
        <w:spacing w:before="240"/>
        <w:jc w:val="both"/>
        <w:rPr>
          <w:b/>
          <w:szCs w:val="24"/>
        </w:rPr>
        <w:sectPr w:rsidR="0089594F" w:rsidSect="0072133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B14E6" w:rsidRPr="008B14E6" w:rsidRDefault="0072133B" w:rsidP="001503B6">
      <w:pPr>
        <w:spacing w:before="240"/>
        <w:jc w:val="both"/>
        <w:rPr>
          <w:b/>
          <w:szCs w:val="24"/>
        </w:rPr>
      </w:pPr>
      <w:r>
        <w:rPr>
          <w:b/>
          <w:szCs w:val="24"/>
        </w:rPr>
        <w:lastRenderedPageBreak/>
        <w:t>References</w:t>
      </w:r>
      <w:r w:rsidR="008B14E6" w:rsidRPr="008B14E6">
        <w:rPr>
          <w:b/>
          <w:szCs w:val="24"/>
        </w:rPr>
        <w:t>.</w:t>
      </w:r>
    </w:p>
    <w:p w:rsidR="00544EB4" w:rsidRDefault="00544EB4" w:rsidP="00544EB4">
      <w:pPr>
        <w:autoSpaceDE w:val="0"/>
        <w:autoSpaceDN w:val="0"/>
        <w:adjustRightInd w:val="0"/>
        <w:spacing w:before="240"/>
        <w:jc w:val="both"/>
      </w:pPr>
      <w:r>
        <w:t>Berry DP, and Evans RD. 2014. Genetics of reproductive performance in seasonal calving beef cows and its association with performance traits. Journal of Animal Science. (In Press)</w:t>
      </w:r>
    </w:p>
    <w:p w:rsidR="00544EB4" w:rsidRDefault="00544EB4" w:rsidP="00544EB4">
      <w:pPr>
        <w:spacing w:before="240"/>
        <w:jc w:val="both"/>
      </w:pPr>
      <w:proofErr w:type="spellStart"/>
      <w:r>
        <w:t>Buzanskas</w:t>
      </w:r>
      <w:proofErr w:type="spellEnd"/>
      <w:r>
        <w:t xml:space="preserve"> ME, </w:t>
      </w:r>
      <w:proofErr w:type="spellStart"/>
      <w:r>
        <w:t>Grossi</w:t>
      </w:r>
      <w:proofErr w:type="spellEnd"/>
      <w:r>
        <w:t xml:space="preserve"> DA, </w:t>
      </w:r>
      <w:proofErr w:type="spellStart"/>
      <w:r>
        <w:t>Baldi</w:t>
      </w:r>
      <w:proofErr w:type="spellEnd"/>
      <w:r>
        <w:t xml:space="preserve"> F, </w:t>
      </w:r>
      <w:proofErr w:type="spellStart"/>
      <w:r>
        <w:t>Barrozo</w:t>
      </w:r>
      <w:proofErr w:type="spellEnd"/>
      <w:r>
        <w:t xml:space="preserve"> D, Silva LOC, Torres </w:t>
      </w:r>
      <w:proofErr w:type="spellStart"/>
      <w:r>
        <w:t>Júnior</w:t>
      </w:r>
      <w:proofErr w:type="spellEnd"/>
      <w:r>
        <w:t xml:space="preserve"> </w:t>
      </w:r>
      <w:proofErr w:type="spellStart"/>
      <w:r>
        <w:t>RAA</w:t>
      </w:r>
      <w:proofErr w:type="spellEnd"/>
      <w:r>
        <w:t xml:space="preserve">, </w:t>
      </w:r>
      <w:proofErr w:type="spellStart"/>
      <w:r>
        <w:t>Munari</w:t>
      </w:r>
      <w:proofErr w:type="spellEnd"/>
      <w:r>
        <w:t xml:space="preserve"> DP, and </w:t>
      </w:r>
      <w:proofErr w:type="spellStart"/>
      <w:r>
        <w:t>Alencar</w:t>
      </w:r>
      <w:proofErr w:type="spellEnd"/>
      <w:r>
        <w:t xml:space="preserve"> MM., 2010. Genetic associations between </w:t>
      </w:r>
      <w:proofErr w:type="spellStart"/>
      <w:r>
        <w:t>stayability</w:t>
      </w:r>
      <w:proofErr w:type="spellEnd"/>
      <w:r>
        <w:t xml:space="preserve"> and reproductive and growth traits in </w:t>
      </w:r>
      <w:proofErr w:type="spellStart"/>
      <w:r>
        <w:t>Canchim</w:t>
      </w:r>
      <w:proofErr w:type="spellEnd"/>
      <w:r>
        <w:t xml:space="preserve"> beef cattle. Livestock Science. 132, 107–112.</w:t>
      </w:r>
    </w:p>
    <w:p w:rsidR="00544EB4" w:rsidRDefault="00544EB4" w:rsidP="00544EB4">
      <w:pPr>
        <w:spacing w:before="240"/>
        <w:jc w:val="both"/>
      </w:pPr>
      <w:proofErr w:type="spellStart"/>
      <w:r>
        <w:t>Donoghue</w:t>
      </w:r>
      <w:proofErr w:type="spellEnd"/>
      <w:r>
        <w:t xml:space="preserve"> KA, </w:t>
      </w:r>
      <w:proofErr w:type="spellStart"/>
      <w:r>
        <w:t>Rekaya</w:t>
      </w:r>
      <w:proofErr w:type="spellEnd"/>
      <w:r>
        <w:t xml:space="preserve"> R, Bertrand </w:t>
      </w:r>
      <w:proofErr w:type="spellStart"/>
      <w:r>
        <w:t>JK</w:t>
      </w:r>
      <w:proofErr w:type="spellEnd"/>
      <w:r>
        <w:t xml:space="preserve">, and </w:t>
      </w:r>
      <w:proofErr w:type="spellStart"/>
      <w:r>
        <w:t>Misztal</w:t>
      </w:r>
      <w:proofErr w:type="spellEnd"/>
      <w:r>
        <w:t xml:space="preserve"> I. 2004. Genetic evaluation of calving to first insemination using natural and artificial insemination mating data. Journal of Animal Science. 82, 362-367.</w:t>
      </w:r>
    </w:p>
    <w:p w:rsidR="00544EB4" w:rsidRDefault="00544EB4" w:rsidP="00544EB4">
      <w:pPr>
        <w:autoSpaceDE w:val="0"/>
        <w:autoSpaceDN w:val="0"/>
        <w:adjustRightInd w:val="0"/>
        <w:spacing w:before="240"/>
        <w:jc w:val="both"/>
      </w:pPr>
      <w:proofErr w:type="spellStart"/>
      <w:r>
        <w:t>Forni</w:t>
      </w:r>
      <w:proofErr w:type="spellEnd"/>
      <w:r>
        <w:t xml:space="preserve"> S, and LG Albuquerque. 2005. Estimates of genetic correlations between days to calving and reproductive and weight traits in </w:t>
      </w:r>
      <w:proofErr w:type="spellStart"/>
      <w:r>
        <w:t>Nelore</w:t>
      </w:r>
      <w:proofErr w:type="spellEnd"/>
      <w:r>
        <w:t xml:space="preserve"> cattle. Journal of Animal Science. 83, 1511-1515.</w:t>
      </w:r>
    </w:p>
    <w:p w:rsidR="00544EB4" w:rsidRDefault="00544EB4" w:rsidP="00544EB4">
      <w:pPr>
        <w:autoSpaceDE w:val="0"/>
        <w:autoSpaceDN w:val="0"/>
        <w:adjustRightInd w:val="0"/>
        <w:spacing w:before="240"/>
        <w:jc w:val="both"/>
      </w:pPr>
      <w:proofErr w:type="spellStart"/>
      <w:r>
        <w:t>Goyache</w:t>
      </w:r>
      <w:proofErr w:type="spellEnd"/>
      <w:r>
        <w:t xml:space="preserve"> F, </w:t>
      </w:r>
      <w:proofErr w:type="spellStart"/>
      <w:r>
        <w:t>Gutiérrez</w:t>
      </w:r>
      <w:proofErr w:type="spellEnd"/>
      <w:r>
        <w:t xml:space="preserve"> JP, </w:t>
      </w:r>
      <w:proofErr w:type="spellStart"/>
      <w:r>
        <w:t>Fernández</w:t>
      </w:r>
      <w:proofErr w:type="spellEnd"/>
      <w:r>
        <w:t xml:space="preserve"> I, </w:t>
      </w:r>
      <w:proofErr w:type="spellStart"/>
      <w:r>
        <w:t>Royo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, and </w:t>
      </w:r>
      <w:proofErr w:type="spellStart"/>
      <w:r>
        <w:t>Álvarez</w:t>
      </w:r>
      <w:proofErr w:type="spellEnd"/>
      <w:r>
        <w:t xml:space="preserve"> I. 2005. Genetic analysis of days open in beef cattle. Livestock Production Science. 93, 283-289.</w:t>
      </w:r>
    </w:p>
    <w:p w:rsidR="00544EB4" w:rsidRDefault="00544EB4" w:rsidP="00544EB4">
      <w:pPr>
        <w:autoSpaceDE w:val="0"/>
        <w:autoSpaceDN w:val="0"/>
        <w:adjustRightInd w:val="0"/>
        <w:spacing w:before="240"/>
        <w:jc w:val="both"/>
      </w:pPr>
      <w:proofErr w:type="spellStart"/>
      <w:r>
        <w:t>Gutiérrez</w:t>
      </w:r>
      <w:proofErr w:type="spellEnd"/>
      <w:r>
        <w:t xml:space="preserve"> JP, </w:t>
      </w:r>
      <w:proofErr w:type="spellStart"/>
      <w:r>
        <w:t>Álvarez</w:t>
      </w:r>
      <w:proofErr w:type="spellEnd"/>
      <w:r>
        <w:t xml:space="preserve"> I, </w:t>
      </w:r>
      <w:proofErr w:type="spellStart"/>
      <w:r>
        <w:t>Fernández</w:t>
      </w:r>
      <w:proofErr w:type="spellEnd"/>
      <w:r>
        <w:t xml:space="preserve"> I, </w:t>
      </w:r>
      <w:proofErr w:type="spellStart"/>
      <w:r>
        <w:t>Royo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, </w:t>
      </w:r>
      <w:proofErr w:type="spellStart"/>
      <w:r>
        <w:t>Díez</w:t>
      </w:r>
      <w:proofErr w:type="spellEnd"/>
      <w:r>
        <w:t xml:space="preserve"> J and </w:t>
      </w:r>
      <w:proofErr w:type="spellStart"/>
      <w:r>
        <w:t>Goyache</w:t>
      </w:r>
      <w:proofErr w:type="spellEnd"/>
      <w:r>
        <w:t xml:space="preserve"> F. 2002. Genetic relationships between calving date, calving interval, age at first calving and type traits in beef cattle. Livestock Production Science 78, 215-222.</w:t>
      </w:r>
    </w:p>
    <w:p w:rsidR="00544EB4" w:rsidRDefault="00544EB4" w:rsidP="00544EB4">
      <w:pPr>
        <w:spacing w:before="240"/>
        <w:jc w:val="both"/>
      </w:pPr>
      <w:r w:rsidRPr="004719E6">
        <w:t>Johnston DJ, and Bunter</w:t>
      </w:r>
      <w:r>
        <w:t xml:space="preserve"> KL</w:t>
      </w:r>
      <w:r w:rsidRPr="004719E6">
        <w:t xml:space="preserve">. 1996. Days to calving in Angus cattle: Genetic and environmental effects, and </w:t>
      </w:r>
      <w:proofErr w:type="spellStart"/>
      <w:r w:rsidRPr="004719E6">
        <w:t>covariances</w:t>
      </w:r>
      <w:proofErr w:type="spellEnd"/>
      <w:r w:rsidRPr="004719E6">
        <w:t xml:space="preserve"> with other traits. Livest</w:t>
      </w:r>
      <w:r>
        <w:t>ock</w:t>
      </w:r>
      <w:r w:rsidRPr="004719E6">
        <w:t xml:space="preserve"> Prod</w:t>
      </w:r>
      <w:r>
        <w:t>uction</w:t>
      </w:r>
      <w:r w:rsidRPr="004719E6">
        <w:t xml:space="preserve"> Sci</w:t>
      </w:r>
      <w:r>
        <w:t>ence</w:t>
      </w:r>
      <w:r w:rsidRPr="004719E6">
        <w:t>. 45</w:t>
      </w:r>
      <w:r>
        <w:t xml:space="preserve">, </w:t>
      </w:r>
      <w:r w:rsidRPr="004719E6">
        <w:t>13–22</w:t>
      </w:r>
    </w:p>
    <w:p w:rsidR="00544EB4" w:rsidRDefault="00544EB4" w:rsidP="00544EB4">
      <w:pPr>
        <w:spacing w:before="240"/>
        <w:jc w:val="both"/>
      </w:pPr>
      <w:r>
        <w:t>Morris CA, Wilson JA, Bennett GL, Cullen NG, Hickey SM, Hunter JC 2000. Genetic parameters for growth, puberty, and beef cow reproductive traits in a puberty selection experiment. New Zealand Journal of Agricultural Research. 43,83–91</w:t>
      </w:r>
    </w:p>
    <w:p w:rsidR="00544EB4" w:rsidRDefault="00544EB4" w:rsidP="00544EB4">
      <w:pPr>
        <w:spacing w:before="240"/>
        <w:jc w:val="both"/>
      </w:pPr>
      <w:proofErr w:type="spellStart"/>
      <w:r>
        <w:t>Phocas</w:t>
      </w:r>
      <w:proofErr w:type="spellEnd"/>
      <w:r>
        <w:t xml:space="preserve"> F 2009. Genetic analysis of breeding traits in a </w:t>
      </w:r>
      <w:proofErr w:type="spellStart"/>
      <w:r>
        <w:t>Charolais</w:t>
      </w:r>
      <w:proofErr w:type="spellEnd"/>
      <w:r>
        <w:t xml:space="preserve"> cattle population segregating an inactive </w:t>
      </w:r>
      <w:proofErr w:type="spellStart"/>
      <w:r>
        <w:t>myostatin</w:t>
      </w:r>
      <w:proofErr w:type="spellEnd"/>
      <w:r>
        <w:t xml:space="preserve"> allele. Journal of Animal Science. 87, 1865-1871.</w:t>
      </w:r>
    </w:p>
    <w:p w:rsidR="00544EB4" w:rsidRDefault="00544EB4" w:rsidP="00544EB4">
      <w:pPr>
        <w:spacing w:before="240"/>
      </w:pPr>
      <w:proofErr w:type="spellStart"/>
      <w:r>
        <w:t>Urioste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, </w:t>
      </w:r>
      <w:proofErr w:type="spellStart"/>
      <w:r>
        <w:t>Misztal</w:t>
      </w:r>
      <w:proofErr w:type="spellEnd"/>
      <w:r>
        <w:t xml:space="preserve"> I, and Bertrand JK. 2007. Fertility traits in spring-calving Aberdeen Angus cattle. 1. Model development and genetic parameters. Journal of Animal Science. 85, 2854-2860.</w:t>
      </w:r>
    </w:p>
    <w:p w:rsidR="00544EB4" w:rsidRDefault="00544EB4" w:rsidP="00544EB4">
      <w:pPr>
        <w:spacing w:before="240"/>
        <w:jc w:val="both"/>
        <w:rPr>
          <w:szCs w:val="24"/>
        </w:rPr>
      </w:pPr>
    </w:p>
    <w:p w:rsidR="00544EB4" w:rsidRDefault="00544EB4" w:rsidP="00544EB4">
      <w:pPr>
        <w:spacing w:before="240"/>
        <w:jc w:val="both"/>
        <w:rPr>
          <w:szCs w:val="24"/>
        </w:rPr>
      </w:pPr>
    </w:p>
    <w:p w:rsidR="00FE1238" w:rsidRDefault="00FE1238" w:rsidP="00FE1238">
      <w:pPr>
        <w:spacing w:before="240"/>
        <w:jc w:val="both"/>
        <w:rPr>
          <w:szCs w:val="24"/>
        </w:rPr>
      </w:pPr>
      <w:bookmarkStart w:id="0" w:name="_GoBack"/>
      <w:bookmarkEnd w:id="0"/>
    </w:p>
    <w:sectPr w:rsidR="00FE1238" w:rsidSect="008959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D65"/>
    <w:multiLevelType w:val="singleLevel"/>
    <w:tmpl w:val="E56A9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AB424FB"/>
    <w:multiLevelType w:val="hybridMultilevel"/>
    <w:tmpl w:val="C072635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A5577"/>
    <w:rsid w:val="000105EB"/>
    <w:rsid w:val="00107E4A"/>
    <w:rsid w:val="001503B6"/>
    <w:rsid w:val="001A5577"/>
    <w:rsid w:val="001D0C67"/>
    <w:rsid w:val="001E0203"/>
    <w:rsid w:val="0021019F"/>
    <w:rsid w:val="0024261C"/>
    <w:rsid w:val="002C69DF"/>
    <w:rsid w:val="00317204"/>
    <w:rsid w:val="00343305"/>
    <w:rsid w:val="004210D1"/>
    <w:rsid w:val="004547E3"/>
    <w:rsid w:val="00457386"/>
    <w:rsid w:val="004719E6"/>
    <w:rsid w:val="004D456D"/>
    <w:rsid w:val="004E77ED"/>
    <w:rsid w:val="00544EB4"/>
    <w:rsid w:val="0055382A"/>
    <w:rsid w:val="005866BC"/>
    <w:rsid w:val="005F3463"/>
    <w:rsid w:val="0068481D"/>
    <w:rsid w:val="0072133B"/>
    <w:rsid w:val="00742C12"/>
    <w:rsid w:val="00761ABC"/>
    <w:rsid w:val="007B0B0B"/>
    <w:rsid w:val="007F2B2F"/>
    <w:rsid w:val="0089594F"/>
    <w:rsid w:val="008B14E6"/>
    <w:rsid w:val="0090400E"/>
    <w:rsid w:val="00A019D5"/>
    <w:rsid w:val="00A07619"/>
    <w:rsid w:val="00A631B4"/>
    <w:rsid w:val="00A81B3D"/>
    <w:rsid w:val="00A85774"/>
    <w:rsid w:val="00AB4B38"/>
    <w:rsid w:val="00CF0359"/>
    <w:rsid w:val="00E6737B"/>
    <w:rsid w:val="00E749E0"/>
    <w:rsid w:val="00EA4E96"/>
    <w:rsid w:val="00ED67FC"/>
    <w:rsid w:val="00ED6978"/>
    <w:rsid w:val="00FE1238"/>
    <w:rsid w:val="00FF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82A"/>
    <w:pPr>
      <w:ind w:left="720"/>
      <w:contextualSpacing/>
    </w:pPr>
  </w:style>
  <w:style w:type="paragraph" w:styleId="Corpsdetexte">
    <w:name w:val="Body Text"/>
    <w:basedOn w:val="Normal"/>
    <w:link w:val="CorpsdetexteCar"/>
    <w:rsid w:val="0055382A"/>
    <w:pPr>
      <w:widowControl/>
      <w:spacing w:after="120"/>
    </w:pPr>
    <w:rPr>
      <w:snapToGrid/>
      <w:szCs w:val="24"/>
    </w:rPr>
  </w:style>
  <w:style w:type="character" w:customStyle="1" w:styleId="CorpsdetexteCar">
    <w:name w:val="Corps de texte Car"/>
    <w:basedOn w:val="Policepardfaut"/>
    <w:link w:val="Corpsdetexte"/>
    <w:rsid w:val="00553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631B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631B4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2A"/>
    <w:pPr>
      <w:ind w:left="720"/>
      <w:contextualSpacing/>
    </w:pPr>
  </w:style>
  <w:style w:type="paragraph" w:styleId="BodyText">
    <w:name w:val="Body Text"/>
    <w:basedOn w:val="Normal"/>
    <w:link w:val="BodyTextChar"/>
    <w:rsid w:val="0055382A"/>
    <w:pPr>
      <w:widowControl/>
      <w:spacing w:after="120"/>
    </w:pPr>
    <w:rPr>
      <w:snapToGrid/>
      <w:szCs w:val="24"/>
    </w:rPr>
  </w:style>
  <w:style w:type="character" w:customStyle="1" w:styleId="BodyTextChar">
    <w:name w:val="Body Text Char"/>
    <w:basedOn w:val="DefaultParagraphFont"/>
    <w:link w:val="BodyText"/>
    <w:rsid w:val="005538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31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31B4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07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9638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3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9648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6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5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1367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  <w:divsChild>
                    <w:div w:id="19040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5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560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63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2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7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Donagh Berry</dc:creator>
  <cp:lastModifiedBy>Nadine Miraux</cp:lastModifiedBy>
  <cp:revision>2</cp:revision>
  <dcterms:created xsi:type="dcterms:W3CDTF">2014-03-10T09:01:00Z</dcterms:created>
  <dcterms:modified xsi:type="dcterms:W3CDTF">2014-03-10T09:01:00Z</dcterms:modified>
</cp:coreProperties>
</file>