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59" w:rsidRDefault="0005207F" w:rsidP="001C3A59">
      <w:pPr>
        <w:pStyle w:val="ANMReferences"/>
        <w:spacing w:after="240" w:line="240" w:lineRule="auto"/>
        <w:ind w:left="709" w:hanging="709"/>
        <w:jc w:val="both"/>
      </w:pPr>
      <w:r>
        <w:rPr>
          <w:rStyle w:val="ANMheading1Car"/>
          <w:i/>
        </w:rPr>
        <w:t xml:space="preserve">Supplementary </w:t>
      </w:r>
      <w:r w:rsidR="009A5070">
        <w:rPr>
          <w:rStyle w:val="ANMheading1Car"/>
          <w:i/>
        </w:rPr>
        <w:t>T</w:t>
      </w:r>
      <w:r w:rsidR="001C3A59" w:rsidRPr="00A76F1C">
        <w:rPr>
          <w:rStyle w:val="ANMheading1Car"/>
          <w:i/>
        </w:rPr>
        <w:t xml:space="preserve">able </w:t>
      </w:r>
      <w:r>
        <w:rPr>
          <w:rStyle w:val="ANMheading1Car"/>
          <w:i/>
        </w:rPr>
        <w:t>S</w:t>
      </w:r>
      <w:r w:rsidR="001C3A59" w:rsidRPr="00A76F1C">
        <w:rPr>
          <w:rStyle w:val="ANMheading1Car"/>
          <w:i/>
        </w:rPr>
        <w:t xml:space="preserve">1 </w:t>
      </w:r>
      <w:r w:rsidR="001C3A59" w:rsidRPr="002C14BD">
        <w:t xml:space="preserve">Ingredients and chemical composition of the diet supplied </w:t>
      </w:r>
      <w:r w:rsidR="001C3A59">
        <w:t xml:space="preserve">to the animals in the farms involved </w:t>
      </w:r>
      <w:r w:rsidR="001C3A59" w:rsidRPr="002C14BD">
        <w:t>in the present study</w:t>
      </w:r>
      <w:r w:rsidR="001C3A59">
        <w:t>.</w:t>
      </w:r>
    </w:p>
    <w:tbl>
      <w:tblPr>
        <w:tblW w:w="8158" w:type="dxa"/>
        <w:jc w:val="center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4402"/>
        <w:gridCol w:w="350"/>
        <w:gridCol w:w="951"/>
        <w:gridCol w:w="365"/>
        <w:gridCol w:w="1045"/>
        <w:gridCol w:w="1045"/>
      </w:tblGrid>
      <w:tr w:rsidR="00DA7FBC" w:rsidRPr="002C14BD" w:rsidTr="00DA7FBC">
        <w:trPr>
          <w:jc w:val="center"/>
        </w:trPr>
        <w:tc>
          <w:tcPr>
            <w:tcW w:w="4402" w:type="dxa"/>
            <w:vMerge w:val="restart"/>
            <w:tcBorders>
              <w:top w:val="single" w:sz="4" w:space="0" w:color="auto"/>
            </w:tcBorders>
            <w:vAlign w:val="center"/>
          </w:tcPr>
          <w:p w:rsidR="00DA7FBC" w:rsidRPr="002C14BD" w:rsidRDefault="00DA7FBC" w:rsidP="001C3A59">
            <w:pPr>
              <w:spacing w:line="360" w:lineRule="auto"/>
              <w:rPr>
                <w:b/>
                <w:sz w:val="22"/>
                <w:lang w:val="en-GB" w:eastAsia="fr-FR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:rsidR="00DA7FBC" w:rsidRDefault="00DA7FBC" w:rsidP="001C3A59">
            <w:pPr>
              <w:spacing w:line="360" w:lineRule="auto"/>
              <w:jc w:val="center"/>
              <w:rPr>
                <w:b/>
                <w:sz w:val="22"/>
                <w:lang w:val="en-GB" w:eastAsia="fr-FR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</w:tcBorders>
            <w:vAlign w:val="center"/>
          </w:tcPr>
          <w:p w:rsidR="00DA7FBC" w:rsidRPr="002C14BD" w:rsidRDefault="00DA7FBC" w:rsidP="001C3A59">
            <w:pPr>
              <w:spacing w:line="360" w:lineRule="auto"/>
              <w:jc w:val="center"/>
              <w:rPr>
                <w:b/>
                <w:sz w:val="22"/>
                <w:lang w:val="en-GB" w:eastAsia="fr-FR"/>
              </w:rPr>
            </w:pPr>
            <w:r>
              <w:rPr>
                <w:b/>
                <w:sz w:val="22"/>
                <w:lang w:val="en-GB" w:eastAsia="fr-FR"/>
              </w:rPr>
              <w:t>CMC</w:t>
            </w:r>
          </w:p>
        </w:tc>
        <w:tc>
          <w:tcPr>
            <w:tcW w:w="365" w:type="dxa"/>
            <w:tcBorders>
              <w:top w:val="single" w:sz="4" w:space="0" w:color="auto"/>
              <w:bottom w:val="nil"/>
            </w:tcBorders>
          </w:tcPr>
          <w:p w:rsidR="00DA7FBC" w:rsidRDefault="00DA7FBC" w:rsidP="001C3A59">
            <w:pPr>
              <w:spacing w:line="360" w:lineRule="auto"/>
              <w:jc w:val="center"/>
              <w:rPr>
                <w:b/>
                <w:sz w:val="22"/>
                <w:lang w:val="en-GB" w:eastAsia="fr-FR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7FBC" w:rsidRPr="002C14BD" w:rsidRDefault="00DA7FBC" w:rsidP="001C3A59">
            <w:pPr>
              <w:spacing w:line="360" w:lineRule="auto"/>
              <w:jc w:val="center"/>
              <w:rPr>
                <w:b/>
                <w:sz w:val="22"/>
                <w:lang w:val="en-GB" w:eastAsia="fr-FR"/>
              </w:rPr>
            </w:pPr>
            <w:r>
              <w:rPr>
                <w:b/>
                <w:sz w:val="22"/>
                <w:lang w:val="en-GB" w:eastAsia="fr-FR"/>
              </w:rPr>
              <w:t>OMC</w:t>
            </w:r>
          </w:p>
        </w:tc>
      </w:tr>
      <w:tr w:rsidR="00DA7FBC" w:rsidRPr="002C14BD" w:rsidTr="00F047C3">
        <w:trPr>
          <w:jc w:val="center"/>
        </w:trPr>
        <w:tc>
          <w:tcPr>
            <w:tcW w:w="4402" w:type="dxa"/>
            <w:vMerge/>
            <w:tcBorders>
              <w:bottom w:val="single" w:sz="4" w:space="0" w:color="auto"/>
            </w:tcBorders>
          </w:tcPr>
          <w:p w:rsidR="00DA7FBC" w:rsidRPr="002C14BD" w:rsidRDefault="00DA7FBC" w:rsidP="00F04424">
            <w:pPr>
              <w:spacing w:line="360" w:lineRule="auto"/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DA7FBC" w:rsidRPr="002C14BD" w:rsidRDefault="00DA7FBC" w:rsidP="00F04424">
            <w:pPr>
              <w:spacing w:line="360" w:lineRule="auto"/>
              <w:jc w:val="center"/>
              <w:rPr>
                <w:b/>
                <w:sz w:val="22"/>
                <w:lang w:val="en-GB" w:eastAsia="fr-FR"/>
              </w:rPr>
            </w:pPr>
          </w:p>
        </w:tc>
        <w:tc>
          <w:tcPr>
            <w:tcW w:w="951" w:type="dxa"/>
            <w:vMerge/>
            <w:tcBorders>
              <w:bottom w:val="single" w:sz="4" w:space="0" w:color="auto"/>
            </w:tcBorders>
          </w:tcPr>
          <w:p w:rsidR="00DA7FBC" w:rsidRPr="002C14BD" w:rsidRDefault="00DA7FBC" w:rsidP="00F04424">
            <w:pPr>
              <w:spacing w:line="360" w:lineRule="auto"/>
              <w:jc w:val="center"/>
              <w:rPr>
                <w:b/>
                <w:sz w:val="22"/>
                <w:lang w:val="en-GB" w:eastAsia="fr-FR"/>
              </w:rPr>
            </w:pPr>
          </w:p>
        </w:tc>
        <w:tc>
          <w:tcPr>
            <w:tcW w:w="365" w:type="dxa"/>
            <w:tcBorders>
              <w:top w:val="nil"/>
              <w:bottom w:val="single" w:sz="4" w:space="0" w:color="auto"/>
            </w:tcBorders>
          </w:tcPr>
          <w:p w:rsidR="00DA7FBC" w:rsidRPr="002C14BD" w:rsidRDefault="00DA7FBC" w:rsidP="00F04424">
            <w:pPr>
              <w:spacing w:line="360" w:lineRule="auto"/>
              <w:jc w:val="center"/>
              <w:rPr>
                <w:b/>
                <w:sz w:val="22"/>
                <w:lang w:val="en-GB" w:eastAsia="fr-FR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DA7FBC" w:rsidRPr="002C14BD" w:rsidRDefault="00DA7FBC" w:rsidP="00F04424">
            <w:pPr>
              <w:spacing w:line="360" w:lineRule="auto"/>
              <w:jc w:val="center"/>
              <w:rPr>
                <w:b/>
                <w:sz w:val="22"/>
                <w:lang w:val="en-GB" w:eastAsia="fr-FR"/>
              </w:rPr>
            </w:pPr>
            <w:r w:rsidRPr="002C14BD">
              <w:rPr>
                <w:b/>
                <w:sz w:val="22"/>
                <w:lang w:val="en-GB" w:eastAsia="fr-FR"/>
              </w:rPr>
              <w:t>Farm A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DA7FBC" w:rsidRPr="002C14BD" w:rsidRDefault="00DA7FBC" w:rsidP="00F04424">
            <w:pPr>
              <w:spacing w:line="360" w:lineRule="auto"/>
              <w:jc w:val="center"/>
              <w:rPr>
                <w:b/>
                <w:sz w:val="22"/>
                <w:lang w:val="en-GB" w:eastAsia="fr-FR"/>
              </w:rPr>
            </w:pPr>
            <w:r w:rsidRPr="002C14BD">
              <w:rPr>
                <w:b/>
                <w:sz w:val="22"/>
                <w:lang w:val="en-GB" w:eastAsia="fr-FR"/>
              </w:rPr>
              <w:t>Farm B</w:t>
            </w:r>
          </w:p>
        </w:tc>
      </w:tr>
      <w:tr w:rsidR="00DA7FBC" w:rsidRPr="00F047C3" w:rsidTr="00F047C3">
        <w:trPr>
          <w:jc w:val="center"/>
        </w:trPr>
        <w:tc>
          <w:tcPr>
            <w:tcW w:w="4402" w:type="dxa"/>
            <w:tcBorders>
              <w:top w:val="single" w:sz="4" w:space="0" w:color="auto"/>
              <w:bottom w:val="nil"/>
              <w:right w:val="nil"/>
            </w:tcBorders>
          </w:tcPr>
          <w:p w:rsidR="00DA7FBC" w:rsidRPr="00F047C3" w:rsidRDefault="00DA7FBC" w:rsidP="00816F66">
            <w:pPr>
              <w:pStyle w:val="ANMTabrowheading"/>
              <w:spacing w:before="60" w:line="276" w:lineRule="auto"/>
            </w:pPr>
            <w:r w:rsidRPr="00F047C3">
              <w:t>Total dry matter offered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7FBC" w:rsidRPr="00F047C3" w:rsidRDefault="00DA7FBC" w:rsidP="00DA7FBC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7FBC" w:rsidRPr="00F047C3" w:rsidRDefault="00DA7FBC" w:rsidP="00DA7FBC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t>21.7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7FBC" w:rsidRPr="00F047C3" w:rsidRDefault="00DA7FBC" w:rsidP="00DA7FBC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7FBC" w:rsidRPr="00F047C3" w:rsidRDefault="00DA7FBC" w:rsidP="00DA7FBC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t>15.64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</w:tcBorders>
          </w:tcPr>
          <w:p w:rsidR="00DA7FBC" w:rsidRPr="00F047C3" w:rsidRDefault="00DA7FBC" w:rsidP="00DA7FBC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t>15.49</w:t>
            </w:r>
          </w:p>
        </w:tc>
      </w:tr>
      <w:tr w:rsidR="00F047C3" w:rsidRPr="00F047C3" w:rsidTr="00F047C3">
        <w:trPr>
          <w:jc w:val="center"/>
        </w:trPr>
        <w:tc>
          <w:tcPr>
            <w:tcW w:w="8158" w:type="dxa"/>
            <w:gridSpan w:val="6"/>
            <w:tcBorders>
              <w:top w:val="nil"/>
              <w:bottom w:val="nil"/>
            </w:tcBorders>
            <w:vAlign w:val="center"/>
          </w:tcPr>
          <w:p w:rsidR="00F047C3" w:rsidRPr="00F047C3" w:rsidRDefault="00F047C3" w:rsidP="00F047C3">
            <w:pPr>
              <w:spacing w:before="60" w:line="276" w:lineRule="auto"/>
              <w:rPr>
                <w:rFonts w:cs="Arial"/>
                <w:sz w:val="22"/>
                <w:lang w:val="en-GB"/>
              </w:rPr>
            </w:pPr>
            <w:r w:rsidRPr="00F047C3">
              <w:rPr>
                <w:sz w:val="22"/>
              </w:rPr>
              <w:t>Diet composition (kg DM/cow per day)</w:t>
            </w:r>
            <w:r w:rsidRPr="00F047C3">
              <w:rPr>
                <w:sz w:val="22"/>
                <w:vertAlign w:val="superscript"/>
              </w:rPr>
              <w:t>1</w:t>
            </w:r>
          </w:p>
        </w:tc>
      </w:tr>
      <w:tr w:rsidR="00DA7FBC" w:rsidRPr="00F047C3" w:rsidTr="00F047C3">
        <w:trPr>
          <w:jc w:val="center"/>
        </w:trPr>
        <w:tc>
          <w:tcPr>
            <w:tcW w:w="4402" w:type="dxa"/>
            <w:tcBorders>
              <w:top w:val="nil"/>
              <w:bottom w:val="nil"/>
              <w:right w:val="nil"/>
            </w:tcBorders>
          </w:tcPr>
          <w:p w:rsidR="00DA7FBC" w:rsidRPr="00F047C3" w:rsidRDefault="00DA7FBC" w:rsidP="00F047C3">
            <w:pPr>
              <w:pStyle w:val="ANMTabrowheading"/>
              <w:spacing w:before="60" w:line="276" w:lineRule="auto"/>
              <w:ind w:left="708"/>
              <w:rPr>
                <w:szCs w:val="24"/>
              </w:rPr>
            </w:pPr>
            <w:r w:rsidRPr="00F047C3">
              <w:rPr>
                <w:szCs w:val="24"/>
              </w:rPr>
              <w:t>Ryegrass hay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noBreakHyphen/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t>1.90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noBreakHyphen/>
            </w:r>
          </w:p>
        </w:tc>
      </w:tr>
      <w:tr w:rsidR="00DA7FBC" w:rsidRPr="00F047C3" w:rsidTr="00F047C3">
        <w:trPr>
          <w:jc w:val="center"/>
        </w:trPr>
        <w:tc>
          <w:tcPr>
            <w:tcW w:w="4402" w:type="dxa"/>
            <w:tcBorders>
              <w:top w:val="nil"/>
              <w:bottom w:val="nil"/>
              <w:right w:val="nil"/>
            </w:tcBorders>
          </w:tcPr>
          <w:p w:rsidR="00DA7FBC" w:rsidRPr="00F047C3" w:rsidRDefault="00DA7FBC" w:rsidP="00F047C3">
            <w:pPr>
              <w:pStyle w:val="ANMTabrowheading"/>
              <w:spacing w:before="60" w:line="276" w:lineRule="auto"/>
              <w:ind w:left="708"/>
              <w:rPr>
                <w:szCs w:val="24"/>
              </w:rPr>
            </w:pPr>
            <w:r w:rsidRPr="00F047C3">
              <w:rPr>
                <w:szCs w:val="24"/>
              </w:rPr>
              <w:t>Alfalfa hay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noBreakHyphen/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t>1.88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noBreakHyphen/>
            </w:r>
          </w:p>
        </w:tc>
      </w:tr>
      <w:tr w:rsidR="00DA7FBC" w:rsidRPr="00F047C3" w:rsidTr="00F047C3">
        <w:trPr>
          <w:jc w:val="center"/>
        </w:trPr>
        <w:tc>
          <w:tcPr>
            <w:tcW w:w="4402" w:type="dxa"/>
            <w:tcBorders>
              <w:top w:val="nil"/>
              <w:bottom w:val="nil"/>
              <w:right w:val="nil"/>
            </w:tcBorders>
          </w:tcPr>
          <w:p w:rsidR="00DA7FBC" w:rsidRPr="00F047C3" w:rsidRDefault="00DA7FBC" w:rsidP="00F047C3">
            <w:pPr>
              <w:pStyle w:val="ANMTabrowheading"/>
              <w:spacing w:before="60" w:line="276" w:lineRule="auto"/>
              <w:ind w:left="708"/>
              <w:rPr>
                <w:szCs w:val="24"/>
              </w:rPr>
            </w:pPr>
            <w:r w:rsidRPr="00F047C3">
              <w:rPr>
                <w:szCs w:val="24"/>
              </w:rPr>
              <w:t>Corn flour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noBreakHyphen/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t>1.84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noBreakHyphen/>
            </w:r>
          </w:p>
        </w:tc>
      </w:tr>
      <w:tr w:rsidR="00DA7FBC" w:rsidRPr="00F047C3" w:rsidTr="00F047C3">
        <w:trPr>
          <w:jc w:val="center"/>
        </w:trPr>
        <w:tc>
          <w:tcPr>
            <w:tcW w:w="4402" w:type="dxa"/>
            <w:tcBorders>
              <w:top w:val="nil"/>
              <w:bottom w:val="nil"/>
              <w:right w:val="nil"/>
            </w:tcBorders>
          </w:tcPr>
          <w:p w:rsidR="00DA7FBC" w:rsidRPr="00F047C3" w:rsidRDefault="00DA7FBC" w:rsidP="00F047C3">
            <w:pPr>
              <w:pStyle w:val="ANMTabrowheading"/>
              <w:spacing w:before="60" w:line="276" w:lineRule="auto"/>
              <w:ind w:left="708"/>
              <w:rPr>
                <w:szCs w:val="24"/>
              </w:rPr>
            </w:pPr>
            <w:r w:rsidRPr="00F047C3">
              <w:rPr>
                <w:szCs w:val="24"/>
              </w:rPr>
              <w:t>Grass (in pasture)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noBreakHyphen/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t>6.23</w:t>
            </w:r>
            <w:bookmarkStart w:id="0" w:name="_GoBack"/>
            <w:bookmarkEnd w:id="0"/>
          </w:p>
        </w:tc>
        <w:tc>
          <w:tcPr>
            <w:tcW w:w="1045" w:type="dxa"/>
            <w:tcBorders>
              <w:top w:val="nil"/>
              <w:left w:val="nil"/>
              <w:bottom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t>1.31</w:t>
            </w:r>
          </w:p>
        </w:tc>
      </w:tr>
      <w:tr w:rsidR="00DA7FBC" w:rsidRPr="00F047C3" w:rsidTr="00F047C3">
        <w:trPr>
          <w:jc w:val="center"/>
        </w:trPr>
        <w:tc>
          <w:tcPr>
            <w:tcW w:w="4402" w:type="dxa"/>
            <w:tcBorders>
              <w:top w:val="nil"/>
              <w:bottom w:val="nil"/>
              <w:right w:val="nil"/>
            </w:tcBorders>
          </w:tcPr>
          <w:p w:rsidR="00DA7FBC" w:rsidRPr="00F047C3" w:rsidRDefault="00DA7FBC" w:rsidP="00F047C3">
            <w:pPr>
              <w:pStyle w:val="ANMTabrowheading"/>
              <w:spacing w:before="60" w:line="276" w:lineRule="auto"/>
              <w:ind w:left="708"/>
              <w:rPr>
                <w:szCs w:val="24"/>
              </w:rPr>
            </w:pPr>
            <w:r w:rsidRPr="00F047C3">
              <w:rPr>
                <w:szCs w:val="24"/>
              </w:rPr>
              <w:t>Corn silage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t>5.1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noBreakHyphen/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t>3.39</w:t>
            </w:r>
          </w:p>
        </w:tc>
      </w:tr>
      <w:tr w:rsidR="00DA7FBC" w:rsidRPr="00F047C3" w:rsidTr="00F047C3">
        <w:trPr>
          <w:jc w:val="center"/>
        </w:trPr>
        <w:tc>
          <w:tcPr>
            <w:tcW w:w="4402" w:type="dxa"/>
            <w:tcBorders>
              <w:top w:val="nil"/>
              <w:bottom w:val="nil"/>
              <w:right w:val="nil"/>
            </w:tcBorders>
          </w:tcPr>
          <w:p w:rsidR="00DA7FBC" w:rsidRPr="00F047C3" w:rsidRDefault="00DA7FBC" w:rsidP="00F047C3">
            <w:pPr>
              <w:pStyle w:val="ANMTabrowheading"/>
              <w:spacing w:before="60" w:line="276" w:lineRule="auto"/>
              <w:ind w:left="708"/>
              <w:rPr>
                <w:szCs w:val="24"/>
              </w:rPr>
            </w:pPr>
            <w:r w:rsidRPr="00F047C3">
              <w:rPr>
                <w:szCs w:val="24"/>
              </w:rPr>
              <w:t>Grass silage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t>4.8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noBreakHyphen/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t>6.19</w:t>
            </w:r>
          </w:p>
        </w:tc>
      </w:tr>
      <w:tr w:rsidR="00DA7FBC" w:rsidRPr="00F047C3" w:rsidTr="00F047C3">
        <w:trPr>
          <w:jc w:val="center"/>
        </w:trPr>
        <w:tc>
          <w:tcPr>
            <w:tcW w:w="4402" w:type="dxa"/>
            <w:tcBorders>
              <w:top w:val="nil"/>
              <w:bottom w:val="nil"/>
              <w:right w:val="nil"/>
            </w:tcBorders>
          </w:tcPr>
          <w:p w:rsidR="00DA7FBC" w:rsidRPr="00F047C3" w:rsidRDefault="00DA7FBC" w:rsidP="00F047C3">
            <w:pPr>
              <w:pStyle w:val="ANMTabrowheading"/>
              <w:spacing w:before="60" w:line="276" w:lineRule="auto"/>
              <w:ind w:left="708"/>
              <w:rPr>
                <w:szCs w:val="24"/>
              </w:rPr>
            </w:pPr>
            <w:r w:rsidRPr="00F047C3">
              <w:rPr>
                <w:szCs w:val="24"/>
              </w:rPr>
              <w:t>Concentrate</w:t>
            </w:r>
            <w:r w:rsidRPr="00F047C3">
              <w:rPr>
                <w:szCs w:val="24"/>
                <w:vertAlign w:val="superscript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t>11.6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t>3.79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t>4.6</w:t>
            </w:r>
          </w:p>
        </w:tc>
      </w:tr>
      <w:tr w:rsidR="00DA7FBC" w:rsidRPr="00F047C3" w:rsidTr="00F047C3">
        <w:trPr>
          <w:jc w:val="center"/>
        </w:trPr>
        <w:tc>
          <w:tcPr>
            <w:tcW w:w="4402" w:type="dxa"/>
            <w:tcBorders>
              <w:top w:val="nil"/>
              <w:bottom w:val="nil"/>
              <w:right w:val="nil"/>
            </w:tcBorders>
          </w:tcPr>
          <w:p w:rsidR="00DA7FBC" w:rsidRPr="00F047C3" w:rsidRDefault="00DA7FBC" w:rsidP="00F047C3">
            <w:pPr>
              <w:pStyle w:val="ANMTabrowheading"/>
              <w:spacing w:before="60" w:line="276" w:lineRule="auto"/>
              <w:ind w:left="708"/>
              <w:rPr>
                <w:szCs w:val="24"/>
              </w:rPr>
            </w:pPr>
            <w:r w:rsidRPr="00F047C3">
              <w:rPr>
                <w:rFonts w:cs="Arial"/>
              </w:rPr>
              <w:t>Vitamin/mineral premix</w:t>
            </w:r>
            <w:r w:rsidRPr="00F047C3">
              <w:rPr>
                <w:rFonts w:cs="Arial"/>
                <w:vertAlign w:val="superscript"/>
              </w:rPr>
              <w:t>3, 4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t>0.2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noBreakHyphen/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noBreakHyphen/>
            </w:r>
          </w:p>
        </w:tc>
      </w:tr>
      <w:tr w:rsidR="00F047C3" w:rsidRPr="00F047C3" w:rsidTr="00F047C3">
        <w:trPr>
          <w:jc w:val="center"/>
        </w:trPr>
        <w:tc>
          <w:tcPr>
            <w:tcW w:w="8158" w:type="dxa"/>
            <w:gridSpan w:val="6"/>
            <w:tcBorders>
              <w:top w:val="nil"/>
              <w:bottom w:val="nil"/>
            </w:tcBorders>
            <w:vAlign w:val="center"/>
          </w:tcPr>
          <w:p w:rsidR="00F047C3" w:rsidRPr="00F047C3" w:rsidRDefault="00F047C3" w:rsidP="00F047C3">
            <w:pPr>
              <w:spacing w:before="60" w:line="276" w:lineRule="auto"/>
              <w:rPr>
                <w:sz w:val="22"/>
              </w:rPr>
            </w:pPr>
            <w:r w:rsidRPr="00F047C3">
              <w:rPr>
                <w:sz w:val="22"/>
              </w:rPr>
              <w:t>Nutrient analysis</w:t>
            </w:r>
          </w:p>
        </w:tc>
      </w:tr>
      <w:tr w:rsidR="00DA7FBC" w:rsidRPr="00F047C3" w:rsidTr="00F047C3">
        <w:trPr>
          <w:jc w:val="center"/>
        </w:trPr>
        <w:tc>
          <w:tcPr>
            <w:tcW w:w="4402" w:type="dxa"/>
            <w:tcBorders>
              <w:top w:val="nil"/>
              <w:bottom w:val="nil"/>
              <w:right w:val="nil"/>
            </w:tcBorders>
          </w:tcPr>
          <w:p w:rsidR="00DA7FBC" w:rsidRPr="00F047C3" w:rsidRDefault="00DA7FBC" w:rsidP="00F047C3">
            <w:pPr>
              <w:pStyle w:val="ANMTabrowheading"/>
              <w:spacing w:before="60" w:line="276" w:lineRule="auto"/>
              <w:ind w:left="708"/>
              <w:rPr>
                <w:szCs w:val="24"/>
              </w:rPr>
            </w:pPr>
            <w:r w:rsidRPr="00F047C3">
              <w:rPr>
                <w:szCs w:val="24"/>
              </w:rPr>
              <w:t>Dry matter (%)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t>47.3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t>32.6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t>43.1</w:t>
            </w:r>
          </w:p>
        </w:tc>
      </w:tr>
      <w:tr w:rsidR="00DA7FBC" w:rsidRPr="00F047C3" w:rsidTr="00F047C3">
        <w:trPr>
          <w:jc w:val="center"/>
        </w:trPr>
        <w:tc>
          <w:tcPr>
            <w:tcW w:w="4402" w:type="dxa"/>
            <w:tcBorders>
              <w:top w:val="nil"/>
              <w:bottom w:val="nil"/>
              <w:right w:val="nil"/>
            </w:tcBorders>
          </w:tcPr>
          <w:p w:rsidR="00DA7FBC" w:rsidRPr="00F047C3" w:rsidRDefault="00DA7FBC" w:rsidP="00F047C3">
            <w:pPr>
              <w:pStyle w:val="ANMTabrowheading"/>
              <w:spacing w:before="60" w:line="276" w:lineRule="auto"/>
              <w:ind w:left="708"/>
              <w:rPr>
                <w:szCs w:val="24"/>
              </w:rPr>
            </w:pPr>
            <w:r w:rsidRPr="00F047C3">
              <w:rPr>
                <w:szCs w:val="24"/>
              </w:rPr>
              <w:t>Crude protein (% DM)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t>17.8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t>12.7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t>11.4</w:t>
            </w:r>
          </w:p>
        </w:tc>
      </w:tr>
      <w:tr w:rsidR="00DA7FBC" w:rsidRPr="00F047C3" w:rsidTr="00F047C3">
        <w:trPr>
          <w:jc w:val="center"/>
        </w:trPr>
        <w:tc>
          <w:tcPr>
            <w:tcW w:w="4402" w:type="dxa"/>
            <w:tcBorders>
              <w:top w:val="nil"/>
              <w:bottom w:val="nil"/>
              <w:right w:val="nil"/>
            </w:tcBorders>
          </w:tcPr>
          <w:p w:rsidR="00DA7FBC" w:rsidRPr="00F047C3" w:rsidRDefault="00DA7FBC" w:rsidP="00F047C3">
            <w:pPr>
              <w:pStyle w:val="ANMTabrowheading"/>
              <w:spacing w:before="60" w:line="276" w:lineRule="auto"/>
              <w:ind w:left="708"/>
              <w:rPr>
                <w:szCs w:val="24"/>
              </w:rPr>
            </w:pPr>
            <w:r w:rsidRPr="00F047C3">
              <w:rPr>
                <w:szCs w:val="24"/>
              </w:rPr>
              <w:t>Neutral detergent fibre (% DM)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t>30.6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t>38.0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t>40.2</w:t>
            </w:r>
          </w:p>
        </w:tc>
      </w:tr>
      <w:tr w:rsidR="00DA7FBC" w:rsidRPr="00F047C3" w:rsidTr="00F047C3">
        <w:trPr>
          <w:jc w:val="center"/>
        </w:trPr>
        <w:tc>
          <w:tcPr>
            <w:tcW w:w="4402" w:type="dxa"/>
            <w:tcBorders>
              <w:top w:val="nil"/>
              <w:bottom w:val="nil"/>
              <w:right w:val="nil"/>
            </w:tcBorders>
          </w:tcPr>
          <w:p w:rsidR="00DA7FBC" w:rsidRPr="00F047C3" w:rsidRDefault="00DA7FBC" w:rsidP="00F047C3">
            <w:pPr>
              <w:pStyle w:val="ANMTabrowheading"/>
              <w:spacing w:before="60" w:line="276" w:lineRule="auto"/>
              <w:ind w:left="708"/>
              <w:rPr>
                <w:szCs w:val="24"/>
              </w:rPr>
            </w:pPr>
            <w:r w:rsidRPr="00F047C3">
              <w:rPr>
                <w:szCs w:val="24"/>
              </w:rPr>
              <w:t>Acid detergent fibre (% DM)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t>16.4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t>22.9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t>25.0</w:t>
            </w:r>
          </w:p>
        </w:tc>
      </w:tr>
      <w:tr w:rsidR="00DA7FBC" w:rsidRPr="00F047C3" w:rsidTr="00F047C3">
        <w:trPr>
          <w:jc w:val="center"/>
        </w:trPr>
        <w:tc>
          <w:tcPr>
            <w:tcW w:w="4402" w:type="dxa"/>
            <w:tcBorders>
              <w:top w:val="nil"/>
              <w:bottom w:val="nil"/>
              <w:right w:val="nil"/>
            </w:tcBorders>
          </w:tcPr>
          <w:p w:rsidR="00DA7FBC" w:rsidRPr="00F047C3" w:rsidRDefault="00DA7FBC" w:rsidP="00F047C3">
            <w:pPr>
              <w:pStyle w:val="ANMTabrowheading"/>
              <w:spacing w:before="60" w:line="276" w:lineRule="auto"/>
              <w:ind w:left="708"/>
              <w:rPr>
                <w:szCs w:val="24"/>
              </w:rPr>
            </w:pPr>
            <w:r w:rsidRPr="00F047C3">
              <w:rPr>
                <w:szCs w:val="24"/>
              </w:rPr>
              <w:t>Starch (% DM)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t>31.2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t>16.20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</w:tcBorders>
            <w:vAlign w:val="center"/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t>14.90</w:t>
            </w:r>
          </w:p>
        </w:tc>
      </w:tr>
      <w:tr w:rsidR="00DA7FBC" w:rsidRPr="00F047C3" w:rsidTr="00F047C3">
        <w:trPr>
          <w:jc w:val="center"/>
        </w:trPr>
        <w:tc>
          <w:tcPr>
            <w:tcW w:w="4402" w:type="dxa"/>
            <w:tcBorders>
              <w:top w:val="nil"/>
              <w:bottom w:val="nil"/>
              <w:right w:val="nil"/>
            </w:tcBorders>
          </w:tcPr>
          <w:p w:rsidR="00DA7FBC" w:rsidRPr="00F047C3" w:rsidRDefault="00DA7FBC" w:rsidP="00F047C3">
            <w:pPr>
              <w:pStyle w:val="ANMTabrowheading"/>
              <w:spacing w:before="60" w:line="276" w:lineRule="auto"/>
              <w:ind w:left="708"/>
              <w:rPr>
                <w:szCs w:val="24"/>
              </w:rPr>
            </w:pPr>
            <w:r w:rsidRPr="00F047C3">
              <w:rPr>
                <w:szCs w:val="24"/>
              </w:rPr>
              <w:t>Ether extract content (% DM)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t>4.4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t>3.0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t>2.6</w:t>
            </w:r>
          </w:p>
        </w:tc>
      </w:tr>
      <w:tr w:rsidR="00DA7FBC" w:rsidRPr="00F047C3" w:rsidTr="00F047C3">
        <w:trPr>
          <w:jc w:val="center"/>
        </w:trPr>
        <w:tc>
          <w:tcPr>
            <w:tcW w:w="4402" w:type="dxa"/>
            <w:tcBorders>
              <w:top w:val="nil"/>
              <w:bottom w:val="nil"/>
              <w:right w:val="nil"/>
            </w:tcBorders>
          </w:tcPr>
          <w:p w:rsidR="00DA7FBC" w:rsidRPr="00F047C3" w:rsidRDefault="00DA7FBC" w:rsidP="00F047C3">
            <w:pPr>
              <w:pStyle w:val="ANMTabrowheading"/>
              <w:spacing w:before="60" w:line="276" w:lineRule="auto"/>
              <w:ind w:left="708"/>
              <w:rPr>
                <w:szCs w:val="24"/>
              </w:rPr>
            </w:pPr>
            <w:r w:rsidRPr="00F047C3">
              <w:rPr>
                <w:szCs w:val="24"/>
              </w:rPr>
              <w:t>Ashes (% DM)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t>7.3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t>7.2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t>5.9</w:t>
            </w:r>
          </w:p>
        </w:tc>
      </w:tr>
      <w:tr w:rsidR="00DA7FBC" w:rsidRPr="00F047C3" w:rsidTr="00F047C3">
        <w:trPr>
          <w:jc w:val="center"/>
        </w:trPr>
        <w:tc>
          <w:tcPr>
            <w:tcW w:w="4402" w:type="dxa"/>
            <w:tcBorders>
              <w:top w:val="nil"/>
              <w:bottom w:val="nil"/>
              <w:right w:val="nil"/>
            </w:tcBorders>
          </w:tcPr>
          <w:p w:rsidR="00DA7FBC" w:rsidRPr="00F047C3" w:rsidRDefault="00DA7FBC" w:rsidP="00F047C3">
            <w:pPr>
              <w:pStyle w:val="ANMTabrowheading"/>
              <w:spacing w:before="60" w:line="276" w:lineRule="auto"/>
              <w:ind w:left="708"/>
              <w:rPr>
                <w:szCs w:val="24"/>
              </w:rPr>
            </w:pPr>
            <w:r w:rsidRPr="00F047C3">
              <w:rPr>
                <w:szCs w:val="24"/>
              </w:rPr>
              <w:t>PDIE (g/kg DM)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t>133.5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t>87.2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</w:tcBorders>
          </w:tcPr>
          <w:p w:rsidR="00DA7FBC" w:rsidRPr="00F047C3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F047C3">
              <w:rPr>
                <w:rFonts w:cs="Arial"/>
                <w:lang w:val="en-GB"/>
              </w:rPr>
              <w:t>84.0</w:t>
            </w:r>
          </w:p>
        </w:tc>
      </w:tr>
      <w:tr w:rsidR="00DA7FBC" w:rsidRPr="00376381" w:rsidTr="00DA7FBC">
        <w:trPr>
          <w:jc w:val="center"/>
        </w:trPr>
        <w:tc>
          <w:tcPr>
            <w:tcW w:w="4402" w:type="dxa"/>
            <w:tcBorders>
              <w:top w:val="nil"/>
              <w:bottom w:val="nil"/>
            </w:tcBorders>
          </w:tcPr>
          <w:p w:rsidR="00DA7FBC" w:rsidRPr="002C14BD" w:rsidRDefault="00DA7FBC" w:rsidP="00F047C3">
            <w:pPr>
              <w:pStyle w:val="ANMTabrowheading"/>
              <w:spacing w:before="60" w:line="276" w:lineRule="auto"/>
              <w:ind w:left="708"/>
              <w:rPr>
                <w:szCs w:val="24"/>
              </w:rPr>
            </w:pPr>
            <w:r w:rsidRPr="002C14BD">
              <w:rPr>
                <w:szCs w:val="24"/>
              </w:rPr>
              <w:t>PDIN (g/kg DM)</w:t>
            </w:r>
          </w:p>
        </w:tc>
        <w:tc>
          <w:tcPr>
            <w:tcW w:w="350" w:type="dxa"/>
            <w:tcBorders>
              <w:top w:val="nil"/>
              <w:bottom w:val="nil"/>
            </w:tcBorders>
          </w:tcPr>
          <w:p w:rsidR="00DA7FBC" w:rsidRPr="001C3A59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DA7FBC" w:rsidRPr="004B305F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1C3A59">
              <w:rPr>
                <w:rFonts w:cs="Arial"/>
                <w:lang w:val="en-GB"/>
              </w:rPr>
              <w:t>130.9</w:t>
            </w:r>
          </w:p>
        </w:tc>
        <w:tc>
          <w:tcPr>
            <w:tcW w:w="365" w:type="dxa"/>
            <w:tcBorders>
              <w:top w:val="nil"/>
              <w:bottom w:val="nil"/>
            </w:tcBorders>
          </w:tcPr>
          <w:p w:rsidR="00DA7FBC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</w:tcPr>
          <w:p w:rsidR="00DA7FBC" w:rsidRPr="00376381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84.3</w:t>
            </w:r>
          </w:p>
        </w:tc>
        <w:tc>
          <w:tcPr>
            <w:tcW w:w="1045" w:type="dxa"/>
            <w:tcBorders>
              <w:top w:val="nil"/>
              <w:bottom w:val="nil"/>
            </w:tcBorders>
          </w:tcPr>
          <w:p w:rsidR="00DA7FBC" w:rsidRPr="00376381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77.8</w:t>
            </w:r>
          </w:p>
        </w:tc>
      </w:tr>
      <w:tr w:rsidR="00DA7FBC" w:rsidRPr="00376381" w:rsidTr="00DA7FBC">
        <w:trPr>
          <w:jc w:val="center"/>
        </w:trPr>
        <w:tc>
          <w:tcPr>
            <w:tcW w:w="4402" w:type="dxa"/>
            <w:tcBorders>
              <w:top w:val="nil"/>
              <w:bottom w:val="single" w:sz="4" w:space="0" w:color="auto"/>
            </w:tcBorders>
          </w:tcPr>
          <w:p w:rsidR="00DA7FBC" w:rsidRPr="00C126BD" w:rsidRDefault="00DA7FBC" w:rsidP="00F047C3">
            <w:pPr>
              <w:pStyle w:val="ANMTabrowheading"/>
              <w:spacing w:before="60" w:line="276" w:lineRule="auto"/>
              <w:ind w:left="708"/>
              <w:rPr>
                <w:szCs w:val="24"/>
              </w:rPr>
            </w:pPr>
            <w:r w:rsidRPr="00C126BD">
              <w:rPr>
                <w:szCs w:val="24"/>
              </w:rPr>
              <w:t>Feed units milk (UFL/kg DM)</w:t>
            </w:r>
          </w:p>
        </w:tc>
        <w:tc>
          <w:tcPr>
            <w:tcW w:w="350" w:type="dxa"/>
            <w:tcBorders>
              <w:top w:val="nil"/>
              <w:bottom w:val="single" w:sz="4" w:space="0" w:color="auto"/>
            </w:tcBorders>
          </w:tcPr>
          <w:p w:rsidR="00DA7FBC" w:rsidRPr="001C3A59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:rsidR="00DA7FBC" w:rsidRPr="004B305F" w:rsidRDefault="00DA7FBC" w:rsidP="00C126BD">
            <w:pPr>
              <w:spacing w:before="60" w:line="276" w:lineRule="auto"/>
              <w:jc w:val="center"/>
              <w:rPr>
                <w:rFonts w:cs="Arial"/>
                <w:lang w:val="en-GB"/>
              </w:rPr>
            </w:pPr>
            <w:r w:rsidRPr="001C3A59">
              <w:rPr>
                <w:rFonts w:cs="Arial"/>
                <w:lang w:val="en-GB"/>
              </w:rPr>
              <w:t>0.94</w:t>
            </w:r>
          </w:p>
        </w:tc>
        <w:tc>
          <w:tcPr>
            <w:tcW w:w="365" w:type="dxa"/>
            <w:tcBorders>
              <w:top w:val="nil"/>
              <w:bottom w:val="single" w:sz="4" w:space="0" w:color="auto"/>
            </w:tcBorders>
          </w:tcPr>
          <w:p w:rsidR="00DA7FBC" w:rsidRDefault="00DA7FBC" w:rsidP="00C126BD">
            <w:pPr>
              <w:spacing w:before="60" w:line="276" w:lineRule="auto"/>
              <w:jc w:val="center"/>
              <w:rPr>
                <w:rFonts w:cs="Arial"/>
                <w:lang w:val="de-DE"/>
              </w:rPr>
            </w:pPr>
          </w:p>
        </w:tc>
        <w:tc>
          <w:tcPr>
            <w:tcW w:w="1045" w:type="dxa"/>
            <w:tcBorders>
              <w:top w:val="nil"/>
              <w:bottom w:val="single" w:sz="4" w:space="0" w:color="auto"/>
            </w:tcBorders>
          </w:tcPr>
          <w:p w:rsidR="00DA7FBC" w:rsidRPr="00721DC0" w:rsidRDefault="00DA7FBC" w:rsidP="00C126BD">
            <w:pPr>
              <w:spacing w:before="60" w:line="276" w:lineRule="auto"/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0.93</w:t>
            </w:r>
          </w:p>
        </w:tc>
        <w:tc>
          <w:tcPr>
            <w:tcW w:w="1045" w:type="dxa"/>
            <w:tcBorders>
              <w:top w:val="nil"/>
              <w:bottom w:val="single" w:sz="4" w:space="0" w:color="auto"/>
            </w:tcBorders>
          </w:tcPr>
          <w:p w:rsidR="00DA7FBC" w:rsidRPr="00721DC0" w:rsidRDefault="00DA7FBC" w:rsidP="00C126BD">
            <w:pPr>
              <w:spacing w:before="60" w:line="276" w:lineRule="auto"/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0.86</w:t>
            </w:r>
          </w:p>
        </w:tc>
      </w:tr>
    </w:tbl>
    <w:p w:rsidR="001C3A59" w:rsidRPr="002C14BD" w:rsidRDefault="00C126BD" w:rsidP="001C3A59">
      <w:pPr>
        <w:spacing w:before="240"/>
        <w:jc w:val="both"/>
        <w:rPr>
          <w:sz w:val="20"/>
          <w:lang w:val="en-GB" w:eastAsia="fr-FR"/>
        </w:rPr>
      </w:pPr>
      <w:r>
        <w:rPr>
          <w:sz w:val="20"/>
          <w:lang w:val="en-GB" w:eastAsia="fr-FR"/>
        </w:rPr>
        <w:t xml:space="preserve">CMC: Conventionally managed cattle. OMC: Organically managed cattle. </w:t>
      </w:r>
      <w:r w:rsidR="001C3A59" w:rsidRPr="002C14BD">
        <w:rPr>
          <w:sz w:val="20"/>
          <w:lang w:val="en-GB" w:eastAsia="fr-FR"/>
        </w:rPr>
        <w:t>DM: dry matter; PDIE: protein supplied when energy is limited in the rumen; PDIN: protein supplied when nitrogen is limited in the rumen. UFL: ‘</w:t>
      </w:r>
      <w:proofErr w:type="spellStart"/>
      <w:r w:rsidR="001C3A59" w:rsidRPr="002C14BD">
        <w:rPr>
          <w:sz w:val="20"/>
          <w:lang w:val="en-GB" w:eastAsia="fr-FR"/>
        </w:rPr>
        <w:t>Unité</w:t>
      </w:r>
      <w:proofErr w:type="spellEnd"/>
      <w:r w:rsidR="001C3A59" w:rsidRPr="002C14BD">
        <w:rPr>
          <w:sz w:val="20"/>
          <w:lang w:val="en-GB" w:eastAsia="fr-FR"/>
        </w:rPr>
        <w:t xml:space="preserve"> </w:t>
      </w:r>
      <w:proofErr w:type="spellStart"/>
      <w:r w:rsidR="001C3A59" w:rsidRPr="002C14BD">
        <w:rPr>
          <w:sz w:val="20"/>
          <w:lang w:val="en-GB" w:eastAsia="fr-FR"/>
        </w:rPr>
        <w:t>Fouragère</w:t>
      </w:r>
      <w:proofErr w:type="spellEnd"/>
      <w:r w:rsidR="001C3A59" w:rsidRPr="002C14BD">
        <w:rPr>
          <w:sz w:val="20"/>
          <w:lang w:val="en-GB" w:eastAsia="fr-FR"/>
        </w:rPr>
        <w:t xml:space="preserve"> </w:t>
      </w:r>
      <w:proofErr w:type="spellStart"/>
      <w:r w:rsidR="001C3A59" w:rsidRPr="002C14BD">
        <w:rPr>
          <w:sz w:val="20"/>
          <w:lang w:val="en-GB" w:eastAsia="fr-FR"/>
        </w:rPr>
        <w:t>Lait</w:t>
      </w:r>
      <w:proofErr w:type="spellEnd"/>
      <w:r w:rsidR="001C3A59" w:rsidRPr="002C14BD">
        <w:rPr>
          <w:sz w:val="20"/>
          <w:lang w:val="en-GB" w:eastAsia="fr-FR"/>
        </w:rPr>
        <w:t>’. UFL is the net energy for lactation equivalent to 1 kg standard air-dried barley.’</w:t>
      </w:r>
    </w:p>
    <w:p w:rsidR="001C3A59" w:rsidRPr="002C14BD" w:rsidRDefault="001C3A59" w:rsidP="001C3A59">
      <w:pPr>
        <w:spacing w:before="240"/>
        <w:jc w:val="both"/>
        <w:rPr>
          <w:sz w:val="20"/>
          <w:lang w:val="en-GB" w:eastAsia="fr-FR"/>
        </w:rPr>
      </w:pPr>
      <w:r>
        <w:rPr>
          <w:sz w:val="20"/>
          <w:vertAlign w:val="superscript"/>
          <w:lang w:val="en-GB" w:eastAsia="fr-FR"/>
        </w:rPr>
        <w:t>1</w:t>
      </w:r>
      <w:r w:rsidRPr="002C14BD">
        <w:rPr>
          <w:sz w:val="20"/>
          <w:lang w:val="en-GB" w:eastAsia="fr-FR"/>
        </w:rPr>
        <w:t xml:space="preserve"> The diet was fed as a total mixed ration</w:t>
      </w:r>
      <w:r>
        <w:rPr>
          <w:sz w:val="20"/>
          <w:lang w:val="en-GB" w:eastAsia="fr-FR"/>
        </w:rPr>
        <w:t xml:space="preserve"> and </w:t>
      </w:r>
      <w:r w:rsidR="00C126BD">
        <w:rPr>
          <w:sz w:val="20"/>
          <w:lang w:val="en-GB" w:eastAsia="fr-FR"/>
        </w:rPr>
        <w:t xml:space="preserve">OMC </w:t>
      </w:r>
      <w:r>
        <w:rPr>
          <w:sz w:val="20"/>
          <w:lang w:val="en-GB" w:eastAsia="fr-FR"/>
        </w:rPr>
        <w:t xml:space="preserve">animals have grazed </w:t>
      </w:r>
      <w:r>
        <w:rPr>
          <w:i/>
          <w:sz w:val="20"/>
          <w:lang w:val="en-GB" w:eastAsia="fr-FR"/>
        </w:rPr>
        <w:t>ad libitum</w:t>
      </w:r>
      <w:r>
        <w:rPr>
          <w:sz w:val="20"/>
          <w:lang w:val="en-GB" w:eastAsia="fr-FR"/>
        </w:rPr>
        <w:t xml:space="preserve"> in pastures for 7 h/day. </w:t>
      </w:r>
      <w:r w:rsidR="00C126BD" w:rsidRPr="00C126BD">
        <w:rPr>
          <w:sz w:val="20"/>
          <w:lang w:val="en-GB" w:eastAsia="fr-FR"/>
        </w:rPr>
        <w:t xml:space="preserve">The amount of grass ingested was estimated according to </w:t>
      </w:r>
      <w:hyperlink w:anchor="_ENREF_5" w:tooltip="INRA, 2007 #598" w:history="1">
        <w:r w:rsidR="0084459B" w:rsidRPr="00C126BD">
          <w:rPr>
            <w:sz w:val="20"/>
            <w:lang w:val="en-GB" w:eastAsia="fr-FR"/>
          </w:rPr>
          <w:fldChar w:fldCharType="begin"/>
        </w:r>
        <w:r w:rsidR="0084459B">
          <w:rPr>
            <w:sz w:val="20"/>
            <w:lang w:val="en-GB" w:eastAsia="fr-FR"/>
          </w:rPr>
          <w:instrText xml:space="preserve"> ADDIN EN.CITE &lt;EndNote&gt;&lt;Cite AuthorYear="1"&gt;&lt;Author&gt;INRA&lt;/Author&gt;&lt;Year&gt;2007&lt;/Year&gt;&lt;RecNum&gt;598&lt;/RecNum&gt;&lt;DisplayText&gt;INRA (2007)&lt;/DisplayText&gt;&lt;record&gt;&lt;rec-number&gt;598&lt;/rec-number&gt;&lt;foreign-keys&gt;&lt;key app="EN" db-id="vaz0zfer2ewzacefwpvpsps20v9pdxrs9tav" timestamp="1394595081"&gt;598&lt;/key&gt;&lt;key app="ENWeb" db-id=""&gt;0&lt;/key&gt;&lt;/foreign-keys&gt;&lt;ref-type name="Book"&gt;6&lt;/ref-type&gt;&lt;contributors&gt;&lt;authors&gt;&lt;author&gt;INRA&lt;/author&gt;&lt;/authors&gt;&lt;secondary-authors&gt;&lt;author&gt;Agabriel J&lt;/author&gt;&lt;/secondary-authors&gt;&lt;/contributors&gt;&lt;titles&gt;&lt;title&gt;Alimentation des Bovins, Ovins et Caprins: Besoins des Animaux, Valeurs des Aliments&lt;/title&gt;&lt;/titles&gt;&lt;dates&gt;&lt;year&gt;2007&lt;/year&gt;&lt;/dates&gt;&lt;pub-location&gt;Paris, France&lt;/pub-location&gt;&lt;publisher&gt;Editions Quae&lt;/publisher&gt;&lt;urls&gt;&lt;/urls&gt;&lt;/record&gt;&lt;/Cite&gt;&lt;/EndNote&gt;</w:instrText>
        </w:r>
        <w:r w:rsidR="0084459B" w:rsidRPr="00C126BD">
          <w:rPr>
            <w:sz w:val="20"/>
            <w:lang w:val="en-GB" w:eastAsia="fr-FR"/>
          </w:rPr>
          <w:fldChar w:fldCharType="separate"/>
        </w:r>
        <w:r w:rsidR="0084459B" w:rsidRPr="00C126BD">
          <w:rPr>
            <w:noProof/>
            <w:sz w:val="20"/>
            <w:lang w:val="en-GB" w:eastAsia="fr-FR"/>
          </w:rPr>
          <w:t>INRA (2007)</w:t>
        </w:r>
        <w:r w:rsidR="0084459B" w:rsidRPr="00C126BD">
          <w:rPr>
            <w:sz w:val="20"/>
            <w:lang w:val="en-GB" w:eastAsia="fr-FR"/>
          </w:rPr>
          <w:fldChar w:fldCharType="end"/>
        </w:r>
      </w:hyperlink>
      <w:r w:rsidR="00C126BD" w:rsidRPr="00C126BD">
        <w:rPr>
          <w:sz w:val="20"/>
          <w:lang w:val="en-GB" w:eastAsia="fr-FR"/>
        </w:rPr>
        <w:t>. All the components of the diet</w:t>
      </w:r>
      <w:r w:rsidR="00C126BD">
        <w:rPr>
          <w:sz w:val="20"/>
          <w:lang w:val="en-GB" w:eastAsia="fr-FR"/>
        </w:rPr>
        <w:t xml:space="preserve"> of OMC farms</w:t>
      </w:r>
      <w:r w:rsidR="00C126BD" w:rsidRPr="00C126BD">
        <w:rPr>
          <w:sz w:val="20"/>
          <w:lang w:val="en-GB" w:eastAsia="fr-FR"/>
        </w:rPr>
        <w:t xml:space="preserve"> fulfilled the requirements for their use in organic production under the European legislation </w:t>
      </w:r>
      <w:r w:rsidR="00C126BD" w:rsidRPr="00C126BD">
        <w:rPr>
          <w:sz w:val="20"/>
          <w:lang w:val="en-GB" w:eastAsia="fr-FR"/>
        </w:rPr>
        <w:fldChar w:fldCharType="begin"/>
      </w:r>
      <w:r w:rsidR="0084459B">
        <w:rPr>
          <w:sz w:val="20"/>
          <w:lang w:val="en-GB" w:eastAsia="fr-FR"/>
        </w:rPr>
        <w:instrText xml:space="preserve"> ADDIN EN.CITE &lt;EndNote&gt;&lt;Cite&gt;&lt;Author&gt;European Commission&lt;/Author&gt;&lt;Year&gt;2008&lt;/Year&gt;&lt;RecNum&gt;571&lt;/RecNum&gt;&lt;DisplayText&gt;(European Commission, 2008)&lt;/DisplayText&gt;&lt;record&gt;&lt;rec-number&gt;571&lt;/rec-number&gt;&lt;foreign-keys&gt;&lt;key app="EN" db-id="vaz0zfer2ewzacefwpvpsps20v9pdxrs9tav" timestamp="1394595081"&gt;571&lt;/key&gt;&lt;key app="ENWeb" db-id=""&gt;0&lt;/key&gt;&lt;/foreign-keys&gt;&lt;ref-type name="Journal Article"&gt;17&lt;/ref-type&gt;&lt;contributors&gt;&lt;authors&gt;&lt;author&gt;European Commission,&lt;/author&gt;&lt;/authors&gt;&lt;/contributors&gt;&lt;titles&gt;&lt;title&gt;Commission Regulation (EC) No 889/2008 of 5 September 2008 laying down detailed rules for the implementation of Council Regulation (EC) No 834/2007 on organic production and labelling of organic products with regard to organic production, labelling and control&lt;/title&gt;&lt;secondary-title&gt;Official Journal of the European Union. L250&lt;/secondary-title&gt;&lt;/titles&gt;&lt;periodical&gt;&lt;full-title&gt;Official Journal of the European Union. L250&lt;/full-title&gt;&lt;/periodical&gt;&lt;pages&gt;1 - 84&lt;/pages&gt;&lt;dates&gt;&lt;year&gt;2008&lt;/year&gt;&lt;pub-dates&gt;&lt;date&gt;18/09/2008&lt;/date&gt;&lt;/pub-dates&gt;&lt;/dates&gt;&lt;urls&gt;&lt;/urls&gt;&lt;/record&gt;&lt;/Cite&gt;&lt;/EndNote&gt;</w:instrText>
      </w:r>
      <w:r w:rsidR="00C126BD" w:rsidRPr="00C126BD">
        <w:rPr>
          <w:sz w:val="20"/>
          <w:lang w:val="en-GB" w:eastAsia="fr-FR"/>
        </w:rPr>
        <w:fldChar w:fldCharType="separate"/>
      </w:r>
      <w:r w:rsidR="00C126BD">
        <w:rPr>
          <w:noProof/>
          <w:sz w:val="20"/>
          <w:lang w:val="en-GB" w:eastAsia="fr-FR"/>
        </w:rPr>
        <w:t>(</w:t>
      </w:r>
      <w:hyperlink w:anchor="_ENREF_4" w:tooltip="European Commission, 2008 #571" w:history="1">
        <w:r w:rsidR="0084459B">
          <w:rPr>
            <w:noProof/>
            <w:sz w:val="20"/>
            <w:lang w:val="en-GB" w:eastAsia="fr-FR"/>
          </w:rPr>
          <w:t>European Commission, 2008</w:t>
        </w:r>
      </w:hyperlink>
      <w:r w:rsidR="00C126BD">
        <w:rPr>
          <w:noProof/>
          <w:sz w:val="20"/>
          <w:lang w:val="en-GB" w:eastAsia="fr-FR"/>
        </w:rPr>
        <w:t>)</w:t>
      </w:r>
      <w:r w:rsidR="00C126BD" w:rsidRPr="00C126BD">
        <w:rPr>
          <w:sz w:val="20"/>
          <w:lang w:val="en-GB" w:eastAsia="fr-FR"/>
        </w:rPr>
        <w:fldChar w:fldCharType="end"/>
      </w:r>
      <w:r w:rsidR="00C126BD" w:rsidRPr="00C126BD">
        <w:rPr>
          <w:sz w:val="20"/>
          <w:lang w:val="en-GB" w:eastAsia="fr-FR"/>
        </w:rPr>
        <w:t>.</w:t>
      </w:r>
      <w:r w:rsidR="00E013B8">
        <w:rPr>
          <w:sz w:val="20"/>
          <w:lang w:val="en-GB" w:eastAsia="fr-FR"/>
        </w:rPr>
        <w:t xml:space="preserve"> </w:t>
      </w:r>
      <w:r w:rsidR="00080F12">
        <w:rPr>
          <w:sz w:val="20"/>
          <w:lang w:val="en-GB" w:eastAsia="fr-FR"/>
        </w:rPr>
        <w:t xml:space="preserve">There were no differences among farms on how the ration was offered at the barn. The three </w:t>
      </w:r>
      <w:r w:rsidR="00E013B8">
        <w:rPr>
          <w:sz w:val="20"/>
          <w:lang w:val="en-GB" w:eastAsia="fr-FR"/>
        </w:rPr>
        <w:t xml:space="preserve">farms </w:t>
      </w:r>
      <w:r w:rsidR="00080F12">
        <w:rPr>
          <w:sz w:val="20"/>
          <w:lang w:val="en-GB" w:eastAsia="fr-FR"/>
        </w:rPr>
        <w:t xml:space="preserve">had </w:t>
      </w:r>
      <w:r w:rsidR="00E013B8">
        <w:rPr>
          <w:sz w:val="20"/>
          <w:lang w:val="en-GB" w:eastAsia="fr-FR"/>
        </w:rPr>
        <w:t xml:space="preserve">only one feeding group, with restricted access to the </w:t>
      </w:r>
      <w:proofErr w:type="spellStart"/>
      <w:r w:rsidR="00E013B8">
        <w:rPr>
          <w:sz w:val="20"/>
          <w:lang w:val="en-GB" w:eastAsia="fr-FR"/>
        </w:rPr>
        <w:t>feedbunk</w:t>
      </w:r>
      <w:proofErr w:type="spellEnd"/>
      <w:r w:rsidR="00E013B8">
        <w:rPr>
          <w:sz w:val="20"/>
          <w:lang w:val="en-GB" w:eastAsia="fr-FR"/>
        </w:rPr>
        <w:t xml:space="preserve"> for dry cows only </w:t>
      </w:r>
      <w:r w:rsidR="00E013B8" w:rsidRPr="00E013B8">
        <w:rPr>
          <w:sz w:val="20"/>
          <w:lang w:val="en-GB" w:eastAsia="fr-FR"/>
        </w:rPr>
        <w:t>after every milking of lactating cows</w:t>
      </w:r>
      <w:r w:rsidR="00E013B8">
        <w:rPr>
          <w:sz w:val="20"/>
          <w:lang w:val="en-GB" w:eastAsia="fr-FR"/>
        </w:rPr>
        <w:t>.</w:t>
      </w:r>
      <w:r w:rsidR="0084459B">
        <w:rPr>
          <w:sz w:val="20"/>
          <w:lang w:val="en-GB" w:eastAsia="fr-FR"/>
        </w:rPr>
        <w:t xml:space="preserve"> Diets were formulated by bovine nutritionist</w:t>
      </w:r>
      <w:r w:rsidR="00080F12">
        <w:rPr>
          <w:sz w:val="20"/>
          <w:lang w:val="en-GB" w:eastAsia="fr-FR"/>
        </w:rPr>
        <w:t>s</w:t>
      </w:r>
      <w:r w:rsidR="0084459B">
        <w:rPr>
          <w:sz w:val="20"/>
          <w:lang w:val="en-GB" w:eastAsia="fr-FR"/>
        </w:rPr>
        <w:t xml:space="preserve"> using feedstuffs commonly used in the Spanish dairy system </w:t>
      </w:r>
      <w:r w:rsidR="0084459B">
        <w:rPr>
          <w:sz w:val="20"/>
          <w:lang w:val="en-GB" w:eastAsia="fr-FR"/>
        </w:rPr>
        <w:fldChar w:fldCharType="begin"/>
      </w:r>
      <w:r w:rsidR="0084459B">
        <w:rPr>
          <w:sz w:val="20"/>
          <w:lang w:val="en-GB" w:eastAsia="fr-FR"/>
        </w:rPr>
        <w:instrText xml:space="preserve"> ADDIN EN.CITE &lt;EndNote&gt;&lt;Cite&gt;&lt;Author&gt;Blas&lt;/Author&gt;&lt;Year&gt;2010&lt;/Year&gt;&lt;RecNum&gt;2280&lt;/RecNum&gt;&lt;DisplayText&gt;(Calsamiglia&lt;style face="italic"&gt; et al.&lt;/style&gt;, 2004, Blas&lt;style face="italic"&gt; et al.&lt;/style&gt;, 2010)&lt;/DisplayText&gt;&lt;record&gt;&lt;rec-number&gt;2280&lt;/rec-number&gt;&lt;foreign-keys&gt;&lt;key app="EN" db-id="vaz0zfer2ewzacefwpvpsps20v9pdxrs9tav" timestamp="1395438454"&gt;2280&lt;/key&gt;&lt;/foreign-keys&gt;&lt;ref-type name="Book"&gt;6&lt;/ref-type&gt;&lt;contributors&gt;&lt;authors&gt;&lt;author&gt;C. de Blas&lt;/author&gt;&lt;author&gt;G.G. Mateos&lt;/author&gt;&lt;author&gt;P. García-Rebollar&lt;/author&gt;&lt;/authors&gt;&lt;/contributors&gt;&lt;titles&gt;&lt;title&gt;Tablas FEDNA de composición y valor nutritivo de alimentos para la fabricación de piensos compuestos&lt;/title&gt;&lt;/titles&gt;&lt;pages&gt;502&lt;/pages&gt;&lt;edition&gt;&lt;style face="normal" font="default" size="100%"&gt;3&lt;/style&gt;&lt;style face="superscript" font="default" size="100%"&gt;rd&lt;/style&gt;&lt;/edition&gt;&lt;dates&gt;&lt;year&gt;2010&lt;/year&gt;&lt;/dates&gt;&lt;pub-location&gt;Madrid, Spain&lt;/pub-location&gt;&lt;publisher&gt;Fundación Española para el Desarrollo de la Nutrición Animal&lt;/publisher&gt;&lt;urls&gt;&lt;/urls&gt;&lt;/record&gt;&lt;/Cite&gt;&lt;Cite&gt;&lt;Author&gt;Calsamiglia&lt;/Author&gt;&lt;Year&gt;2004&lt;/Year&gt;&lt;RecNum&gt;2281&lt;/RecNum&gt;&lt;record&gt;&lt;rec-number&gt;2281&lt;/rec-number&gt;&lt;foreign-keys&gt;&lt;key app="EN" db-id="vaz0zfer2ewzacefwpvpsps20v9pdxrs9tav" timestamp="1395438570"&gt;2281&lt;/key&gt;&lt;/foreign-keys&gt;&lt;ref-type name="Book"&gt;6&lt;/ref-type&gt;&lt;contributors&gt;&lt;authors&gt;&lt;author&gt;S. Calsamiglia&lt;/author&gt;&lt;author&gt;A. Ferret&lt;/author&gt;&lt;author&gt;A. Bach&lt;/author&gt;&lt;/authors&gt;&lt;/contributors&gt;&lt;titles&gt;&lt;title&gt;Tablas FEDNA de valor nutritivo de Forrajes y Subproductos fibrosos húmedos&lt;/title&gt;&lt;/titles&gt;&lt;pages&gt;70&lt;/pages&gt;&lt;dates&gt;&lt;year&gt;2004&lt;/year&gt;&lt;/dates&gt;&lt;pub-location&gt;Madrid, Spain&lt;/pub-location&gt;&lt;publisher&gt;Fundación para el Desarrollo de la Nutrición Animal&lt;/publisher&gt;&lt;urls&gt;&lt;/urls&gt;&lt;/record&gt;&lt;/Cite&gt;&lt;/EndNote&gt;</w:instrText>
      </w:r>
      <w:r w:rsidR="0084459B">
        <w:rPr>
          <w:sz w:val="20"/>
          <w:lang w:val="en-GB" w:eastAsia="fr-FR"/>
        </w:rPr>
        <w:fldChar w:fldCharType="separate"/>
      </w:r>
      <w:r w:rsidR="0084459B">
        <w:rPr>
          <w:noProof/>
          <w:sz w:val="20"/>
          <w:lang w:val="en-GB" w:eastAsia="fr-FR"/>
        </w:rPr>
        <w:t>(</w:t>
      </w:r>
      <w:hyperlink w:anchor="_ENREF_3" w:tooltip="Calsamiglia, 2004 #2281" w:history="1">
        <w:r w:rsidR="0084459B">
          <w:rPr>
            <w:noProof/>
            <w:sz w:val="20"/>
            <w:lang w:val="en-GB" w:eastAsia="fr-FR"/>
          </w:rPr>
          <w:t>Calsamiglia</w:t>
        </w:r>
        <w:r w:rsidR="0084459B" w:rsidRPr="0084459B">
          <w:rPr>
            <w:i/>
            <w:noProof/>
            <w:sz w:val="20"/>
            <w:lang w:val="en-GB" w:eastAsia="fr-FR"/>
          </w:rPr>
          <w:t xml:space="preserve"> et al.</w:t>
        </w:r>
        <w:r w:rsidR="0084459B">
          <w:rPr>
            <w:noProof/>
            <w:sz w:val="20"/>
            <w:lang w:val="en-GB" w:eastAsia="fr-FR"/>
          </w:rPr>
          <w:t>, 2004</w:t>
        </w:r>
      </w:hyperlink>
      <w:r w:rsidR="0084459B">
        <w:rPr>
          <w:noProof/>
          <w:sz w:val="20"/>
          <w:lang w:val="en-GB" w:eastAsia="fr-FR"/>
        </w:rPr>
        <w:t xml:space="preserve">, </w:t>
      </w:r>
      <w:hyperlink w:anchor="_ENREF_2" w:tooltip="Blas, 2010 #2280" w:history="1">
        <w:r w:rsidR="0084459B">
          <w:rPr>
            <w:noProof/>
            <w:sz w:val="20"/>
            <w:lang w:val="en-GB" w:eastAsia="fr-FR"/>
          </w:rPr>
          <w:t>Blas</w:t>
        </w:r>
        <w:r w:rsidR="0084459B" w:rsidRPr="0084459B">
          <w:rPr>
            <w:i/>
            <w:noProof/>
            <w:sz w:val="20"/>
            <w:lang w:val="en-GB" w:eastAsia="fr-FR"/>
          </w:rPr>
          <w:t xml:space="preserve"> et al.</w:t>
        </w:r>
        <w:r w:rsidR="0084459B">
          <w:rPr>
            <w:noProof/>
            <w:sz w:val="20"/>
            <w:lang w:val="en-GB" w:eastAsia="fr-FR"/>
          </w:rPr>
          <w:t>, 2010</w:t>
        </w:r>
      </w:hyperlink>
      <w:r w:rsidR="0084459B">
        <w:rPr>
          <w:noProof/>
          <w:sz w:val="20"/>
          <w:lang w:val="en-GB" w:eastAsia="fr-FR"/>
        </w:rPr>
        <w:t>)</w:t>
      </w:r>
      <w:r w:rsidR="0084459B">
        <w:rPr>
          <w:sz w:val="20"/>
          <w:lang w:val="en-GB" w:eastAsia="fr-FR"/>
        </w:rPr>
        <w:fldChar w:fldCharType="end"/>
      </w:r>
      <w:r w:rsidR="0084459B">
        <w:rPr>
          <w:sz w:val="20"/>
          <w:lang w:val="en-GB" w:eastAsia="fr-FR"/>
        </w:rPr>
        <w:t>.</w:t>
      </w:r>
    </w:p>
    <w:p w:rsidR="001C3A59" w:rsidRDefault="001C3A59" w:rsidP="001C3A59">
      <w:pPr>
        <w:spacing w:before="240"/>
        <w:jc w:val="both"/>
        <w:rPr>
          <w:sz w:val="20"/>
          <w:lang w:val="en-GB" w:eastAsia="fr-FR"/>
        </w:rPr>
      </w:pPr>
      <w:r>
        <w:rPr>
          <w:sz w:val="20"/>
          <w:vertAlign w:val="superscript"/>
          <w:lang w:val="en-GB" w:eastAsia="fr-FR"/>
        </w:rPr>
        <w:t xml:space="preserve">2 </w:t>
      </w:r>
      <w:r w:rsidRPr="002C14BD">
        <w:rPr>
          <w:sz w:val="20"/>
          <w:lang w:val="en-GB" w:eastAsia="fr-FR"/>
        </w:rPr>
        <w:t xml:space="preserve">Concentrate composition (% as fed): </w:t>
      </w:r>
      <w:r w:rsidR="00C126BD" w:rsidRPr="00C126BD">
        <w:rPr>
          <w:b/>
          <w:sz w:val="20"/>
          <w:lang w:val="en-GB" w:eastAsia="fr-FR"/>
        </w:rPr>
        <w:t>CMC Farm:</w:t>
      </w:r>
      <w:r w:rsidR="00C126BD">
        <w:rPr>
          <w:b/>
          <w:sz w:val="20"/>
          <w:lang w:val="en-GB" w:eastAsia="fr-FR"/>
        </w:rPr>
        <w:t xml:space="preserve"> </w:t>
      </w:r>
      <w:r w:rsidR="00C126BD" w:rsidRPr="00C126BD">
        <w:rPr>
          <w:sz w:val="20"/>
          <w:lang w:val="en-GB" w:eastAsia="fr-FR"/>
        </w:rPr>
        <w:t xml:space="preserve">rapeseed meal (26.2), corn (20.0), wheat DDGs (15.9), soybean meal (11.5), calcium soap (3.2), sugarcane (1.6), bicarbonate (1.6), calcium carbonate (0.9) and sodium chloride (0.8). </w:t>
      </w:r>
      <w:r w:rsidR="00C126BD" w:rsidRPr="00C126BD">
        <w:rPr>
          <w:b/>
          <w:sz w:val="20"/>
          <w:lang w:val="en-GB" w:eastAsia="fr-FR"/>
        </w:rPr>
        <w:t>OMC</w:t>
      </w:r>
      <w:r w:rsidR="00C126BD">
        <w:rPr>
          <w:sz w:val="20"/>
          <w:lang w:val="en-GB" w:eastAsia="fr-FR"/>
        </w:rPr>
        <w:t xml:space="preserve"> </w:t>
      </w:r>
      <w:r>
        <w:rPr>
          <w:b/>
          <w:sz w:val="20"/>
          <w:lang w:val="en-GB" w:eastAsia="fr-FR"/>
        </w:rPr>
        <w:t>Farm A:</w:t>
      </w:r>
      <w:r>
        <w:rPr>
          <w:sz w:val="20"/>
          <w:lang w:val="en-GB" w:eastAsia="fr-FR"/>
        </w:rPr>
        <w:t xml:space="preserve"> barley (29.1); soybean meal (16.2), corn (15.0), peas protein concentrate (15.0), oat (10.0), wheat (10.0</w:t>
      </w:r>
      <w:r w:rsidRPr="00DB2083">
        <w:rPr>
          <w:sz w:val="20"/>
          <w:lang w:val="en-GB" w:eastAsia="fr-FR"/>
        </w:rPr>
        <w:t>)</w:t>
      </w:r>
      <w:r>
        <w:rPr>
          <w:sz w:val="20"/>
          <w:lang w:val="en-GB" w:eastAsia="fr-FR"/>
        </w:rPr>
        <w:t>,</w:t>
      </w:r>
      <w:r w:rsidRPr="00DB2083">
        <w:rPr>
          <w:sz w:val="20"/>
          <w:lang w:val="en-GB" w:eastAsia="fr-FR"/>
        </w:rPr>
        <w:t xml:space="preserve"> sodium </w:t>
      </w:r>
      <w:r w:rsidRPr="00DB2083">
        <w:rPr>
          <w:sz w:val="20"/>
          <w:lang w:val="en-GB" w:eastAsia="fr-FR"/>
        </w:rPr>
        <w:lastRenderedPageBreak/>
        <w:t xml:space="preserve">bicarbonate (1.0), calcium carbonate (1.7) </w:t>
      </w:r>
      <w:proofErr w:type="spellStart"/>
      <w:r w:rsidRPr="00DB2083">
        <w:rPr>
          <w:sz w:val="20"/>
          <w:lang w:val="en-GB" w:eastAsia="fr-FR"/>
        </w:rPr>
        <w:t>monocalcium</w:t>
      </w:r>
      <w:proofErr w:type="spellEnd"/>
      <w:r w:rsidRPr="00DB2083">
        <w:rPr>
          <w:sz w:val="20"/>
          <w:lang w:val="en-GB" w:eastAsia="fr-FR"/>
        </w:rPr>
        <w:t xml:space="preserve"> phosphate (1.0) and sodium chloride (0.6).</w:t>
      </w:r>
      <w:r>
        <w:rPr>
          <w:sz w:val="20"/>
          <w:lang w:val="en-GB" w:eastAsia="fr-FR"/>
        </w:rPr>
        <w:t xml:space="preserve"> </w:t>
      </w:r>
      <w:r w:rsidR="00C126BD" w:rsidRPr="00C126BD">
        <w:rPr>
          <w:b/>
          <w:sz w:val="20"/>
          <w:lang w:val="en-GB" w:eastAsia="fr-FR"/>
        </w:rPr>
        <w:t>OMC</w:t>
      </w:r>
      <w:r w:rsidR="00C126BD">
        <w:rPr>
          <w:sz w:val="20"/>
          <w:lang w:val="en-GB" w:eastAsia="fr-FR"/>
        </w:rPr>
        <w:t xml:space="preserve"> </w:t>
      </w:r>
      <w:r>
        <w:rPr>
          <w:b/>
          <w:sz w:val="20"/>
          <w:lang w:val="en-GB" w:eastAsia="fr-FR"/>
        </w:rPr>
        <w:t xml:space="preserve">Farm </w:t>
      </w:r>
      <w:r w:rsidRPr="00DB2083">
        <w:rPr>
          <w:b/>
          <w:sz w:val="20"/>
          <w:lang w:val="en-GB" w:eastAsia="fr-FR"/>
        </w:rPr>
        <w:t>B</w:t>
      </w:r>
      <w:r>
        <w:rPr>
          <w:b/>
          <w:sz w:val="20"/>
          <w:lang w:val="en-GB" w:eastAsia="fr-FR"/>
        </w:rPr>
        <w:t xml:space="preserve">: </w:t>
      </w:r>
      <w:r>
        <w:rPr>
          <w:sz w:val="20"/>
          <w:lang w:val="en-GB" w:eastAsia="fr-FR"/>
        </w:rPr>
        <w:t xml:space="preserve">barley (20.0), wheat (20.0), pea’s protein concentrate (15.0), soybean expeller (10.5), oat (10%), </w:t>
      </w:r>
      <w:r w:rsidRPr="00DB2083">
        <w:rPr>
          <w:sz w:val="20"/>
          <w:lang w:val="en-GB" w:eastAsia="fr-FR"/>
        </w:rPr>
        <w:t>calcium carbonate</w:t>
      </w:r>
      <w:r>
        <w:rPr>
          <w:sz w:val="20"/>
          <w:lang w:val="en-GB" w:eastAsia="fr-FR"/>
        </w:rPr>
        <w:t xml:space="preserve"> (1.8), </w:t>
      </w:r>
      <w:r w:rsidRPr="00DB2083">
        <w:rPr>
          <w:sz w:val="20"/>
          <w:lang w:val="en-GB" w:eastAsia="fr-FR"/>
        </w:rPr>
        <w:t xml:space="preserve">sodium bicarbonate (1.0), </w:t>
      </w:r>
      <w:proofErr w:type="spellStart"/>
      <w:r w:rsidRPr="00DB2083">
        <w:rPr>
          <w:sz w:val="20"/>
          <w:lang w:val="en-GB" w:eastAsia="fr-FR"/>
        </w:rPr>
        <w:t>monocalcium</w:t>
      </w:r>
      <w:proofErr w:type="spellEnd"/>
      <w:r w:rsidRPr="00DB2083">
        <w:rPr>
          <w:sz w:val="20"/>
          <w:lang w:val="en-GB" w:eastAsia="fr-FR"/>
        </w:rPr>
        <w:t xml:space="preserve"> phosphate (</w:t>
      </w:r>
      <w:r>
        <w:rPr>
          <w:sz w:val="20"/>
          <w:lang w:val="en-GB" w:eastAsia="fr-FR"/>
        </w:rPr>
        <w:t>0.7</w:t>
      </w:r>
      <w:r w:rsidRPr="00DB2083">
        <w:rPr>
          <w:sz w:val="20"/>
          <w:lang w:val="en-GB" w:eastAsia="fr-FR"/>
        </w:rPr>
        <w:t>)</w:t>
      </w:r>
      <w:r>
        <w:rPr>
          <w:sz w:val="20"/>
          <w:lang w:val="en-GB" w:eastAsia="fr-FR"/>
        </w:rPr>
        <w:t xml:space="preserve">, </w:t>
      </w:r>
      <w:r w:rsidRPr="00DB2083">
        <w:rPr>
          <w:sz w:val="20"/>
          <w:lang w:val="en-GB" w:eastAsia="fr-FR"/>
        </w:rPr>
        <w:t>sodium chloride (0.6)</w:t>
      </w:r>
      <w:r>
        <w:rPr>
          <w:sz w:val="20"/>
          <w:lang w:val="en-GB" w:eastAsia="fr-FR"/>
        </w:rPr>
        <w:t>, other minerals (0.4)</w:t>
      </w:r>
      <w:r w:rsidRPr="00DB2083">
        <w:rPr>
          <w:sz w:val="20"/>
          <w:lang w:val="en-GB" w:eastAsia="fr-FR"/>
        </w:rPr>
        <w:t>.</w:t>
      </w:r>
    </w:p>
    <w:p w:rsidR="00C126BD" w:rsidRDefault="00C126BD" w:rsidP="001C3A59">
      <w:pPr>
        <w:spacing w:before="240"/>
        <w:jc w:val="both"/>
        <w:rPr>
          <w:sz w:val="20"/>
          <w:lang w:val="en-GB" w:eastAsia="fr-FR"/>
        </w:rPr>
      </w:pPr>
      <w:r>
        <w:rPr>
          <w:sz w:val="20"/>
          <w:vertAlign w:val="superscript"/>
          <w:lang w:val="en-GB" w:eastAsia="fr-FR"/>
        </w:rPr>
        <w:t xml:space="preserve">3 </w:t>
      </w:r>
      <w:r w:rsidRPr="00C126BD">
        <w:rPr>
          <w:sz w:val="20"/>
          <w:lang w:val="en-GB" w:eastAsia="fr-FR"/>
        </w:rPr>
        <w:t>Contained: 14% Ca, 4% P, 6% Na, 5% Mg, 650000</w:t>
      </w:r>
      <w:r>
        <w:rPr>
          <w:sz w:val="20"/>
          <w:lang w:val="en-GB" w:eastAsia="fr-FR"/>
        </w:rPr>
        <w:t xml:space="preserve"> </w:t>
      </w:r>
      <w:r w:rsidRPr="00C126BD">
        <w:rPr>
          <w:sz w:val="20"/>
          <w:lang w:val="en-GB" w:eastAsia="fr-FR"/>
        </w:rPr>
        <w:t>IU/kg vitamin A, 130000 IU/kg vitamin D</w:t>
      </w:r>
      <w:r w:rsidRPr="00C126BD">
        <w:rPr>
          <w:sz w:val="20"/>
          <w:vertAlign w:val="subscript"/>
          <w:lang w:val="en-GB" w:eastAsia="fr-FR"/>
        </w:rPr>
        <w:t>3</w:t>
      </w:r>
      <w:r w:rsidRPr="00C126BD">
        <w:rPr>
          <w:sz w:val="20"/>
          <w:lang w:val="en-GB" w:eastAsia="fr-FR"/>
        </w:rPr>
        <w:t xml:space="preserve">, 2600 IU/kg vitamin E, 9700 ppm Zn (oxide), 8100 ppm </w:t>
      </w:r>
      <w:proofErr w:type="spellStart"/>
      <w:r w:rsidRPr="00C126BD">
        <w:rPr>
          <w:sz w:val="20"/>
          <w:lang w:val="en-GB" w:eastAsia="fr-FR"/>
        </w:rPr>
        <w:t>Mn</w:t>
      </w:r>
      <w:proofErr w:type="spellEnd"/>
      <w:r w:rsidRPr="00C126BD">
        <w:rPr>
          <w:sz w:val="20"/>
          <w:lang w:val="en-GB" w:eastAsia="fr-FR"/>
        </w:rPr>
        <w:t>, 8100 ppm Fe, 2000ppm Cu, 100ppm I, 40 ppm Cu, 40 ppm Se and 30 ppm Mo.</w:t>
      </w:r>
    </w:p>
    <w:p w:rsidR="00C126BD" w:rsidRPr="00864220" w:rsidRDefault="00C126BD" w:rsidP="00C126BD">
      <w:pPr>
        <w:spacing w:before="240"/>
        <w:jc w:val="both"/>
        <w:rPr>
          <w:sz w:val="20"/>
          <w:lang w:val="en-GB" w:eastAsia="fr-FR"/>
        </w:rPr>
      </w:pPr>
      <w:r>
        <w:rPr>
          <w:sz w:val="20"/>
          <w:vertAlign w:val="superscript"/>
          <w:lang w:val="en-GB" w:eastAsia="fr-FR"/>
        </w:rPr>
        <w:t xml:space="preserve">4 </w:t>
      </w:r>
      <w:r>
        <w:rPr>
          <w:sz w:val="20"/>
          <w:lang w:val="en-GB" w:eastAsia="fr-FR"/>
        </w:rPr>
        <w:t xml:space="preserve">CMC received </w:t>
      </w:r>
      <w:r w:rsidRPr="00C126BD">
        <w:rPr>
          <w:sz w:val="20"/>
          <w:lang w:val="en-GB" w:eastAsia="fr-FR"/>
        </w:rPr>
        <w:t xml:space="preserve">15 days before expected parturition </w:t>
      </w:r>
      <w:r>
        <w:rPr>
          <w:sz w:val="20"/>
          <w:lang w:val="en-GB" w:eastAsia="fr-FR"/>
        </w:rPr>
        <w:t xml:space="preserve">date </w:t>
      </w:r>
      <w:r w:rsidRPr="00C126BD">
        <w:rPr>
          <w:sz w:val="20"/>
          <w:lang w:val="en-GB" w:eastAsia="fr-FR"/>
        </w:rPr>
        <w:t>a vitamin complex injection (Hipravit-AD</w:t>
      </w:r>
      <w:r w:rsidRPr="00C126BD">
        <w:rPr>
          <w:sz w:val="20"/>
          <w:vertAlign w:val="subscript"/>
          <w:lang w:val="en-GB" w:eastAsia="fr-FR"/>
        </w:rPr>
        <w:t>3</w:t>
      </w:r>
      <w:r w:rsidRPr="00C126BD">
        <w:rPr>
          <w:sz w:val="20"/>
          <w:lang w:val="en-GB" w:eastAsia="fr-FR"/>
        </w:rPr>
        <w:t>E-Forte</w:t>
      </w:r>
      <w:r w:rsidRPr="00C126BD">
        <w:rPr>
          <w:sz w:val="20"/>
          <w:vertAlign w:val="superscript"/>
          <w:lang w:val="en-GB" w:eastAsia="fr-FR"/>
        </w:rPr>
        <w:t>®</w:t>
      </w:r>
      <w:r w:rsidRPr="00C126BD">
        <w:rPr>
          <w:sz w:val="20"/>
          <w:lang w:val="en-GB" w:eastAsia="fr-FR"/>
        </w:rPr>
        <w:t xml:space="preserve"> </w:t>
      </w:r>
      <w:proofErr w:type="spellStart"/>
      <w:r w:rsidRPr="00C126BD">
        <w:rPr>
          <w:sz w:val="20"/>
          <w:lang w:val="en-GB" w:eastAsia="fr-FR"/>
        </w:rPr>
        <w:t>Hipra</w:t>
      </w:r>
      <w:proofErr w:type="spellEnd"/>
      <w:r w:rsidRPr="00C126BD">
        <w:rPr>
          <w:sz w:val="20"/>
          <w:lang w:val="en-GB" w:eastAsia="fr-FR"/>
        </w:rPr>
        <w:t xml:space="preserve"> Laboratories</w:t>
      </w:r>
      <w:r>
        <w:rPr>
          <w:sz w:val="20"/>
          <w:lang w:val="en-GB" w:eastAsia="fr-FR"/>
        </w:rPr>
        <w:t>, Girona, Spain</w:t>
      </w:r>
      <w:r w:rsidRPr="00C126BD">
        <w:rPr>
          <w:sz w:val="20"/>
          <w:lang w:val="en-GB" w:eastAsia="fr-FR"/>
        </w:rPr>
        <w:t xml:space="preserve">) at a dose of 0.10 mL/kg BW, containing each mL 75000 IU of </w:t>
      </w:r>
      <w:proofErr w:type="spellStart"/>
      <w:r w:rsidRPr="00C126BD">
        <w:rPr>
          <w:sz w:val="20"/>
          <w:lang w:val="en-GB" w:eastAsia="fr-FR"/>
        </w:rPr>
        <w:t>cholecalciferol</w:t>
      </w:r>
      <w:proofErr w:type="spellEnd"/>
      <w:r w:rsidRPr="00C126BD">
        <w:rPr>
          <w:sz w:val="20"/>
          <w:lang w:val="en-GB" w:eastAsia="fr-FR"/>
        </w:rPr>
        <w:t>, 50 mg of α-</w:t>
      </w:r>
      <w:proofErr w:type="spellStart"/>
      <w:r w:rsidRPr="00C126BD">
        <w:rPr>
          <w:sz w:val="20"/>
          <w:lang w:val="en-GB" w:eastAsia="fr-FR"/>
        </w:rPr>
        <w:t>tocopherol</w:t>
      </w:r>
      <w:proofErr w:type="spellEnd"/>
      <w:r w:rsidRPr="00C126BD">
        <w:rPr>
          <w:sz w:val="20"/>
          <w:lang w:val="en-GB" w:eastAsia="fr-FR"/>
        </w:rPr>
        <w:t xml:space="preserve"> acetate and 500000 IU of vitamin A.</w:t>
      </w:r>
    </w:p>
    <w:p w:rsidR="00C126BD" w:rsidRPr="009A5070" w:rsidRDefault="0005207F" w:rsidP="001C3A59">
      <w:pPr>
        <w:spacing w:before="240"/>
        <w:jc w:val="both"/>
        <w:rPr>
          <w:b/>
          <w:sz w:val="20"/>
          <w:lang w:val="en-GB" w:eastAsia="fr-FR"/>
        </w:rPr>
      </w:pPr>
      <w:r w:rsidRPr="009A5070">
        <w:rPr>
          <w:b/>
          <w:sz w:val="20"/>
          <w:lang w:val="en-GB" w:eastAsia="fr-FR"/>
        </w:rPr>
        <w:t>The d</w:t>
      </w:r>
      <w:r w:rsidR="008E539E">
        <w:rPr>
          <w:b/>
          <w:sz w:val="20"/>
          <w:lang w:val="en-GB" w:eastAsia="fr-FR"/>
        </w:rPr>
        <w:t>ata from the diet of</w:t>
      </w:r>
      <w:r w:rsidRPr="009A5070">
        <w:rPr>
          <w:b/>
          <w:sz w:val="20"/>
          <w:lang w:val="en-GB" w:eastAsia="fr-FR"/>
        </w:rPr>
        <w:t xml:space="preserve"> CMC was already reported in the study by </w:t>
      </w:r>
      <w:hyperlink w:anchor="_ENREF_1" w:tooltip="Abuelo, 2013 #552" w:history="1">
        <w:r w:rsidR="0084459B" w:rsidRPr="009A5070">
          <w:rPr>
            <w:b/>
            <w:sz w:val="20"/>
            <w:lang w:val="en-GB" w:eastAsia="fr-FR"/>
          </w:rPr>
          <w:fldChar w:fldCharType="begin">
            <w:fldData xml:space="preserve">PEVuZE5vdGU+PENpdGUgQXV0aG9yWWVhcj0iMSI+PEF1dGhvcj5BYnVlbG88L0F1dGhvcj48WWVh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</w:fldData>
          </w:fldChar>
        </w:r>
        <w:r w:rsidR="0084459B">
          <w:rPr>
            <w:b/>
            <w:sz w:val="20"/>
            <w:lang w:val="en-GB" w:eastAsia="fr-FR"/>
          </w:rPr>
          <w:instrText xml:space="preserve"> ADDIN EN.CITE </w:instrText>
        </w:r>
        <w:r w:rsidR="0084459B">
          <w:rPr>
            <w:b/>
            <w:sz w:val="20"/>
            <w:lang w:val="en-GB" w:eastAsia="fr-FR"/>
          </w:rPr>
          <w:fldChar w:fldCharType="begin">
            <w:fldData xml:space="preserve">PEVuZE5vdGU+PENpdGUgQXV0aG9yWWVhcj0iMSI+PEF1dGhvcj5BYnVlbG88L0F1dGhvcj48WWVh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</w:fldData>
          </w:fldChar>
        </w:r>
        <w:r w:rsidR="0084459B">
          <w:rPr>
            <w:b/>
            <w:sz w:val="20"/>
            <w:lang w:val="en-GB" w:eastAsia="fr-FR"/>
          </w:rPr>
          <w:instrText xml:space="preserve"> ADDIN EN.CITE.DATA </w:instrText>
        </w:r>
        <w:r w:rsidR="0084459B">
          <w:rPr>
            <w:b/>
            <w:sz w:val="20"/>
            <w:lang w:val="en-GB" w:eastAsia="fr-FR"/>
          </w:rPr>
        </w:r>
        <w:r w:rsidR="0084459B">
          <w:rPr>
            <w:b/>
            <w:sz w:val="20"/>
            <w:lang w:val="en-GB" w:eastAsia="fr-FR"/>
          </w:rPr>
          <w:fldChar w:fldCharType="end"/>
        </w:r>
        <w:r w:rsidR="0084459B" w:rsidRPr="009A5070">
          <w:rPr>
            <w:b/>
            <w:sz w:val="20"/>
            <w:lang w:val="en-GB" w:eastAsia="fr-FR"/>
          </w:rPr>
        </w:r>
        <w:r w:rsidR="0084459B" w:rsidRPr="009A5070">
          <w:rPr>
            <w:b/>
            <w:sz w:val="20"/>
            <w:lang w:val="en-GB" w:eastAsia="fr-FR"/>
          </w:rPr>
          <w:fldChar w:fldCharType="separate"/>
        </w:r>
        <w:r w:rsidR="0084459B" w:rsidRPr="009A5070">
          <w:rPr>
            <w:b/>
            <w:noProof/>
            <w:sz w:val="20"/>
            <w:lang w:val="en-GB" w:eastAsia="fr-FR"/>
          </w:rPr>
          <w:t>Abuelo</w:t>
        </w:r>
        <w:r w:rsidR="0084459B" w:rsidRPr="009A5070">
          <w:rPr>
            <w:b/>
            <w:i/>
            <w:noProof/>
            <w:sz w:val="20"/>
            <w:lang w:val="en-GB" w:eastAsia="fr-FR"/>
          </w:rPr>
          <w:t xml:space="preserve"> et al.</w:t>
        </w:r>
        <w:r w:rsidR="0084459B" w:rsidRPr="009A5070">
          <w:rPr>
            <w:b/>
            <w:noProof/>
            <w:sz w:val="20"/>
            <w:lang w:val="en-GB" w:eastAsia="fr-FR"/>
          </w:rPr>
          <w:t xml:space="preserve"> (2013)</w:t>
        </w:r>
        <w:r w:rsidR="0084459B" w:rsidRPr="009A5070">
          <w:rPr>
            <w:b/>
            <w:sz w:val="20"/>
            <w:lang w:val="en-GB" w:eastAsia="fr-FR"/>
          </w:rPr>
          <w:fldChar w:fldCharType="end"/>
        </w:r>
      </w:hyperlink>
      <w:r w:rsidRPr="009A5070">
        <w:rPr>
          <w:b/>
          <w:sz w:val="20"/>
          <w:lang w:val="en-GB" w:eastAsia="fr-FR"/>
        </w:rPr>
        <w:t xml:space="preserve"> and reprinted here with permission of the publisher.</w:t>
      </w:r>
    </w:p>
    <w:p w:rsidR="00C126BD" w:rsidRDefault="00C126BD">
      <w:pPr>
        <w:rPr>
          <w:lang w:val="en-GB"/>
        </w:rPr>
      </w:pPr>
    </w:p>
    <w:p w:rsidR="007046F6" w:rsidRDefault="007046F6">
      <w:pPr>
        <w:rPr>
          <w:lang w:val="en-GB"/>
        </w:rPr>
      </w:pPr>
    </w:p>
    <w:p w:rsidR="00C126BD" w:rsidRPr="0005207F" w:rsidRDefault="0005207F">
      <w:pPr>
        <w:rPr>
          <w:b/>
          <w:lang w:val="en-GB"/>
        </w:rPr>
      </w:pPr>
      <w:r w:rsidRPr="0005207F">
        <w:rPr>
          <w:b/>
          <w:lang w:val="en-GB"/>
        </w:rPr>
        <w:t>References</w:t>
      </w:r>
    </w:p>
    <w:p w:rsidR="0084459B" w:rsidRPr="0084459B" w:rsidRDefault="00C126BD" w:rsidP="0084459B">
      <w:pPr>
        <w:pStyle w:val="EndNoteBibliography"/>
        <w:spacing w:after="240"/>
      </w:pPr>
      <w:r>
        <w:rPr>
          <w:lang w:val="en-GB"/>
        </w:rPr>
        <w:fldChar w:fldCharType="begin"/>
      </w:r>
      <w:r w:rsidRPr="007C7F1E">
        <w:rPr>
          <w:lang w:val="en-GB"/>
        </w:rPr>
        <w:instrText xml:space="preserve"> ADDIN EN.REFLIST </w:instrText>
      </w:r>
      <w:r>
        <w:rPr>
          <w:lang w:val="en-GB"/>
        </w:rPr>
        <w:fldChar w:fldCharType="separate"/>
      </w:r>
      <w:bookmarkStart w:id="1" w:name="_ENREF_1"/>
      <w:r w:rsidR="0084459B" w:rsidRPr="0084459B">
        <w:t>Abuelo A, Hernandez J, Benedito JL and Castillo C 2013. Oxidative stress index (OSi) as a new tool to assess redox status in dairy cattle during the transition period. Animal 7, 1374-1378.</w:t>
      </w:r>
      <w:bookmarkEnd w:id="1"/>
    </w:p>
    <w:p w:rsidR="0084459B" w:rsidRPr="0084459B" w:rsidRDefault="0084459B" w:rsidP="0084459B">
      <w:pPr>
        <w:pStyle w:val="EndNoteBibliography"/>
        <w:spacing w:after="240"/>
      </w:pPr>
      <w:bookmarkStart w:id="2" w:name="_ENREF_2"/>
      <w:r w:rsidRPr="0084459B">
        <w:t>Blas Cd, Mateos GG and García-Rebollar P 2010. Tablas FEDNA de composición y valor nutritivo de alimentos para la fabricación de piensos compuestos. Fundación Española para el Desarrollo de la Nutrición Animal, Madrid, Spain.</w:t>
      </w:r>
      <w:bookmarkEnd w:id="2"/>
    </w:p>
    <w:p w:rsidR="0084459B" w:rsidRPr="0084459B" w:rsidRDefault="0084459B" w:rsidP="0084459B">
      <w:pPr>
        <w:pStyle w:val="EndNoteBibliography"/>
        <w:spacing w:after="240"/>
      </w:pPr>
      <w:bookmarkStart w:id="3" w:name="_ENREF_3"/>
      <w:r w:rsidRPr="0084459B">
        <w:t>Calsamiglia S, Ferret A and Bach A 2004. Tablas FEDNA de valor nutritivo de Forrajes y Subproductos fibrosos húmedos. Fundación para el Desarrollo de la Nutrición Animal, Madrid, Spain.</w:t>
      </w:r>
      <w:bookmarkEnd w:id="3"/>
    </w:p>
    <w:p w:rsidR="0084459B" w:rsidRPr="0084459B" w:rsidRDefault="0084459B" w:rsidP="0084459B">
      <w:pPr>
        <w:pStyle w:val="EndNoteBibliography"/>
        <w:spacing w:after="240"/>
      </w:pPr>
      <w:bookmarkStart w:id="4" w:name="_ENREF_4"/>
      <w:r w:rsidRPr="0084459B">
        <w:t>European Commission 2008. Commission Regulation (EC) No 889/2008 of 5 September 2008 laying down detailed rules for the implementation of Council Regulation (EC) No 834/2007 on organic production and labelling of organic products with regard to organic production, labelling and control. Official Journal of the European Union. L250, 1 - 84.</w:t>
      </w:r>
      <w:bookmarkEnd w:id="4"/>
    </w:p>
    <w:p w:rsidR="0084459B" w:rsidRPr="0084459B" w:rsidRDefault="0084459B" w:rsidP="0084459B">
      <w:pPr>
        <w:pStyle w:val="EndNoteBibliography"/>
      </w:pPr>
      <w:bookmarkStart w:id="5" w:name="_ENREF_5"/>
      <w:r w:rsidRPr="0084459B">
        <w:t>INRA 2007. Alimentation des Bovins, Ovins et Caprins: Besoins des Animaux, Valeurs des Aliments. Editions Quae, Paris, France.</w:t>
      </w:r>
      <w:bookmarkEnd w:id="5"/>
    </w:p>
    <w:p w:rsidR="00FE474D" w:rsidRPr="001C3A59" w:rsidRDefault="00C126BD" w:rsidP="008E539E">
      <w:pPr>
        <w:pStyle w:val="EndNoteBibliography"/>
        <w:jc w:val="both"/>
        <w:rPr>
          <w:lang w:val="en-GB"/>
        </w:rPr>
      </w:pPr>
      <w:r>
        <w:rPr>
          <w:lang w:val="en-GB"/>
        </w:rPr>
        <w:fldChar w:fldCharType="end"/>
      </w:r>
    </w:p>
    <w:sectPr w:rsidR="00FE474D" w:rsidRPr="001C3A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imal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vaz0zfer2ewzacefwpvpsps20v9pdxrs9tav&quot;&gt;My main library-Saved&lt;record-ids&gt;&lt;item&gt;552&lt;/item&gt;&lt;item&gt;571&lt;/item&gt;&lt;item&gt;598&lt;/item&gt;&lt;item&gt;2280&lt;/item&gt;&lt;item&gt;2281&lt;/item&gt;&lt;/record-ids&gt;&lt;/item&gt;&lt;/Libraries&gt;"/>
  </w:docVars>
  <w:rsids>
    <w:rsidRoot w:val="00467900"/>
    <w:rsid w:val="0005207F"/>
    <w:rsid w:val="00080F12"/>
    <w:rsid w:val="001C3A59"/>
    <w:rsid w:val="00467900"/>
    <w:rsid w:val="00577E0C"/>
    <w:rsid w:val="007046F6"/>
    <w:rsid w:val="00762E2B"/>
    <w:rsid w:val="007C7F1E"/>
    <w:rsid w:val="0084459B"/>
    <w:rsid w:val="008E539E"/>
    <w:rsid w:val="009A5070"/>
    <w:rsid w:val="00AB1CA9"/>
    <w:rsid w:val="00C126BD"/>
    <w:rsid w:val="00DA7FBC"/>
    <w:rsid w:val="00E013B8"/>
    <w:rsid w:val="00F047C3"/>
    <w:rsid w:val="00FE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3A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Mheading1">
    <w:name w:val="ANM heading 1"/>
    <w:next w:val="Normal"/>
    <w:link w:val="ANMheading1Car"/>
    <w:uiPriority w:val="99"/>
    <w:qFormat/>
    <w:rsid w:val="001C3A59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1C3A59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Tabrowheading">
    <w:name w:val="ANM Tab row heading"/>
    <w:rsid w:val="001C3A59"/>
    <w:pPr>
      <w:spacing w:after="0" w:line="360" w:lineRule="auto"/>
    </w:pPr>
    <w:rPr>
      <w:rFonts w:ascii="Arial" w:eastAsia="Times New Roman" w:hAnsi="Arial" w:cs="Times New Roman"/>
      <w:lang w:val="en-GB" w:eastAsia="fr-FR"/>
    </w:rPr>
  </w:style>
  <w:style w:type="paragraph" w:customStyle="1" w:styleId="ANMReferences">
    <w:name w:val="ANM References"/>
    <w:basedOn w:val="Normal"/>
    <w:qFormat/>
    <w:rsid w:val="001C3A59"/>
    <w:pPr>
      <w:overflowPunct/>
      <w:autoSpaceDE/>
      <w:autoSpaceDN/>
      <w:adjustRightInd/>
      <w:spacing w:line="480" w:lineRule="auto"/>
      <w:ind w:left="567" w:hanging="567"/>
      <w:textAlignment w:val="auto"/>
    </w:pPr>
    <w:rPr>
      <w:sz w:val="22"/>
      <w:lang w:val="en-GB" w:eastAsia="fr-FR"/>
    </w:rPr>
  </w:style>
  <w:style w:type="character" w:styleId="Hyperlink">
    <w:name w:val="Hyperlink"/>
    <w:basedOn w:val="DefaultParagraphFont"/>
    <w:uiPriority w:val="99"/>
    <w:unhideWhenUsed/>
    <w:rsid w:val="00C126BD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C126BD"/>
    <w:pPr>
      <w:jc w:val="center"/>
    </w:pPr>
    <w:rPr>
      <w:rFonts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126BD"/>
    <w:rPr>
      <w:rFonts w:ascii="Arial" w:eastAsia="Times New Roman" w:hAnsi="Arial" w:cs="Arial"/>
      <w:noProof/>
      <w:sz w:val="24"/>
      <w:szCs w:val="24"/>
      <w:lang w:val="nl-NL" w:eastAsia="nl-NL"/>
    </w:rPr>
  </w:style>
  <w:style w:type="paragraph" w:customStyle="1" w:styleId="EndNoteBibliography">
    <w:name w:val="EndNote Bibliography"/>
    <w:basedOn w:val="Normal"/>
    <w:link w:val="EndNoteBibliographyChar"/>
    <w:rsid w:val="00C126BD"/>
    <w:rPr>
      <w:rFonts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126BD"/>
    <w:rPr>
      <w:rFonts w:ascii="Arial" w:eastAsia="Times New Roman" w:hAnsi="Arial" w:cs="Arial"/>
      <w:noProof/>
      <w:sz w:val="24"/>
      <w:szCs w:val="24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1E"/>
    <w:rPr>
      <w:rFonts w:ascii="Tahoma" w:eastAsia="Times New Roman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3A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Mheading1">
    <w:name w:val="ANM heading 1"/>
    <w:next w:val="Normal"/>
    <w:link w:val="ANMheading1Car"/>
    <w:uiPriority w:val="99"/>
    <w:qFormat/>
    <w:rsid w:val="001C3A59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1C3A59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Tabrowheading">
    <w:name w:val="ANM Tab row heading"/>
    <w:rsid w:val="001C3A59"/>
    <w:pPr>
      <w:spacing w:after="0" w:line="360" w:lineRule="auto"/>
    </w:pPr>
    <w:rPr>
      <w:rFonts w:ascii="Arial" w:eastAsia="Times New Roman" w:hAnsi="Arial" w:cs="Times New Roman"/>
      <w:lang w:val="en-GB" w:eastAsia="fr-FR"/>
    </w:rPr>
  </w:style>
  <w:style w:type="paragraph" w:customStyle="1" w:styleId="ANMReferences">
    <w:name w:val="ANM References"/>
    <w:basedOn w:val="Normal"/>
    <w:qFormat/>
    <w:rsid w:val="001C3A59"/>
    <w:pPr>
      <w:overflowPunct/>
      <w:autoSpaceDE/>
      <w:autoSpaceDN/>
      <w:adjustRightInd/>
      <w:spacing w:line="480" w:lineRule="auto"/>
      <w:ind w:left="567" w:hanging="567"/>
      <w:textAlignment w:val="auto"/>
    </w:pPr>
    <w:rPr>
      <w:sz w:val="22"/>
      <w:lang w:val="en-GB" w:eastAsia="fr-FR"/>
    </w:rPr>
  </w:style>
  <w:style w:type="character" w:styleId="Hyperlink">
    <w:name w:val="Hyperlink"/>
    <w:basedOn w:val="DefaultParagraphFont"/>
    <w:uiPriority w:val="99"/>
    <w:unhideWhenUsed/>
    <w:rsid w:val="00C126BD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C126BD"/>
    <w:pPr>
      <w:jc w:val="center"/>
    </w:pPr>
    <w:rPr>
      <w:rFonts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126BD"/>
    <w:rPr>
      <w:rFonts w:ascii="Arial" w:eastAsia="Times New Roman" w:hAnsi="Arial" w:cs="Arial"/>
      <w:noProof/>
      <w:sz w:val="24"/>
      <w:szCs w:val="24"/>
      <w:lang w:val="nl-NL" w:eastAsia="nl-NL"/>
    </w:rPr>
  </w:style>
  <w:style w:type="paragraph" w:customStyle="1" w:styleId="EndNoteBibliography">
    <w:name w:val="EndNote Bibliography"/>
    <w:basedOn w:val="Normal"/>
    <w:link w:val="EndNoteBibliographyChar"/>
    <w:rsid w:val="00C126BD"/>
    <w:rPr>
      <w:rFonts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126BD"/>
    <w:rPr>
      <w:rFonts w:ascii="Arial" w:eastAsia="Times New Roman" w:hAnsi="Arial" w:cs="Arial"/>
      <w:noProof/>
      <w:sz w:val="24"/>
      <w:szCs w:val="24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1E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1073</Words>
  <Characters>7173</Characters>
  <Application>Microsoft Office Word</Application>
  <DocSecurity>0</DocSecurity>
  <Lines>358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Abuelo</dc:creator>
  <cp:keywords/>
  <dc:description/>
  <cp:lastModifiedBy>Ángel Abuelo</cp:lastModifiedBy>
  <cp:revision>10</cp:revision>
  <dcterms:created xsi:type="dcterms:W3CDTF">2014-02-19T16:31:00Z</dcterms:created>
  <dcterms:modified xsi:type="dcterms:W3CDTF">2014-04-07T21:01:00Z</dcterms:modified>
</cp:coreProperties>
</file>