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57" w:rsidRPr="00C443BF" w:rsidRDefault="00DF5357" w:rsidP="00DF5357">
      <w:pPr>
        <w:autoSpaceDE w:val="0"/>
        <w:autoSpaceDN w:val="0"/>
        <w:adjustRightInd w:val="0"/>
        <w:rPr>
          <w:rFonts w:ascii="Arial" w:eastAsiaTheme="minorHAnsi" w:hAnsi="Arial" w:cs="Arial"/>
          <w:b/>
          <w:bCs/>
          <w:lang w:val="en-US" w:eastAsia="en-US"/>
        </w:rPr>
      </w:pPr>
      <w:r w:rsidRPr="00C443BF">
        <w:rPr>
          <w:rFonts w:ascii="Arial" w:eastAsiaTheme="minorHAnsi" w:hAnsi="Arial" w:cs="Arial"/>
          <w:b/>
          <w:bCs/>
          <w:lang w:val="en-US" w:eastAsia="en-US"/>
        </w:rPr>
        <w:t>Supplementary material S1</w:t>
      </w:r>
    </w:p>
    <w:p w:rsidR="00DF5357" w:rsidRPr="00C443BF" w:rsidRDefault="00DF5357" w:rsidP="00DF5357">
      <w:pPr>
        <w:autoSpaceDE w:val="0"/>
        <w:autoSpaceDN w:val="0"/>
        <w:adjustRightInd w:val="0"/>
        <w:rPr>
          <w:rFonts w:ascii="Arial" w:eastAsiaTheme="minorHAnsi" w:hAnsi="Arial" w:cs="Arial"/>
          <w:b/>
          <w:bCs/>
          <w:lang w:val="en-US" w:eastAsia="en-US"/>
        </w:rPr>
      </w:pPr>
    </w:p>
    <w:p w:rsidR="00DF5357" w:rsidRPr="00C443BF" w:rsidRDefault="00DF5357" w:rsidP="00DF5357">
      <w:pPr>
        <w:autoSpaceDE w:val="0"/>
        <w:autoSpaceDN w:val="0"/>
        <w:adjustRightInd w:val="0"/>
        <w:rPr>
          <w:rFonts w:ascii="Arial" w:eastAsiaTheme="minorHAnsi" w:hAnsi="Arial" w:cs="Arial"/>
          <w:i/>
          <w:iCs/>
          <w:lang w:val="en-US" w:eastAsia="en-US"/>
        </w:rPr>
      </w:pPr>
      <w:r w:rsidRPr="00C443BF">
        <w:rPr>
          <w:rFonts w:ascii="Arial" w:eastAsiaTheme="minorHAnsi" w:hAnsi="Arial" w:cs="Arial"/>
          <w:i/>
          <w:iCs/>
          <w:lang w:val="en-US" w:eastAsia="en-US"/>
        </w:rPr>
        <w:t>References used in the meta-analysis</w:t>
      </w:r>
    </w:p>
    <w:p w:rsidR="00DF5357" w:rsidRPr="00C443BF" w:rsidRDefault="00DF5357" w:rsidP="00DF5357">
      <w:pPr>
        <w:autoSpaceDE w:val="0"/>
        <w:autoSpaceDN w:val="0"/>
        <w:adjustRightInd w:val="0"/>
        <w:rPr>
          <w:rFonts w:ascii="Arial" w:eastAsiaTheme="minorHAnsi" w:hAnsi="Arial" w:cs="Arial"/>
          <w:i/>
          <w:iCs/>
          <w:lang w:val="en-US" w:eastAsia="en-US"/>
        </w:rPr>
      </w:pPr>
    </w:p>
    <w:p w:rsidR="00111C59" w:rsidRPr="00C443BF" w:rsidRDefault="00111C59" w:rsidP="00111C59">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Bergman, E.N., M.L. Katz, and C.F. Kaufman. 1970. Quantitative aspects of hepatic and portal glucose metabolism and turn-over in sheep. Am. J. Physiol. 219:785-793.</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 xml:space="preserve">De </w:t>
      </w:r>
      <w:proofErr w:type="spellStart"/>
      <w:r w:rsidRPr="00C443BF">
        <w:rPr>
          <w:rFonts w:ascii="Arial" w:hAnsi="Arial" w:cs="Arial"/>
          <w:sz w:val="22"/>
          <w:szCs w:val="22"/>
          <w:lang w:val="en-GB"/>
        </w:rPr>
        <w:t>Visser</w:t>
      </w:r>
      <w:proofErr w:type="spellEnd"/>
      <w:r w:rsidRPr="00C443BF">
        <w:rPr>
          <w:rFonts w:ascii="Arial" w:hAnsi="Arial" w:cs="Arial"/>
          <w:sz w:val="22"/>
          <w:szCs w:val="22"/>
          <w:lang w:val="en-GB"/>
        </w:rPr>
        <w:t xml:space="preserve">, HA, </w:t>
      </w:r>
      <w:proofErr w:type="spellStart"/>
      <w:r w:rsidRPr="00C443BF">
        <w:rPr>
          <w:rFonts w:ascii="Arial" w:hAnsi="Arial" w:cs="Arial"/>
          <w:sz w:val="22"/>
          <w:szCs w:val="22"/>
          <w:lang w:val="en-GB"/>
        </w:rPr>
        <w:t>Klop</w:t>
      </w:r>
      <w:proofErr w:type="spellEnd"/>
      <w:r w:rsidRPr="00C443BF">
        <w:rPr>
          <w:rFonts w:ascii="Arial" w:hAnsi="Arial" w:cs="Arial"/>
          <w:sz w:val="22"/>
          <w:szCs w:val="22"/>
          <w:lang w:val="en-GB"/>
        </w:rPr>
        <w:t xml:space="preserve"> A, Van </w:t>
      </w:r>
      <w:proofErr w:type="spellStart"/>
      <w:r w:rsidRPr="00C443BF">
        <w:rPr>
          <w:rFonts w:ascii="Arial" w:hAnsi="Arial" w:cs="Arial"/>
          <w:sz w:val="22"/>
          <w:szCs w:val="22"/>
          <w:lang w:val="en-GB"/>
        </w:rPr>
        <w:t>der</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Meulen</w:t>
      </w:r>
      <w:proofErr w:type="spellEnd"/>
      <w:r w:rsidRPr="00C443BF">
        <w:rPr>
          <w:rFonts w:ascii="Arial" w:hAnsi="Arial" w:cs="Arial"/>
          <w:sz w:val="22"/>
          <w:szCs w:val="22"/>
          <w:lang w:val="en-GB"/>
        </w:rPr>
        <w:t xml:space="preserve"> J and Van </w:t>
      </w:r>
      <w:proofErr w:type="spellStart"/>
      <w:r w:rsidRPr="00C443BF">
        <w:rPr>
          <w:rFonts w:ascii="Arial" w:hAnsi="Arial" w:cs="Arial"/>
          <w:sz w:val="22"/>
          <w:szCs w:val="22"/>
          <w:lang w:val="en-GB"/>
        </w:rPr>
        <w:t>Vuuren</w:t>
      </w:r>
      <w:proofErr w:type="spellEnd"/>
      <w:r w:rsidRPr="00C443BF">
        <w:rPr>
          <w:rFonts w:ascii="Arial" w:hAnsi="Arial" w:cs="Arial"/>
          <w:sz w:val="22"/>
          <w:szCs w:val="22"/>
          <w:lang w:val="en-GB"/>
        </w:rPr>
        <w:t xml:space="preserve"> AM. 1998. Influence of maturity of grass silage and flaked corn starch on the production and metabolism of volatile fatty acids in dairy cows. Journal of Dairy Science 81, 1028-1035.</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DeVisser</w:t>
      </w:r>
      <w:proofErr w:type="spellEnd"/>
      <w:r w:rsidRPr="00C443BF">
        <w:rPr>
          <w:rFonts w:ascii="Arial" w:hAnsi="Arial" w:cs="Arial"/>
          <w:sz w:val="22"/>
          <w:szCs w:val="22"/>
          <w:lang w:val="en-GB"/>
        </w:rPr>
        <w:t xml:space="preserve">, HA, </w:t>
      </w:r>
      <w:proofErr w:type="spellStart"/>
      <w:r w:rsidRPr="00C443BF">
        <w:rPr>
          <w:rFonts w:ascii="Arial" w:hAnsi="Arial" w:cs="Arial"/>
          <w:sz w:val="22"/>
          <w:szCs w:val="22"/>
          <w:lang w:val="en-GB"/>
        </w:rPr>
        <w:t>Valk</w:t>
      </w:r>
      <w:proofErr w:type="spellEnd"/>
      <w:r w:rsidRPr="00C443BF">
        <w:rPr>
          <w:rFonts w:ascii="Arial" w:hAnsi="Arial" w:cs="Arial"/>
          <w:sz w:val="22"/>
          <w:szCs w:val="22"/>
          <w:lang w:val="en-GB"/>
        </w:rPr>
        <w:t xml:space="preserve"> H, </w:t>
      </w:r>
      <w:proofErr w:type="spellStart"/>
      <w:r w:rsidRPr="00C443BF">
        <w:rPr>
          <w:rFonts w:ascii="Arial" w:hAnsi="Arial" w:cs="Arial"/>
          <w:sz w:val="22"/>
          <w:szCs w:val="22"/>
          <w:lang w:val="en-GB"/>
        </w:rPr>
        <w:t>Klop</w:t>
      </w:r>
      <w:proofErr w:type="spellEnd"/>
      <w:r w:rsidRPr="00C443BF">
        <w:rPr>
          <w:rFonts w:ascii="Arial" w:hAnsi="Arial" w:cs="Arial"/>
          <w:sz w:val="22"/>
          <w:szCs w:val="22"/>
          <w:lang w:val="en-GB"/>
        </w:rPr>
        <w:t xml:space="preserve"> A, Van </w:t>
      </w:r>
      <w:proofErr w:type="spellStart"/>
      <w:r w:rsidRPr="00C443BF">
        <w:rPr>
          <w:rFonts w:ascii="Arial" w:hAnsi="Arial" w:cs="Arial"/>
          <w:sz w:val="22"/>
          <w:szCs w:val="22"/>
          <w:lang w:val="en-GB"/>
        </w:rPr>
        <w:t>der</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Meulen</w:t>
      </w:r>
      <w:proofErr w:type="spellEnd"/>
      <w:r w:rsidRPr="00C443BF">
        <w:rPr>
          <w:rFonts w:ascii="Arial" w:hAnsi="Arial" w:cs="Arial"/>
          <w:sz w:val="22"/>
          <w:szCs w:val="22"/>
          <w:lang w:val="en-GB"/>
        </w:rPr>
        <w:t xml:space="preserve"> J, Bakker </w:t>
      </w:r>
      <w:proofErr w:type="spellStart"/>
      <w:r w:rsidRPr="00C443BF">
        <w:rPr>
          <w:rFonts w:ascii="Arial" w:hAnsi="Arial" w:cs="Arial"/>
          <w:sz w:val="22"/>
          <w:szCs w:val="22"/>
          <w:lang w:val="en-GB"/>
        </w:rPr>
        <w:t>JGM</w:t>
      </w:r>
      <w:proofErr w:type="spellEnd"/>
      <w:r w:rsidRPr="00C443BF">
        <w:rPr>
          <w:rFonts w:ascii="Arial" w:hAnsi="Arial" w:cs="Arial"/>
          <w:sz w:val="22"/>
          <w:szCs w:val="22"/>
          <w:lang w:val="en-GB"/>
        </w:rPr>
        <w:t xml:space="preserve"> and Huntington GB. 1997. Nutrient fluxes in splanchnic tissue of dairy cows: Influence of grass quality. Journal of Dairy Science 80, 1666-1673.</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Eisemann</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JH</w:t>
      </w:r>
      <w:proofErr w:type="spellEnd"/>
      <w:r w:rsidRPr="00C443BF">
        <w:rPr>
          <w:rFonts w:ascii="Arial" w:hAnsi="Arial" w:cs="Arial"/>
          <w:sz w:val="22"/>
          <w:szCs w:val="22"/>
          <w:lang w:val="en-GB"/>
        </w:rPr>
        <w:t xml:space="preserve">, Huntington GB and </w:t>
      </w:r>
      <w:proofErr w:type="spellStart"/>
      <w:r w:rsidRPr="00C443BF">
        <w:rPr>
          <w:rFonts w:ascii="Arial" w:hAnsi="Arial" w:cs="Arial"/>
          <w:sz w:val="22"/>
          <w:szCs w:val="22"/>
          <w:lang w:val="en-GB"/>
        </w:rPr>
        <w:t>Catherman</w:t>
      </w:r>
      <w:proofErr w:type="spellEnd"/>
      <w:r w:rsidRPr="00C443BF">
        <w:rPr>
          <w:rFonts w:ascii="Arial" w:hAnsi="Arial" w:cs="Arial"/>
          <w:sz w:val="22"/>
          <w:szCs w:val="22"/>
          <w:lang w:val="en-GB"/>
        </w:rPr>
        <w:t xml:space="preserve"> DR. 1996. Patterns of nutrient interchange and oxygen use among portal-drained viscera, liver and hindquarters of beef steers from 235 to 525 kg body weight. Journal of Animal Science 74, 1812-1831.</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Freetly</w:t>
      </w:r>
      <w:proofErr w:type="spellEnd"/>
      <w:r w:rsidRPr="00C443BF">
        <w:rPr>
          <w:rFonts w:ascii="Arial" w:hAnsi="Arial" w:cs="Arial"/>
          <w:sz w:val="22"/>
          <w:szCs w:val="22"/>
          <w:lang w:val="en-GB"/>
        </w:rPr>
        <w:t>, HC and Ferrell CL. 1998. Net flux of glucose, lactate, volatile fatty acids, and nitrogen metabolites across the portal drained viscera and liver of pregnant ewes. Journal of Animal Science 76, 3133–3145.</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Goetsch</w:t>
      </w:r>
      <w:proofErr w:type="spellEnd"/>
      <w:r w:rsidRPr="00C443BF">
        <w:rPr>
          <w:rFonts w:ascii="Arial" w:hAnsi="Arial" w:cs="Arial"/>
          <w:sz w:val="22"/>
          <w:szCs w:val="22"/>
          <w:lang w:val="en-GB"/>
        </w:rPr>
        <w:t xml:space="preserve">, AL, and Ferrell CL. 1995. Effect of dietary maize level on net flux across splanchnic tissues of oxygen and nutrients in </w:t>
      </w:r>
      <w:proofErr w:type="spellStart"/>
      <w:r w:rsidRPr="00C443BF">
        <w:rPr>
          <w:rFonts w:ascii="Arial" w:hAnsi="Arial" w:cs="Arial"/>
          <w:sz w:val="22"/>
          <w:szCs w:val="22"/>
          <w:lang w:val="en-GB"/>
        </w:rPr>
        <w:t>wethers</w:t>
      </w:r>
      <w:proofErr w:type="spellEnd"/>
      <w:r w:rsidRPr="00C443BF">
        <w:rPr>
          <w:rFonts w:ascii="Arial" w:hAnsi="Arial" w:cs="Arial"/>
          <w:sz w:val="22"/>
          <w:szCs w:val="22"/>
          <w:lang w:val="en-GB"/>
        </w:rPr>
        <w:t xml:space="preserve"> consuming ad-</w:t>
      </w:r>
      <w:proofErr w:type="spellStart"/>
      <w:r w:rsidRPr="00C443BF">
        <w:rPr>
          <w:rFonts w:ascii="Arial" w:hAnsi="Arial" w:cs="Arial"/>
          <w:sz w:val="22"/>
          <w:szCs w:val="22"/>
          <w:lang w:val="en-GB"/>
        </w:rPr>
        <w:t>libitum</w:t>
      </w:r>
      <w:proofErr w:type="spellEnd"/>
      <w:r w:rsidRPr="00C443BF">
        <w:rPr>
          <w:rFonts w:ascii="Arial" w:hAnsi="Arial" w:cs="Arial"/>
          <w:sz w:val="22"/>
          <w:szCs w:val="22"/>
          <w:lang w:val="en-GB"/>
        </w:rPr>
        <w:t xml:space="preserve"> different forages. Animal Science 61, 43-55.</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Goetsch</w:t>
      </w:r>
      <w:proofErr w:type="spellEnd"/>
      <w:r w:rsidRPr="00C443BF">
        <w:rPr>
          <w:rFonts w:ascii="Arial" w:hAnsi="Arial" w:cs="Arial"/>
          <w:sz w:val="22"/>
          <w:szCs w:val="22"/>
          <w:lang w:val="en-GB"/>
        </w:rPr>
        <w:t xml:space="preserve">, AL, </w:t>
      </w:r>
      <w:proofErr w:type="spellStart"/>
      <w:r w:rsidRPr="00C443BF">
        <w:rPr>
          <w:rFonts w:ascii="Arial" w:hAnsi="Arial" w:cs="Arial"/>
          <w:sz w:val="22"/>
          <w:szCs w:val="22"/>
          <w:lang w:val="en-GB"/>
        </w:rPr>
        <w:t>Ferrel</w:t>
      </w:r>
      <w:proofErr w:type="spellEnd"/>
      <w:r w:rsidRPr="00C443BF">
        <w:rPr>
          <w:rFonts w:ascii="Arial" w:hAnsi="Arial" w:cs="Arial"/>
          <w:sz w:val="22"/>
          <w:szCs w:val="22"/>
          <w:lang w:val="en-GB"/>
        </w:rPr>
        <w:t xml:space="preserve"> CL and </w:t>
      </w:r>
      <w:proofErr w:type="spellStart"/>
      <w:r w:rsidRPr="00C443BF">
        <w:rPr>
          <w:rFonts w:ascii="Arial" w:hAnsi="Arial" w:cs="Arial"/>
          <w:sz w:val="22"/>
          <w:szCs w:val="22"/>
          <w:lang w:val="en-GB"/>
        </w:rPr>
        <w:t>Freetly</w:t>
      </w:r>
      <w:proofErr w:type="spellEnd"/>
      <w:r w:rsidRPr="00C443BF">
        <w:rPr>
          <w:rFonts w:ascii="Arial" w:hAnsi="Arial" w:cs="Arial"/>
          <w:sz w:val="22"/>
          <w:szCs w:val="22"/>
          <w:lang w:val="en-GB"/>
        </w:rPr>
        <w:t xml:space="preserve"> HC. 1994. Effect of different supplements on splanchnic oxygen consumption and net fluxes of nutrients in sheep consuming </w:t>
      </w:r>
      <w:proofErr w:type="spellStart"/>
      <w:r w:rsidRPr="00C443BF">
        <w:rPr>
          <w:rFonts w:ascii="Arial" w:hAnsi="Arial" w:cs="Arial"/>
          <w:sz w:val="22"/>
          <w:szCs w:val="22"/>
          <w:lang w:val="en-GB"/>
        </w:rPr>
        <w:t>bromegrass</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Bromus</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inermis</w:t>
      </w:r>
      <w:proofErr w:type="spellEnd"/>
      <w:r w:rsidRPr="00C443BF">
        <w:rPr>
          <w:rFonts w:ascii="Arial" w:hAnsi="Arial" w:cs="Arial"/>
          <w:sz w:val="22"/>
          <w:szCs w:val="22"/>
          <w:lang w:val="en-GB"/>
        </w:rPr>
        <w:t xml:space="preserve">) hay ad libitum. British journal of Nutrition 72, 701-712. </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 xml:space="preserve">Harmon, DL, Gross </w:t>
      </w:r>
      <w:proofErr w:type="spellStart"/>
      <w:r w:rsidRPr="00C443BF">
        <w:rPr>
          <w:rFonts w:ascii="Arial" w:hAnsi="Arial" w:cs="Arial"/>
          <w:sz w:val="22"/>
          <w:szCs w:val="22"/>
          <w:lang w:val="en-GB"/>
        </w:rPr>
        <w:t>KL</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Kreikemeier</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KK</w:t>
      </w:r>
      <w:proofErr w:type="spellEnd"/>
      <w:r w:rsidRPr="00C443BF">
        <w:rPr>
          <w:rFonts w:ascii="Arial" w:hAnsi="Arial" w:cs="Arial"/>
          <w:sz w:val="22"/>
          <w:szCs w:val="22"/>
          <w:lang w:val="en-GB"/>
        </w:rPr>
        <w:t xml:space="preserve">, Coffey </w:t>
      </w:r>
      <w:proofErr w:type="spellStart"/>
      <w:r w:rsidRPr="00C443BF">
        <w:rPr>
          <w:rFonts w:ascii="Arial" w:hAnsi="Arial" w:cs="Arial"/>
          <w:sz w:val="22"/>
          <w:szCs w:val="22"/>
          <w:lang w:val="en-GB"/>
        </w:rPr>
        <w:t>KP</w:t>
      </w:r>
      <w:proofErr w:type="spellEnd"/>
      <w:r w:rsidRPr="00C443BF">
        <w:rPr>
          <w:rFonts w:ascii="Arial" w:hAnsi="Arial" w:cs="Arial"/>
          <w:sz w:val="22"/>
          <w:szCs w:val="22"/>
          <w:lang w:val="en-GB"/>
        </w:rPr>
        <w:t xml:space="preserve">, Avery TB and </w:t>
      </w:r>
      <w:proofErr w:type="spellStart"/>
      <w:r w:rsidRPr="00C443BF">
        <w:rPr>
          <w:rFonts w:ascii="Arial" w:hAnsi="Arial" w:cs="Arial"/>
          <w:sz w:val="22"/>
          <w:szCs w:val="22"/>
          <w:lang w:val="en-GB"/>
        </w:rPr>
        <w:t>Klindt</w:t>
      </w:r>
      <w:proofErr w:type="spellEnd"/>
      <w:r w:rsidRPr="00C443BF">
        <w:rPr>
          <w:rFonts w:ascii="Arial" w:hAnsi="Arial" w:cs="Arial"/>
          <w:sz w:val="22"/>
          <w:szCs w:val="22"/>
          <w:lang w:val="en-GB"/>
        </w:rPr>
        <w:t xml:space="preserve"> J. 1991. Effects of feeding </w:t>
      </w:r>
      <w:proofErr w:type="spellStart"/>
      <w:r w:rsidRPr="00C443BF">
        <w:rPr>
          <w:rFonts w:ascii="Arial" w:hAnsi="Arial" w:cs="Arial"/>
          <w:sz w:val="22"/>
          <w:szCs w:val="22"/>
          <w:lang w:val="en-GB"/>
        </w:rPr>
        <w:t>endophyte</w:t>
      </w:r>
      <w:proofErr w:type="spellEnd"/>
      <w:r w:rsidRPr="00C443BF">
        <w:rPr>
          <w:rFonts w:ascii="Arial" w:hAnsi="Arial" w:cs="Arial"/>
          <w:sz w:val="22"/>
          <w:szCs w:val="22"/>
          <w:lang w:val="en-GB"/>
        </w:rPr>
        <w:t>-infected fescue hay on portal and hepatic nutrient flux in steers. Journal of Animal Science 69, 1223-1231.</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Heitmann</w:t>
      </w:r>
      <w:proofErr w:type="spellEnd"/>
      <w:r w:rsidRPr="00C443BF">
        <w:rPr>
          <w:rFonts w:ascii="Arial" w:hAnsi="Arial" w:cs="Arial"/>
          <w:sz w:val="22"/>
          <w:szCs w:val="22"/>
          <w:lang w:val="en-GB"/>
        </w:rPr>
        <w:t xml:space="preserve">, RN, </w:t>
      </w:r>
      <w:proofErr w:type="spellStart"/>
      <w:r w:rsidRPr="00C443BF">
        <w:rPr>
          <w:rFonts w:ascii="Arial" w:hAnsi="Arial" w:cs="Arial"/>
          <w:sz w:val="22"/>
          <w:szCs w:val="22"/>
          <w:lang w:val="en-GB"/>
        </w:rPr>
        <w:t>Sensenig</w:t>
      </w:r>
      <w:proofErr w:type="spellEnd"/>
      <w:r w:rsidRPr="00C443BF">
        <w:rPr>
          <w:rFonts w:ascii="Arial" w:hAnsi="Arial" w:cs="Arial"/>
          <w:sz w:val="22"/>
          <w:szCs w:val="22"/>
          <w:lang w:val="en-GB"/>
        </w:rPr>
        <w:t xml:space="preserve"> SC, Reynolds CK, Fernandez JM and Dawes DJ. 1986. Changes in energy metabolite and regulatory hormone concentrations and net fluxes across </w:t>
      </w:r>
      <w:r w:rsidRPr="00C443BF">
        <w:rPr>
          <w:rFonts w:ascii="Arial" w:hAnsi="Arial" w:cs="Arial"/>
          <w:sz w:val="22"/>
          <w:szCs w:val="22"/>
          <w:lang w:val="en-GB"/>
        </w:rPr>
        <w:lastRenderedPageBreak/>
        <w:t>splanchnic and peripheral tissues in fed and progressively fasted ewes. Journal of Nutrition 116, 2516-2524.</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 xml:space="preserve">Huntington, GB, </w:t>
      </w:r>
      <w:proofErr w:type="spellStart"/>
      <w:r w:rsidRPr="00C443BF">
        <w:rPr>
          <w:rFonts w:ascii="Arial" w:hAnsi="Arial" w:cs="Arial"/>
          <w:sz w:val="22"/>
          <w:szCs w:val="22"/>
          <w:lang w:val="en-GB"/>
        </w:rPr>
        <w:t>Zetina</w:t>
      </w:r>
      <w:proofErr w:type="spellEnd"/>
      <w:r w:rsidRPr="00C443BF">
        <w:rPr>
          <w:rFonts w:ascii="Arial" w:hAnsi="Arial" w:cs="Arial"/>
          <w:sz w:val="22"/>
          <w:szCs w:val="22"/>
          <w:lang w:val="en-GB"/>
        </w:rPr>
        <w:t xml:space="preserve"> E, Whitt </w:t>
      </w:r>
      <w:proofErr w:type="spellStart"/>
      <w:r w:rsidRPr="00C443BF">
        <w:rPr>
          <w:rFonts w:ascii="Arial" w:hAnsi="Arial" w:cs="Arial"/>
          <w:sz w:val="22"/>
          <w:szCs w:val="22"/>
          <w:lang w:val="en-GB"/>
        </w:rPr>
        <w:t>JM</w:t>
      </w:r>
      <w:proofErr w:type="spellEnd"/>
      <w:r w:rsidRPr="00C443BF">
        <w:rPr>
          <w:rFonts w:ascii="Arial" w:hAnsi="Arial" w:cs="Arial"/>
          <w:sz w:val="22"/>
          <w:szCs w:val="22"/>
          <w:lang w:val="en-GB"/>
        </w:rPr>
        <w:t xml:space="preserve"> and Potts W. 1996. Effects of dietary concentrate level on nutrient absorption, liver metabolism, and urea kinetics of beef steers fed </w:t>
      </w:r>
      <w:proofErr w:type="spellStart"/>
      <w:r w:rsidRPr="00C443BF">
        <w:rPr>
          <w:rFonts w:ascii="Arial" w:hAnsi="Arial" w:cs="Arial"/>
          <w:sz w:val="22"/>
          <w:szCs w:val="22"/>
          <w:lang w:val="en-GB"/>
        </w:rPr>
        <w:t>isonitrogenous</w:t>
      </w:r>
      <w:proofErr w:type="spellEnd"/>
      <w:r w:rsidRPr="00C443BF">
        <w:rPr>
          <w:rFonts w:ascii="Arial" w:hAnsi="Arial" w:cs="Arial"/>
          <w:sz w:val="22"/>
          <w:szCs w:val="22"/>
          <w:lang w:val="en-GB"/>
        </w:rPr>
        <w:t xml:space="preserve"> and </w:t>
      </w:r>
      <w:proofErr w:type="spellStart"/>
      <w:r w:rsidRPr="00C443BF">
        <w:rPr>
          <w:rFonts w:ascii="Arial" w:hAnsi="Arial" w:cs="Arial"/>
          <w:sz w:val="22"/>
          <w:szCs w:val="22"/>
          <w:lang w:val="en-GB"/>
        </w:rPr>
        <w:t>isoenergetic</w:t>
      </w:r>
      <w:proofErr w:type="spellEnd"/>
      <w:r w:rsidRPr="00C443BF">
        <w:rPr>
          <w:rFonts w:ascii="Arial" w:hAnsi="Arial" w:cs="Arial"/>
          <w:sz w:val="22"/>
          <w:szCs w:val="22"/>
          <w:lang w:val="en-GB"/>
        </w:rPr>
        <w:t xml:space="preserve"> diets. Journal of Animal Science 74, 908-916.</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Katz, ML and Bergman EN. 1969. Hepatic and portal metabolism of glucose, free fatty acids, and ketone bodies in the sheep. American Journal of Physiology 216, 953-960.</w:t>
      </w:r>
    </w:p>
    <w:p w:rsidR="00776F97" w:rsidRPr="00C443BF" w:rsidRDefault="00776F97" w:rsidP="00776F9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Krehbiel</w:t>
      </w:r>
      <w:proofErr w:type="spellEnd"/>
      <w:r w:rsidRPr="00C443BF">
        <w:rPr>
          <w:rFonts w:ascii="Arial" w:hAnsi="Arial" w:cs="Arial"/>
          <w:sz w:val="22"/>
          <w:szCs w:val="22"/>
          <w:lang w:val="en-GB"/>
        </w:rPr>
        <w:t xml:space="preserve">, C.R., </w:t>
      </w:r>
      <w:proofErr w:type="spellStart"/>
      <w:r w:rsidRPr="00C443BF">
        <w:rPr>
          <w:rFonts w:ascii="Arial" w:hAnsi="Arial" w:cs="Arial"/>
          <w:sz w:val="22"/>
          <w:szCs w:val="22"/>
          <w:lang w:val="en-GB"/>
        </w:rPr>
        <w:t>C.L.</w:t>
      </w:r>
      <w:proofErr w:type="spellEnd"/>
      <w:r w:rsidRPr="00C443BF">
        <w:rPr>
          <w:rFonts w:ascii="Arial" w:hAnsi="Arial" w:cs="Arial"/>
          <w:sz w:val="22"/>
          <w:szCs w:val="22"/>
          <w:lang w:val="en-GB"/>
        </w:rPr>
        <w:t xml:space="preserve"> Ferrell, and </w:t>
      </w:r>
      <w:proofErr w:type="spellStart"/>
      <w:r w:rsidRPr="00C443BF">
        <w:rPr>
          <w:rFonts w:ascii="Arial" w:hAnsi="Arial" w:cs="Arial"/>
          <w:sz w:val="22"/>
          <w:szCs w:val="22"/>
          <w:lang w:val="en-GB"/>
        </w:rPr>
        <w:t>H.C.</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Freetly</w:t>
      </w:r>
      <w:proofErr w:type="spellEnd"/>
      <w:r w:rsidRPr="00C443BF">
        <w:rPr>
          <w:rFonts w:ascii="Arial" w:hAnsi="Arial" w:cs="Arial"/>
          <w:sz w:val="22"/>
          <w:szCs w:val="22"/>
          <w:lang w:val="en-GB"/>
        </w:rPr>
        <w:t>. 1998. Effects of frequency of supplementation on dry matter intake and net portal and hepatic flux of nutrients in mature ewes that consume low-quality forage. J. Anim. Sci. 76:2464-2473.</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Lapierre</w:t>
      </w:r>
      <w:proofErr w:type="spellEnd"/>
      <w:r w:rsidRPr="00C443BF">
        <w:rPr>
          <w:rFonts w:ascii="Arial" w:hAnsi="Arial" w:cs="Arial"/>
          <w:sz w:val="22"/>
          <w:szCs w:val="22"/>
          <w:lang w:val="en-GB"/>
        </w:rPr>
        <w:t xml:space="preserve">, H, Reynolds CK, </w:t>
      </w:r>
      <w:proofErr w:type="spellStart"/>
      <w:r w:rsidRPr="00C443BF">
        <w:rPr>
          <w:rFonts w:ascii="Arial" w:hAnsi="Arial" w:cs="Arial"/>
          <w:sz w:val="22"/>
          <w:szCs w:val="22"/>
          <w:lang w:val="en-GB"/>
        </w:rPr>
        <w:t>Elsasser</w:t>
      </w:r>
      <w:proofErr w:type="spellEnd"/>
      <w:r w:rsidRPr="00C443BF">
        <w:rPr>
          <w:rFonts w:ascii="Arial" w:hAnsi="Arial" w:cs="Arial"/>
          <w:sz w:val="22"/>
          <w:szCs w:val="22"/>
          <w:lang w:val="en-GB"/>
        </w:rPr>
        <w:t xml:space="preserve"> TH, </w:t>
      </w:r>
      <w:proofErr w:type="spellStart"/>
      <w:r w:rsidRPr="00C443BF">
        <w:rPr>
          <w:rFonts w:ascii="Arial" w:hAnsi="Arial" w:cs="Arial"/>
          <w:sz w:val="22"/>
          <w:szCs w:val="22"/>
          <w:lang w:val="en-GB"/>
        </w:rPr>
        <w:t>Gaudreau</w:t>
      </w:r>
      <w:proofErr w:type="spellEnd"/>
      <w:r w:rsidRPr="00C443BF">
        <w:rPr>
          <w:rFonts w:ascii="Arial" w:hAnsi="Arial" w:cs="Arial"/>
          <w:sz w:val="22"/>
          <w:szCs w:val="22"/>
          <w:lang w:val="en-GB"/>
        </w:rPr>
        <w:t xml:space="preserve"> P, </w:t>
      </w:r>
      <w:proofErr w:type="spellStart"/>
      <w:r w:rsidRPr="00C443BF">
        <w:rPr>
          <w:rFonts w:ascii="Arial" w:hAnsi="Arial" w:cs="Arial"/>
          <w:sz w:val="22"/>
          <w:szCs w:val="22"/>
          <w:lang w:val="en-GB"/>
        </w:rPr>
        <w:t>Brazeau</w:t>
      </w:r>
      <w:proofErr w:type="spellEnd"/>
      <w:r w:rsidRPr="00C443BF">
        <w:rPr>
          <w:rFonts w:ascii="Arial" w:hAnsi="Arial" w:cs="Arial"/>
          <w:sz w:val="22"/>
          <w:szCs w:val="22"/>
          <w:lang w:val="en-GB"/>
        </w:rPr>
        <w:t xml:space="preserve"> P and </w:t>
      </w:r>
      <w:proofErr w:type="spellStart"/>
      <w:r w:rsidRPr="00C443BF">
        <w:rPr>
          <w:rFonts w:ascii="Arial" w:hAnsi="Arial" w:cs="Arial"/>
          <w:sz w:val="22"/>
          <w:szCs w:val="22"/>
          <w:lang w:val="en-GB"/>
        </w:rPr>
        <w:t>Tyrrell</w:t>
      </w:r>
      <w:proofErr w:type="spellEnd"/>
      <w:r w:rsidRPr="00C443BF">
        <w:rPr>
          <w:rFonts w:ascii="Arial" w:hAnsi="Arial" w:cs="Arial"/>
          <w:sz w:val="22"/>
          <w:szCs w:val="22"/>
          <w:lang w:val="en-GB"/>
        </w:rPr>
        <w:t xml:space="preserve"> HF. 1992. Effects of growth hormone-releasing factor and feed-intake on energy-metabolism in growing beef steers - net hormone metabolism by portal-drained viscera and liver. Journal of Animal Science 70, 742-751.</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Linington</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MJ</w:t>
      </w:r>
      <w:proofErr w:type="spellEnd"/>
      <w:r w:rsidRPr="00C443BF">
        <w:rPr>
          <w:rFonts w:ascii="Arial" w:hAnsi="Arial" w:cs="Arial"/>
          <w:sz w:val="22"/>
          <w:szCs w:val="22"/>
          <w:lang w:val="en-GB"/>
        </w:rPr>
        <w:t xml:space="preserve">, Meyer </w:t>
      </w:r>
      <w:proofErr w:type="spellStart"/>
      <w:r w:rsidRPr="00C443BF">
        <w:rPr>
          <w:rFonts w:ascii="Arial" w:hAnsi="Arial" w:cs="Arial"/>
          <w:sz w:val="22"/>
          <w:szCs w:val="22"/>
          <w:lang w:val="en-GB"/>
        </w:rPr>
        <w:t>JHF</w:t>
      </w:r>
      <w:proofErr w:type="spellEnd"/>
      <w:r w:rsidRPr="00C443BF">
        <w:rPr>
          <w:rFonts w:ascii="Arial" w:hAnsi="Arial" w:cs="Arial"/>
          <w:sz w:val="22"/>
          <w:szCs w:val="22"/>
          <w:lang w:val="en-GB"/>
        </w:rPr>
        <w:t xml:space="preserve"> and van der Walt JG. 1998. </w:t>
      </w:r>
      <w:proofErr w:type="spellStart"/>
      <w:r w:rsidRPr="00C443BF">
        <w:rPr>
          <w:rFonts w:ascii="Arial" w:hAnsi="Arial" w:cs="Arial"/>
          <w:sz w:val="22"/>
          <w:szCs w:val="22"/>
          <w:lang w:val="en-GB"/>
        </w:rPr>
        <w:t>Ruminal</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VFA</w:t>
      </w:r>
      <w:proofErr w:type="spellEnd"/>
      <w:r w:rsidRPr="00C443BF">
        <w:rPr>
          <w:rFonts w:ascii="Arial" w:hAnsi="Arial" w:cs="Arial"/>
          <w:sz w:val="22"/>
          <w:szCs w:val="22"/>
          <w:lang w:val="en-GB"/>
        </w:rPr>
        <w:t xml:space="preserve"> production rates, whole body metabolite kinetics and blood hormone concentrations in sheep fed high- and low-fibre diets. South African Journal of Animal Science 28, 82-98.</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 xml:space="preserve">Lozano, O, </w:t>
      </w:r>
      <w:proofErr w:type="spellStart"/>
      <w:r w:rsidRPr="00C443BF">
        <w:rPr>
          <w:rFonts w:ascii="Arial" w:hAnsi="Arial" w:cs="Arial"/>
          <w:sz w:val="22"/>
          <w:szCs w:val="22"/>
          <w:lang w:val="en-GB"/>
        </w:rPr>
        <w:t>Theurer</w:t>
      </w:r>
      <w:proofErr w:type="spellEnd"/>
      <w:r w:rsidRPr="00C443BF">
        <w:rPr>
          <w:rFonts w:ascii="Arial" w:hAnsi="Arial" w:cs="Arial"/>
          <w:sz w:val="22"/>
          <w:szCs w:val="22"/>
          <w:lang w:val="en-GB"/>
        </w:rPr>
        <w:t xml:space="preserve"> CB, </w:t>
      </w:r>
      <w:proofErr w:type="spellStart"/>
      <w:r w:rsidRPr="00C443BF">
        <w:rPr>
          <w:rFonts w:ascii="Arial" w:hAnsi="Arial" w:cs="Arial"/>
          <w:sz w:val="22"/>
          <w:szCs w:val="22"/>
          <w:lang w:val="en-GB"/>
        </w:rPr>
        <w:t>Alio</w:t>
      </w:r>
      <w:proofErr w:type="spellEnd"/>
      <w:r w:rsidRPr="00C443BF">
        <w:rPr>
          <w:rFonts w:ascii="Arial" w:hAnsi="Arial" w:cs="Arial"/>
          <w:sz w:val="22"/>
          <w:szCs w:val="22"/>
          <w:lang w:val="en-GB"/>
        </w:rPr>
        <w:t xml:space="preserve"> A, Huber JT, Delgado-</w:t>
      </w:r>
      <w:proofErr w:type="spellStart"/>
      <w:r w:rsidRPr="00C443BF">
        <w:rPr>
          <w:rFonts w:ascii="Arial" w:hAnsi="Arial" w:cs="Arial"/>
          <w:sz w:val="22"/>
          <w:szCs w:val="22"/>
          <w:lang w:val="en-GB"/>
        </w:rPr>
        <w:t>Elorduy</w:t>
      </w:r>
      <w:proofErr w:type="spellEnd"/>
      <w:r w:rsidRPr="00C443BF">
        <w:rPr>
          <w:rFonts w:ascii="Arial" w:hAnsi="Arial" w:cs="Arial"/>
          <w:sz w:val="22"/>
          <w:szCs w:val="22"/>
          <w:lang w:val="en-GB"/>
        </w:rPr>
        <w:t xml:space="preserve"> A, Cuneo P, </w:t>
      </w:r>
      <w:proofErr w:type="spellStart"/>
      <w:r w:rsidRPr="00C443BF">
        <w:rPr>
          <w:rFonts w:ascii="Arial" w:hAnsi="Arial" w:cs="Arial"/>
          <w:sz w:val="22"/>
          <w:szCs w:val="22"/>
          <w:lang w:val="en-GB"/>
        </w:rPr>
        <w:t>DeYoung</w:t>
      </w:r>
      <w:proofErr w:type="spellEnd"/>
      <w:r w:rsidRPr="00C443BF">
        <w:rPr>
          <w:rFonts w:ascii="Arial" w:hAnsi="Arial" w:cs="Arial"/>
          <w:sz w:val="22"/>
          <w:szCs w:val="22"/>
          <w:lang w:val="en-GB"/>
        </w:rPr>
        <w:t xml:space="preserve"> D, </w:t>
      </w:r>
      <w:proofErr w:type="spellStart"/>
      <w:r w:rsidRPr="00C443BF">
        <w:rPr>
          <w:rFonts w:ascii="Arial" w:hAnsi="Arial" w:cs="Arial"/>
          <w:sz w:val="22"/>
          <w:szCs w:val="22"/>
          <w:lang w:val="en-GB"/>
        </w:rPr>
        <w:t>Sadik</w:t>
      </w:r>
      <w:proofErr w:type="spellEnd"/>
      <w:r w:rsidRPr="00C443BF">
        <w:rPr>
          <w:rFonts w:ascii="Arial" w:hAnsi="Arial" w:cs="Arial"/>
          <w:sz w:val="22"/>
          <w:szCs w:val="22"/>
          <w:lang w:val="en-GB"/>
        </w:rPr>
        <w:t xml:space="preserve"> M and </w:t>
      </w:r>
      <w:proofErr w:type="spellStart"/>
      <w:r w:rsidRPr="00C443BF">
        <w:rPr>
          <w:rFonts w:ascii="Arial" w:hAnsi="Arial" w:cs="Arial"/>
          <w:sz w:val="22"/>
          <w:szCs w:val="22"/>
          <w:lang w:val="en-GB"/>
        </w:rPr>
        <w:t>Swingle</w:t>
      </w:r>
      <w:proofErr w:type="spellEnd"/>
      <w:r w:rsidRPr="00C443BF">
        <w:rPr>
          <w:rFonts w:ascii="Arial" w:hAnsi="Arial" w:cs="Arial"/>
          <w:sz w:val="22"/>
          <w:szCs w:val="22"/>
          <w:lang w:val="en-GB"/>
        </w:rPr>
        <w:t xml:space="preserve"> RS. 2000. Net absorption and hepatic metabolism of glucose, </w:t>
      </w:r>
      <w:proofErr w:type="spellStart"/>
      <w:r w:rsidRPr="00C443BF">
        <w:rPr>
          <w:rFonts w:ascii="Arial" w:hAnsi="Arial" w:cs="Arial"/>
          <w:sz w:val="22"/>
          <w:szCs w:val="22"/>
          <w:lang w:val="en-GB"/>
        </w:rPr>
        <w:t>Llactate</w:t>
      </w:r>
      <w:proofErr w:type="spellEnd"/>
      <w:r w:rsidRPr="00C443BF">
        <w:rPr>
          <w:rFonts w:ascii="Arial" w:hAnsi="Arial" w:cs="Arial"/>
          <w:sz w:val="22"/>
          <w:szCs w:val="22"/>
          <w:lang w:val="en-GB"/>
        </w:rPr>
        <w:t>, and volatile fatty acids by steers fed diets containing sorghum grain processed as dry-rolled or steam-flaked at different densities. Journal of Animal Science 78, 1364-1371.</w:t>
      </w:r>
    </w:p>
    <w:p w:rsidR="00111C59" w:rsidRPr="00C443BF" w:rsidRDefault="00111C59" w:rsidP="00111C59">
      <w:pPr>
        <w:spacing w:line="480" w:lineRule="auto"/>
        <w:ind w:left="720" w:hanging="720"/>
        <w:jc w:val="both"/>
        <w:rPr>
          <w:rFonts w:ascii="Arial" w:hAnsi="Arial" w:cs="Arial"/>
          <w:sz w:val="22"/>
          <w:szCs w:val="22"/>
        </w:rPr>
      </w:pPr>
      <w:proofErr w:type="spellStart"/>
      <w:r w:rsidRPr="00C443BF">
        <w:rPr>
          <w:rFonts w:ascii="Arial" w:hAnsi="Arial" w:cs="Arial"/>
          <w:sz w:val="22"/>
          <w:szCs w:val="22"/>
          <w:lang w:val="en-GB"/>
        </w:rPr>
        <w:t>Majdoub</w:t>
      </w:r>
      <w:proofErr w:type="spellEnd"/>
      <w:r w:rsidRPr="00C443BF">
        <w:rPr>
          <w:rFonts w:ascii="Arial" w:hAnsi="Arial" w:cs="Arial"/>
          <w:sz w:val="22"/>
          <w:szCs w:val="22"/>
          <w:lang w:val="en-GB"/>
        </w:rPr>
        <w:t xml:space="preserve">, L., M. </w:t>
      </w:r>
      <w:proofErr w:type="spellStart"/>
      <w:r w:rsidRPr="00C443BF">
        <w:rPr>
          <w:rFonts w:ascii="Arial" w:hAnsi="Arial" w:cs="Arial"/>
          <w:sz w:val="22"/>
          <w:szCs w:val="22"/>
          <w:lang w:val="en-GB"/>
        </w:rPr>
        <w:t>Vermorel</w:t>
      </w:r>
      <w:proofErr w:type="spellEnd"/>
      <w:r w:rsidRPr="00C443BF">
        <w:rPr>
          <w:rFonts w:ascii="Arial" w:hAnsi="Arial" w:cs="Arial"/>
          <w:sz w:val="22"/>
          <w:szCs w:val="22"/>
          <w:lang w:val="en-GB"/>
        </w:rPr>
        <w:t xml:space="preserve">, and I. </w:t>
      </w:r>
      <w:proofErr w:type="spellStart"/>
      <w:r w:rsidRPr="00C443BF">
        <w:rPr>
          <w:rFonts w:ascii="Arial" w:hAnsi="Arial" w:cs="Arial"/>
          <w:sz w:val="22"/>
          <w:szCs w:val="22"/>
          <w:lang w:val="en-GB"/>
        </w:rPr>
        <w:t>Ortigues</w:t>
      </w:r>
      <w:proofErr w:type="spellEnd"/>
      <w:r w:rsidRPr="00C443BF">
        <w:rPr>
          <w:rFonts w:ascii="Arial" w:hAnsi="Arial" w:cs="Arial"/>
          <w:sz w:val="22"/>
          <w:szCs w:val="22"/>
          <w:lang w:val="en-GB"/>
        </w:rPr>
        <w:t xml:space="preserve">-Marty. 2003. Ryegrass-based diet and barley supplementation: Partition of energy-yielding nutrients among splanchnic tissues and hind limbs in finishing lambs. </w:t>
      </w:r>
      <w:r w:rsidRPr="00C443BF">
        <w:rPr>
          <w:rFonts w:ascii="Arial" w:hAnsi="Arial" w:cs="Arial"/>
          <w:sz w:val="22"/>
          <w:szCs w:val="22"/>
        </w:rPr>
        <w:t xml:space="preserve">J. </w:t>
      </w:r>
      <w:proofErr w:type="spellStart"/>
      <w:r w:rsidRPr="00C443BF">
        <w:rPr>
          <w:rFonts w:ascii="Arial" w:hAnsi="Arial" w:cs="Arial"/>
          <w:sz w:val="22"/>
          <w:szCs w:val="22"/>
        </w:rPr>
        <w:t>Anim</w:t>
      </w:r>
      <w:proofErr w:type="spellEnd"/>
      <w:r w:rsidRPr="00C443BF">
        <w:rPr>
          <w:rFonts w:ascii="Arial" w:hAnsi="Arial" w:cs="Arial"/>
          <w:sz w:val="22"/>
          <w:szCs w:val="22"/>
        </w:rPr>
        <w:t xml:space="preserve">. </w:t>
      </w:r>
      <w:proofErr w:type="spellStart"/>
      <w:r w:rsidRPr="00C443BF">
        <w:rPr>
          <w:rFonts w:ascii="Arial" w:hAnsi="Arial" w:cs="Arial"/>
          <w:sz w:val="22"/>
          <w:szCs w:val="22"/>
        </w:rPr>
        <w:t>Sci</w:t>
      </w:r>
      <w:proofErr w:type="spellEnd"/>
      <w:r w:rsidRPr="00C443BF">
        <w:rPr>
          <w:rFonts w:ascii="Arial" w:hAnsi="Arial" w:cs="Arial"/>
          <w:sz w:val="22"/>
          <w:szCs w:val="22"/>
        </w:rPr>
        <w:t>. 81:1068-1079.</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rPr>
        <w:t>Maltby</w:t>
      </w:r>
      <w:proofErr w:type="spellEnd"/>
      <w:r w:rsidRPr="00C443BF">
        <w:rPr>
          <w:rFonts w:ascii="Arial" w:hAnsi="Arial" w:cs="Arial"/>
          <w:sz w:val="22"/>
          <w:szCs w:val="22"/>
        </w:rPr>
        <w:t xml:space="preserve">, SA, </w:t>
      </w:r>
      <w:proofErr w:type="spellStart"/>
      <w:r w:rsidRPr="00C443BF">
        <w:rPr>
          <w:rFonts w:ascii="Arial" w:hAnsi="Arial" w:cs="Arial"/>
          <w:sz w:val="22"/>
          <w:szCs w:val="22"/>
        </w:rPr>
        <w:t>Lomax</w:t>
      </w:r>
      <w:proofErr w:type="spellEnd"/>
      <w:r w:rsidRPr="00C443BF">
        <w:rPr>
          <w:rFonts w:ascii="Arial" w:hAnsi="Arial" w:cs="Arial"/>
          <w:sz w:val="22"/>
          <w:szCs w:val="22"/>
        </w:rPr>
        <w:t xml:space="preserve"> MA, </w:t>
      </w:r>
      <w:proofErr w:type="spellStart"/>
      <w:r w:rsidRPr="00C443BF">
        <w:rPr>
          <w:rFonts w:ascii="Arial" w:hAnsi="Arial" w:cs="Arial"/>
          <w:sz w:val="22"/>
          <w:szCs w:val="22"/>
        </w:rPr>
        <w:t>Beever</w:t>
      </w:r>
      <w:proofErr w:type="spellEnd"/>
      <w:r w:rsidRPr="00C443BF">
        <w:rPr>
          <w:rFonts w:ascii="Arial" w:hAnsi="Arial" w:cs="Arial"/>
          <w:sz w:val="22"/>
          <w:szCs w:val="22"/>
        </w:rPr>
        <w:t xml:space="preserve"> DE and </w:t>
      </w:r>
      <w:proofErr w:type="spellStart"/>
      <w:r w:rsidRPr="00C443BF">
        <w:rPr>
          <w:rFonts w:ascii="Arial" w:hAnsi="Arial" w:cs="Arial"/>
          <w:sz w:val="22"/>
          <w:szCs w:val="22"/>
        </w:rPr>
        <w:t>Pippard</w:t>
      </w:r>
      <w:proofErr w:type="spellEnd"/>
      <w:r w:rsidRPr="00C443BF">
        <w:rPr>
          <w:rFonts w:ascii="Arial" w:hAnsi="Arial" w:cs="Arial"/>
          <w:sz w:val="22"/>
          <w:szCs w:val="22"/>
        </w:rPr>
        <w:t xml:space="preserve"> CJ. 1992. </w:t>
      </w:r>
      <w:r w:rsidRPr="00C443BF">
        <w:rPr>
          <w:rFonts w:ascii="Arial" w:hAnsi="Arial" w:cs="Arial"/>
          <w:sz w:val="22"/>
          <w:szCs w:val="22"/>
          <w:lang w:val="en-GB"/>
        </w:rPr>
        <w:t xml:space="preserve">The effect of increased ammonia and amino acid supply on post prandial portal-drained viscera and hepatic metabolism in growing steers fed maize silage. In 12th Symposium on Energy </w:t>
      </w:r>
      <w:r w:rsidRPr="00C443BF">
        <w:rPr>
          <w:rFonts w:ascii="Arial" w:hAnsi="Arial" w:cs="Arial"/>
          <w:sz w:val="22"/>
          <w:szCs w:val="22"/>
          <w:lang w:val="en-GB"/>
        </w:rPr>
        <w:lastRenderedPageBreak/>
        <w:t>Metabolism of Farm Animals (</w:t>
      </w:r>
      <w:proofErr w:type="spellStart"/>
      <w:r w:rsidRPr="00C443BF">
        <w:rPr>
          <w:rFonts w:ascii="Arial" w:hAnsi="Arial" w:cs="Arial"/>
          <w:sz w:val="22"/>
          <w:szCs w:val="22"/>
          <w:lang w:val="en-GB"/>
        </w:rPr>
        <w:t>eds</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Wenk</w:t>
      </w:r>
      <w:proofErr w:type="spellEnd"/>
      <w:r w:rsidRPr="00C443BF">
        <w:rPr>
          <w:rFonts w:ascii="Arial" w:hAnsi="Arial" w:cs="Arial"/>
          <w:sz w:val="22"/>
          <w:szCs w:val="22"/>
          <w:lang w:val="en-GB"/>
        </w:rPr>
        <w:t xml:space="preserve"> C and </w:t>
      </w:r>
      <w:proofErr w:type="spellStart"/>
      <w:r w:rsidRPr="00C443BF">
        <w:rPr>
          <w:rFonts w:ascii="Arial" w:hAnsi="Arial" w:cs="Arial"/>
          <w:sz w:val="22"/>
          <w:szCs w:val="22"/>
          <w:lang w:val="en-GB"/>
        </w:rPr>
        <w:t>Boessinger</w:t>
      </w:r>
      <w:proofErr w:type="spellEnd"/>
      <w:r w:rsidRPr="00C443BF">
        <w:rPr>
          <w:rFonts w:ascii="Arial" w:hAnsi="Arial" w:cs="Arial"/>
          <w:sz w:val="22"/>
          <w:szCs w:val="22"/>
          <w:lang w:val="en-GB"/>
        </w:rPr>
        <w:t xml:space="preserve"> C), pp 20-22. EAAP Publication, Zurich (Switzerland).</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Ortigues</w:t>
      </w:r>
      <w:proofErr w:type="spellEnd"/>
      <w:r w:rsidRPr="00C443BF">
        <w:rPr>
          <w:rFonts w:ascii="Arial" w:hAnsi="Arial" w:cs="Arial"/>
          <w:sz w:val="22"/>
          <w:szCs w:val="22"/>
          <w:lang w:val="en-GB"/>
        </w:rPr>
        <w:t xml:space="preserve">, I, </w:t>
      </w:r>
      <w:proofErr w:type="spellStart"/>
      <w:r w:rsidRPr="00C443BF">
        <w:rPr>
          <w:rFonts w:ascii="Arial" w:hAnsi="Arial" w:cs="Arial"/>
          <w:sz w:val="22"/>
          <w:szCs w:val="22"/>
          <w:lang w:val="en-GB"/>
        </w:rPr>
        <w:t>Visseiche</w:t>
      </w:r>
      <w:proofErr w:type="spellEnd"/>
      <w:r w:rsidRPr="00C443BF">
        <w:rPr>
          <w:rFonts w:ascii="Arial" w:hAnsi="Arial" w:cs="Arial"/>
          <w:sz w:val="22"/>
          <w:szCs w:val="22"/>
          <w:lang w:val="en-GB"/>
        </w:rPr>
        <w:t xml:space="preserve"> AL and Durand D. 1994. Adaptation to </w:t>
      </w:r>
      <w:proofErr w:type="spellStart"/>
      <w:r w:rsidRPr="00C443BF">
        <w:rPr>
          <w:rFonts w:ascii="Arial" w:hAnsi="Arial" w:cs="Arial"/>
          <w:sz w:val="22"/>
          <w:szCs w:val="22"/>
          <w:lang w:val="en-GB"/>
        </w:rPr>
        <w:t>undernutrition</w:t>
      </w:r>
      <w:proofErr w:type="spellEnd"/>
      <w:r w:rsidRPr="00C443BF">
        <w:rPr>
          <w:rFonts w:ascii="Arial" w:hAnsi="Arial" w:cs="Arial"/>
          <w:sz w:val="22"/>
          <w:szCs w:val="22"/>
          <w:lang w:val="en-GB"/>
        </w:rPr>
        <w:t xml:space="preserve"> in ewes: Net nutrient fluxes across the portal drained viscera, the liver and the hindquarters. In 13th Symposium on Energy Metabolism of Farm Animals (</w:t>
      </w:r>
      <w:proofErr w:type="spellStart"/>
      <w:r w:rsidRPr="00C443BF">
        <w:rPr>
          <w:rFonts w:ascii="Arial" w:hAnsi="Arial" w:cs="Arial"/>
          <w:sz w:val="22"/>
          <w:szCs w:val="22"/>
          <w:lang w:val="en-GB"/>
        </w:rPr>
        <w:t>eds</w:t>
      </w:r>
      <w:proofErr w:type="spellEnd"/>
      <w:r w:rsidRPr="00C443BF">
        <w:rPr>
          <w:rFonts w:ascii="Arial" w:hAnsi="Arial" w:cs="Arial"/>
          <w:sz w:val="22"/>
          <w:szCs w:val="22"/>
          <w:lang w:val="en-GB"/>
        </w:rPr>
        <w:t xml:space="preserve"> Aguilera </w:t>
      </w:r>
      <w:proofErr w:type="spellStart"/>
      <w:r w:rsidRPr="00C443BF">
        <w:rPr>
          <w:rFonts w:ascii="Arial" w:hAnsi="Arial" w:cs="Arial"/>
          <w:sz w:val="22"/>
          <w:szCs w:val="22"/>
          <w:lang w:val="en-GB"/>
        </w:rPr>
        <w:t>JF</w:t>
      </w:r>
      <w:proofErr w:type="spellEnd"/>
      <w:r w:rsidRPr="00C443BF">
        <w:rPr>
          <w:rFonts w:ascii="Arial" w:hAnsi="Arial" w:cs="Arial"/>
          <w:sz w:val="22"/>
          <w:szCs w:val="22"/>
          <w:lang w:val="en-GB"/>
        </w:rPr>
        <w:t>), pp 89-92. EAAP Publication, Granada (Spain).</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Patil</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AR</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Goetsch</w:t>
      </w:r>
      <w:proofErr w:type="spellEnd"/>
      <w:r w:rsidRPr="00C443BF">
        <w:rPr>
          <w:rFonts w:ascii="Arial" w:hAnsi="Arial" w:cs="Arial"/>
          <w:sz w:val="22"/>
          <w:szCs w:val="22"/>
          <w:lang w:val="en-GB"/>
        </w:rPr>
        <w:t xml:space="preserve"> AL, Park </w:t>
      </w:r>
      <w:proofErr w:type="spellStart"/>
      <w:r w:rsidRPr="00C443BF">
        <w:rPr>
          <w:rFonts w:ascii="Arial" w:hAnsi="Arial" w:cs="Arial"/>
          <w:sz w:val="22"/>
          <w:szCs w:val="22"/>
          <w:lang w:val="en-GB"/>
        </w:rPr>
        <w:t>KK</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Kouakou</w:t>
      </w:r>
      <w:proofErr w:type="spellEnd"/>
      <w:r w:rsidRPr="00C443BF">
        <w:rPr>
          <w:rFonts w:ascii="Arial" w:hAnsi="Arial" w:cs="Arial"/>
          <w:sz w:val="22"/>
          <w:szCs w:val="22"/>
          <w:lang w:val="en-GB"/>
        </w:rPr>
        <w:t xml:space="preserve"> B, Galloway DL and Johnson ZB. 1995a. Influence of grass source on net flux of nutrients across splanchnic tissues in sheep with restricted intake. Archives of Animal Nutrition 48, 257-269.</w:t>
      </w:r>
    </w:p>
    <w:p w:rsidR="00DF5357" w:rsidRPr="00C443BF" w:rsidRDefault="00DF5357" w:rsidP="00DF5357">
      <w:pPr>
        <w:spacing w:line="480" w:lineRule="auto"/>
        <w:ind w:left="720" w:hanging="720"/>
        <w:jc w:val="both"/>
        <w:rPr>
          <w:rFonts w:ascii="Arial" w:hAnsi="Arial" w:cs="Arial"/>
          <w:sz w:val="22"/>
          <w:szCs w:val="22"/>
          <w:lang w:val="en-GB"/>
        </w:rPr>
      </w:pPr>
      <w:proofErr w:type="spellStart"/>
      <w:r w:rsidRPr="00C443BF">
        <w:rPr>
          <w:rFonts w:ascii="Arial" w:hAnsi="Arial" w:cs="Arial"/>
          <w:sz w:val="22"/>
          <w:szCs w:val="22"/>
          <w:lang w:val="en-GB"/>
        </w:rPr>
        <w:t>Patil</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AR</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Goetsch</w:t>
      </w:r>
      <w:proofErr w:type="spellEnd"/>
      <w:r w:rsidRPr="00C443BF">
        <w:rPr>
          <w:rFonts w:ascii="Arial" w:hAnsi="Arial" w:cs="Arial"/>
          <w:sz w:val="22"/>
          <w:szCs w:val="22"/>
          <w:lang w:val="en-GB"/>
        </w:rPr>
        <w:t xml:space="preserve"> AL, Park </w:t>
      </w:r>
      <w:proofErr w:type="spellStart"/>
      <w:r w:rsidRPr="00C443BF">
        <w:rPr>
          <w:rFonts w:ascii="Arial" w:hAnsi="Arial" w:cs="Arial"/>
          <w:sz w:val="22"/>
          <w:szCs w:val="22"/>
          <w:lang w:val="en-GB"/>
        </w:rPr>
        <w:t>KK</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Kouakou</w:t>
      </w:r>
      <w:proofErr w:type="spellEnd"/>
      <w:r w:rsidRPr="00C443BF">
        <w:rPr>
          <w:rFonts w:ascii="Arial" w:hAnsi="Arial" w:cs="Arial"/>
          <w:sz w:val="22"/>
          <w:szCs w:val="22"/>
          <w:lang w:val="en-GB"/>
        </w:rPr>
        <w:t xml:space="preserve"> B, Galloway DL, West CP and Johnson ZB. 1995b. Net flux of nutrients across splanchnic tissues in sheep fed tropical </w:t>
      </w:r>
      <w:proofErr w:type="spellStart"/>
      <w:r w:rsidRPr="00C443BF">
        <w:rPr>
          <w:rFonts w:ascii="Arial" w:hAnsi="Arial" w:cs="Arial"/>
          <w:sz w:val="22"/>
          <w:szCs w:val="22"/>
          <w:lang w:val="en-GB"/>
        </w:rPr>
        <w:t>vs</w:t>
      </w:r>
      <w:proofErr w:type="spellEnd"/>
      <w:r w:rsidRPr="00C443BF">
        <w:rPr>
          <w:rFonts w:ascii="Arial" w:hAnsi="Arial" w:cs="Arial"/>
          <w:sz w:val="22"/>
          <w:szCs w:val="22"/>
          <w:lang w:val="en-GB"/>
        </w:rPr>
        <w:t xml:space="preserve"> temperate grass hay of moderate or low qualities. Livestock Production Science 43, 49-61.</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 xml:space="preserve">Reynolds CK, Aikman PC, </w:t>
      </w:r>
      <w:proofErr w:type="spellStart"/>
      <w:r w:rsidRPr="00C443BF">
        <w:rPr>
          <w:rFonts w:ascii="Arial" w:hAnsi="Arial" w:cs="Arial"/>
          <w:sz w:val="22"/>
          <w:szCs w:val="22"/>
          <w:lang w:val="en-GB"/>
        </w:rPr>
        <w:t>Lupoli</w:t>
      </w:r>
      <w:proofErr w:type="spellEnd"/>
      <w:r w:rsidRPr="00C443BF">
        <w:rPr>
          <w:rFonts w:ascii="Arial" w:hAnsi="Arial" w:cs="Arial"/>
          <w:sz w:val="22"/>
          <w:szCs w:val="22"/>
          <w:lang w:val="en-GB"/>
        </w:rPr>
        <w:t xml:space="preserve"> B, Humphries DJ and </w:t>
      </w:r>
      <w:proofErr w:type="spellStart"/>
      <w:r w:rsidRPr="00C443BF">
        <w:rPr>
          <w:rFonts w:ascii="Arial" w:hAnsi="Arial" w:cs="Arial"/>
          <w:sz w:val="22"/>
          <w:szCs w:val="22"/>
          <w:lang w:val="en-GB"/>
        </w:rPr>
        <w:t>Beever</w:t>
      </w:r>
      <w:proofErr w:type="spellEnd"/>
      <w:r w:rsidRPr="00C443BF">
        <w:rPr>
          <w:rFonts w:ascii="Arial" w:hAnsi="Arial" w:cs="Arial"/>
          <w:sz w:val="22"/>
          <w:szCs w:val="22"/>
          <w:lang w:val="en-GB"/>
        </w:rPr>
        <w:t xml:space="preserve"> DE 2003. Splanchnic metabolism of dairy cows during the transition from late gestation through early lactation. Journal of Dairy Science 86, 1201-1217.</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 xml:space="preserve">Reynolds PJ and Huntington GB 1988. Net portal absorption of volatile fatty acids and L(+)-lactate by lactating </w:t>
      </w:r>
      <w:proofErr w:type="spellStart"/>
      <w:r w:rsidRPr="00C443BF">
        <w:rPr>
          <w:rFonts w:ascii="Arial" w:hAnsi="Arial" w:cs="Arial"/>
          <w:sz w:val="22"/>
          <w:szCs w:val="22"/>
          <w:lang w:val="en-GB"/>
        </w:rPr>
        <w:t>holstein</w:t>
      </w:r>
      <w:proofErr w:type="spellEnd"/>
      <w:r w:rsidRPr="00C443BF">
        <w:rPr>
          <w:rFonts w:ascii="Arial" w:hAnsi="Arial" w:cs="Arial"/>
          <w:sz w:val="22"/>
          <w:szCs w:val="22"/>
          <w:lang w:val="en-GB"/>
        </w:rPr>
        <w:t xml:space="preserve"> cows. Journal of Dairy Science 71, 124-133.</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 xml:space="preserve">Reynolds CK, Huntington GB, </w:t>
      </w:r>
      <w:proofErr w:type="spellStart"/>
      <w:r w:rsidRPr="00C443BF">
        <w:rPr>
          <w:rFonts w:ascii="Arial" w:hAnsi="Arial" w:cs="Arial"/>
          <w:sz w:val="22"/>
          <w:szCs w:val="22"/>
          <w:lang w:val="en-GB"/>
        </w:rPr>
        <w:t>Tyrrell</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HF</w:t>
      </w:r>
      <w:proofErr w:type="spellEnd"/>
      <w:r w:rsidRPr="00C443BF">
        <w:rPr>
          <w:rFonts w:ascii="Arial" w:hAnsi="Arial" w:cs="Arial"/>
          <w:sz w:val="22"/>
          <w:szCs w:val="22"/>
          <w:lang w:val="en-GB"/>
        </w:rPr>
        <w:t xml:space="preserve"> and Reynolds PJ. 1988a. Net portal-drained visceral and hepatic metabolism of glucose, L-lactate and nitrogenous compounds in lactating Holstein cows. Journal of Dairy Science 71,1803-1812.</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 xml:space="preserve">Reynolds CK, Huntington GB, </w:t>
      </w:r>
      <w:proofErr w:type="spellStart"/>
      <w:r w:rsidRPr="00C443BF">
        <w:rPr>
          <w:rFonts w:ascii="Arial" w:hAnsi="Arial" w:cs="Arial"/>
          <w:sz w:val="22"/>
          <w:szCs w:val="22"/>
          <w:lang w:val="en-GB"/>
        </w:rPr>
        <w:t>Tyrrell</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HF</w:t>
      </w:r>
      <w:proofErr w:type="spellEnd"/>
      <w:r w:rsidRPr="00C443BF">
        <w:rPr>
          <w:rFonts w:ascii="Arial" w:hAnsi="Arial" w:cs="Arial"/>
          <w:sz w:val="22"/>
          <w:szCs w:val="22"/>
          <w:lang w:val="en-GB"/>
        </w:rPr>
        <w:t xml:space="preserve"> and Reynolds PJ. 1988b. Net metabolism of volatile fatty acids, D-beta-</w:t>
      </w:r>
      <w:proofErr w:type="spellStart"/>
      <w:r w:rsidRPr="00C443BF">
        <w:rPr>
          <w:rFonts w:ascii="Arial" w:hAnsi="Arial" w:cs="Arial"/>
          <w:sz w:val="22"/>
          <w:szCs w:val="22"/>
          <w:lang w:val="en-GB"/>
        </w:rPr>
        <w:t>hydroxybutyrate</w:t>
      </w:r>
      <w:proofErr w:type="spellEnd"/>
      <w:r w:rsidRPr="00C443BF">
        <w:rPr>
          <w:rFonts w:ascii="Arial" w:hAnsi="Arial" w:cs="Arial"/>
          <w:sz w:val="22"/>
          <w:szCs w:val="22"/>
          <w:lang w:val="en-GB"/>
        </w:rPr>
        <w:t xml:space="preserve">, </w:t>
      </w:r>
      <w:proofErr w:type="spellStart"/>
      <w:r w:rsidRPr="00C443BF">
        <w:rPr>
          <w:rFonts w:ascii="Arial" w:hAnsi="Arial" w:cs="Arial"/>
          <w:sz w:val="22"/>
          <w:szCs w:val="22"/>
          <w:lang w:val="en-GB"/>
        </w:rPr>
        <w:t>nonesterifield</w:t>
      </w:r>
      <w:proofErr w:type="spellEnd"/>
      <w:r w:rsidRPr="00C443BF">
        <w:rPr>
          <w:rFonts w:ascii="Arial" w:hAnsi="Arial" w:cs="Arial"/>
          <w:sz w:val="22"/>
          <w:szCs w:val="22"/>
          <w:lang w:val="en-GB"/>
        </w:rPr>
        <w:t xml:space="preserve"> fatty acids, and blood gasses by portal-drained viscera and liver of lactating Holstein cows. Journal of Dairy Science 71, 2395-2405.</w:t>
      </w:r>
    </w:p>
    <w:p w:rsidR="00DF5357" w:rsidRPr="00C443BF" w:rsidRDefault="00DF5357" w:rsidP="00DF5357">
      <w:pPr>
        <w:spacing w:line="480" w:lineRule="auto"/>
        <w:ind w:left="720" w:hanging="720"/>
        <w:jc w:val="both"/>
        <w:rPr>
          <w:rFonts w:ascii="Arial" w:hAnsi="Arial" w:cs="Arial"/>
          <w:sz w:val="22"/>
          <w:szCs w:val="22"/>
          <w:lang w:val="en-GB"/>
        </w:rPr>
      </w:pPr>
      <w:r w:rsidRPr="00C443BF">
        <w:rPr>
          <w:rFonts w:ascii="Arial" w:hAnsi="Arial" w:cs="Arial"/>
          <w:sz w:val="22"/>
          <w:szCs w:val="22"/>
          <w:lang w:val="en-GB"/>
        </w:rPr>
        <w:t xml:space="preserve">Reynolds CK and </w:t>
      </w:r>
      <w:proofErr w:type="spellStart"/>
      <w:r w:rsidRPr="00C443BF">
        <w:rPr>
          <w:rFonts w:ascii="Arial" w:hAnsi="Arial" w:cs="Arial"/>
          <w:sz w:val="22"/>
          <w:szCs w:val="22"/>
          <w:lang w:val="en-GB"/>
        </w:rPr>
        <w:t>Tyrrell</w:t>
      </w:r>
      <w:proofErr w:type="spellEnd"/>
      <w:r w:rsidRPr="00C443BF">
        <w:rPr>
          <w:rFonts w:ascii="Arial" w:hAnsi="Arial" w:cs="Arial"/>
          <w:sz w:val="22"/>
          <w:szCs w:val="22"/>
          <w:lang w:val="en-GB"/>
        </w:rPr>
        <w:t xml:space="preserve"> HF. 1991. Effects of mesenteric vein L-alanine infusion on liver metabolism in beef heifers fed on diets differing in forage - concentrate ratio. British Journal of Nutrition 66, 437-450.</w:t>
      </w:r>
    </w:p>
    <w:p w:rsidR="00DF5357" w:rsidRDefault="00DF5357">
      <w:pPr>
        <w:spacing w:after="200" w:line="276" w:lineRule="auto"/>
        <w:rPr>
          <w:rFonts w:ascii="Arial" w:hAnsi="Arial" w:cs="Arial"/>
          <w:bCs/>
          <w:iCs/>
          <w:lang w:val="en-US"/>
        </w:rPr>
      </w:pPr>
      <w:r>
        <w:rPr>
          <w:rFonts w:ascii="Arial" w:hAnsi="Arial" w:cs="Arial"/>
          <w:bCs/>
          <w:iCs/>
          <w:lang w:val="en-US"/>
        </w:rPr>
        <w:br w:type="page"/>
      </w:r>
    </w:p>
    <w:p w:rsidR="00DF5357" w:rsidRPr="00DF5357" w:rsidRDefault="00037A30" w:rsidP="00D3590F">
      <w:pPr>
        <w:autoSpaceDE w:val="0"/>
        <w:autoSpaceDN w:val="0"/>
        <w:adjustRightInd w:val="0"/>
        <w:spacing w:line="480" w:lineRule="auto"/>
        <w:jc w:val="both"/>
        <w:rPr>
          <w:rFonts w:ascii="Arial" w:hAnsi="Arial" w:cs="Arial"/>
          <w:b/>
          <w:bCs/>
          <w:iCs/>
          <w:lang w:val="en-US"/>
        </w:rPr>
      </w:pPr>
      <w:r w:rsidRPr="00DF5357">
        <w:rPr>
          <w:rFonts w:ascii="Arial" w:hAnsi="Arial" w:cs="Arial"/>
          <w:b/>
          <w:bCs/>
          <w:iCs/>
          <w:lang w:val="en-US"/>
        </w:rPr>
        <w:lastRenderedPageBreak/>
        <w:t>Supplementary Material S</w:t>
      </w:r>
      <w:r w:rsidR="00DF5357" w:rsidRPr="00DF5357">
        <w:rPr>
          <w:rFonts w:ascii="Arial" w:hAnsi="Arial" w:cs="Arial"/>
          <w:b/>
          <w:bCs/>
          <w:iCs/>
          <w:lang w:val="en-US"/>
        </w:rPr>
        <w:t>2</w:t>
      </w:r>
      <w:r w:rsidRPr="00DF5357">
        <w:rPr>
          <w:rFonts w:ascii="Arial" w:hAnsi="Arial" w:cs="Arial"/>
          <w:b/>
          <w:bCs/>
          <w:iCs/>
          <w:lang w:val="en-US"/>
        </w:rPr>
        <w:t xml:space="preserve">. </w:t>
      </w:r>
    </w:p>
    <w:p w:rsidR="007724F2" w:rsidRPr="00DF5357" w:rsidRDefault="0015375C" w:rsidP="00D3590F">
      <w:pPr>
        <w:autoSpaceDE w:val="0"/>
        <w:autoSpaceDN w:val="0"/>
        <w:adjustRightInd w:val="0"/>
        <w:spacing w:line="480" w:lineRule="auto"/>
        <w:jc w:val="both"/>
        <w:rPr>
          <w:rFonts w:ascii="Arial" w:hAnsi="Arial" w:cs="Arial"/>
          <w:bCs/>
          <w:i/>
          <w:iCs/>
          <w:lang w:val="en-US"/>
        </w:rPr>
      </w:pPr>
      <w:r w:rsidRPr="00DF5357">
        <w:rPr>
          <w:rFonts w:ascii="Arial" w:hAnsi="Arial" w:cs="Arial"/>
          <w:bCs/>
          <w:i/>
          <w:iCs/>
          <w:lang w:val="en-US"/>
        </w:rPr>
        <w:t>Comparison of models elaborated using the GLM and Mixed procedures of SAS.</w:t>
      </w:r>
    </w:p>
    <w:p w:rsidR="00F24562" w:rsidRPr="00B258F4" w:rsidRDefault="00F24562" w:rsidP="00D3590F">
      <w:pPr>
        <w:autoSpaceDE w:val="0"/>
        <w:autoSpaceDN w:val="0"/>
        <w:adjustRightInd w:val="0"/>
        <w:spacing w:line="480" w:lineRule="auto"/>
        <w:jc w:val="both"/>
        <w:rPr>
          <w:rFonts w:ascii="Arial" w:hAnsi="Arial" w:cs="Arial"/>
          <w:bCs/>
          <w:iCs/>
          <w:lang w:val="en-US"/>
        </w:rPr>
      </w:pPr>
    </w:p>
    <w:p w:rsidR="0015375C" w:rsidRPr="00B258F4" w:rsidRDefault="0015375C" w:rsidP="00D3590F">
      <w:pPr>
        <w:autoSpaceDE w:val="0"/>
        <w:autoSpaceDN w:val="0"/>
        <w:adjustRightInd w:val="0"/>
        <w:spacing w:line="480" w:lineRule="auto"/>
        <w:jc w:val="both"/>
        <w:rPr>
          <w:rFonts w:ascii="Arial" w:hAnsi="Arial" w:cs="Arial"/>
          <w:lang w:val="en-US"/>
        </w:rPr>
      </w:pPr>
      <w:r w:rsidRPr="00B258F4">
        <w:rPr>
          <w:rFonts w:ascii="Arial" w:hAnsi="Arial" w:cs="Arial"/>
          <w:bCs/>
          <w:iCs/>
          <w:lang w:val="en-US"/>
        </w:rPr>
        <w:t xml:space="preserve">To evaluate the use of our models for predictive purposes beyond </w:t>
      </w:r>
      <w:r w:rsidR="00234374" w:rsidRPr="00B258F4">
        <w:rPr>
          <w:rFonts w:ascii="Arial" w:hAnsi="Arial" w:cs="Arial"/>
          <w:bCs/>
          <w:iCs/>
          <w:lang w:val="en-US"/>
        </w:rPr>
        <w:t>th</w:t>
      </w:r>
      <w:r w:rsidR="00234374">
        <w:rPr>
          <w:rFonts w:ascii="Arial" w:hAnsi="Arial" w:cs="Arial"/>
          <w:bCs/>
          <w:iCs/>
          <w:lang w:val="en-US"/>
        </w:rPr>
        <w:t>eir strict</w:t>
      </w:r>
      <w:r w:rsidR="00234374" w:rsidRPr="00B258F4">
        <w:rPr>
          <w:rFonts w:ascii="Arial" w:hAnsi="Arial" w:cs="Arial"/>
          <w:bCs/>
          <w:iCs/>
          <w:lang w:val="en-US"/>
        </w:rPr>
        <w:t xml:space="preserve"> </w:t>
      </w:r>
      <w:r w:rsidRPr="00B258F4">
        <w:rPr>
          <w:rFonts w:ascii="Arial" w:hAnsi="Arial" w:cs="Arial"/>
          <w:bCs/>
          <w:iCs/>
          <w:lang w:val="en-US"/>
        </w:rPr>
        <w:t>range of validity, we</w:t>
      </w:r>
      <w:r w:rsidRPr="00B258F4">
        <w:rPr>
          <w:rFonts w:ascii="Arial" w:hAnsi="Arial" w:cs="Arial"/>
          <w:lang w:val="en-US"/>
        </w:rPr>
        <w:t xml:space="preserve"> also analyzed the data with the MIXED procedure of SAS software. </w:t>
      </w:r>
      <w:r w:rsidR="00234374" w:rsidRPr="00B258F4">
        <w:rPr>
          <w:rFonts w:ascii="Arial" w:hAnsi="Arial" w:cs="Arial"/>
          <w:lang w:val="en-US"/>
        </w:rPr>
        <w:t>The comparison of models is presented in Supplementary table S7.</w:t>
      </w:r>
      <w:r w:rsidRPr="00B258F4">
        <w:rPr>
          <w:rFonts w:ascii="Arial" w:hAnsi="Arial" w:cs="Arial"/>
          <w:lang w:val="en-US"/>
        </w:rPr>
        <w:t>Model parameters were not significantly modified by the choice of fixed vs. mixed procedures, except for the BHBA model</w:t>
      </w:r>
      <w:r w:rsidR="00A5446E" w:rsidRPr="00B258F4">
        <w:rPr>
          <w:rFonts w:ascii="Arial" w:hAnsi="Arial" w:cs="Arial"/>
          <w:lang w:val="en-US"/>
        </w:rPr>
        <w:t>s</w:t>
      </w:r>
      <w:r w:rsidR="00234374">
        <w:rPr>
          <w:rFonts w:ascii="Arial" w:hAnsi="Arial" w:cs="Arial"/>
          <w:lang w:val="en-US"/>
        </w:rPr>
        <w:t xml:space="preserve"> for which </w:t>
      </w:r>
      <w:r w:rsidR="00234374" w:rsidRPr="00B258F4">
        <w:rPr>
          <w:rFonts w:ascii="Arial" w:hAnsi="Arial" w:cs="Arial"/>
          <w:lang w:val="en-US"/>
        </w:rPr>
        <w:t>the variance-covariance matrix (obtained by the COVTEST option of the SAS system) differed</w:t>
      </w:r>
      <w:r w:rsidRPr="00B258F4">
        <w:rPr>
          <w:rFonts w:ascii="Arial" w:hAnsi="Arial" w:cs="Arial"/>
          <w:lang w:val="en-US"/>
        </w:rPr>
        <w:t xml:space="preserve">. For the </w:t>
      </w:r>
      <w:proofErr w:type="spellStart"/>
      <w:r w:rsidRPr="00B258F4">
        <w:rPr>
          <w:rFonts w:ascii="Arial" w:hAnsi="Arial" w:cs="Arial"/>
          <w:lang w:val="en-US"/>
        </w:rPr>
        <w:t>BHB</w:t>
      </w:r>
      <w:r w:rsidR="00A5446E" w:rsidRPr="00B258F4">
        <w:rPr>
          <w:rFonts w:ascii="Arial" w:hAnsi="Arial" w:cs="Arial"/>
          <w:lang w:val="en-US"/>
        </w:rPr>
        <w:t>A</w:t>
      </w:r>
      <w:proofErr w:type="spellEnd"/>
      <w:r w:rsidRPr="00B258F4">
        <w:rPr>
          <w:rFonts w:ascii="Arial" w:hAnsi="Arial" w:cs="Arial"/>
          <w:lang w:val="en-US"/>
        </w:rPr>
        <w:t xml:space="preserve"> models from </w:t>
      </w:r>
      <w:proofErr w:type="spellStart"/>
      <w:r w:rsidRPr="00B258F4">
        <w:rPr>
          <w:rFonts w:ascii="Arial" w:hAnsi="Arial" w:cs="Arial"/>
          <w:lang w:val="en-US"/>
        </w:rPr>
        <w:t>RfOMI</w:t>
      </w:r>
      <w:proofErr w:type="spellEnd"/>
      <w:r w:rsidRPr="00B258F4">
        <w:rPr>
          <w:rFonts w:ascii="Arial" w:hAnsi="Arial" w:cs="Arial"/>
          <w:lang w:val="en-US"/>
        </w:rPr>
        <w:t xml:space="preserve"> and </w:t>
      </w:r>
      <w:proofErr w:type="spellStart"/>
      <w:r w:rsidRPr="00B258F4">
        <w:rPr>
          <w:rFonts w:ascii="Arial" w:hAnsi="Arial" w:cs="Arial"/>
          <w:lang w:val="en-US"/>
        </w:rPr>
        <w:t>EB</w:t>
      </w:r>
      <w:proofErr w:type="spellEnd"/>
      <w:r w:rsidRPr="00B258F4">
        <w:rPr>
          <w:rFonts w:ascii="Arial" w:hAnsi="Arial" w:cs="Arial"/>
          <w:lang w:val="en-US"/>
        </w:rPr>
        <w:t>, coefficients for EB</w:t>
      </w:r>
      <w:r w:rsidRPr="00B258F4">
        <w:rPr>
          <w:rFonts w:ascii="Arial" w:hAnsi="Arial" w:cs="Arial"/>
          <w:vertAlign w:val="superscript"/>
          <w:lang w:val="en-US"/>
        </w:rPr>
        <w:t>2</w:t>
      </w:r>
      <w:r w:rsidRPr="00B258F4">
        <w:rPr>
          <w:rFonts w:ascii="Arial" w:hAnsi="Arial" w:cs="Arial"/>
          <w:lang w:val="en-US"/>
        </w:rPr>
        <w:t xml:space="preserve"> were statistically different. </w:t>
      </w:r>
      <w:r w:rsidR="00A5446E" w:rsidRPr="00B258F4">
        <w:rPr>
          <w:rFonts w:ascii="Arial" w:hAnsi="Arial" w:cs="Arial"/>
          <w:lang w:val="en-US"/>
        </w:rPr>
        <w:t>D</w:t>
      </w:r>
      <w:r w:rsidRPr="00B258F4">
        <w:rPr>
          <w:rFonts w:ascii="Arial" w:hAnsi="Arial" w:cs="Arial"/>
          <w:lang w:val="en-US"/>
        </w:rPr>
        <w:t>ifferences were mostly due to the effect of the animal physiological status on the slope associated to EB², which are highly different between the models.</w:t>
      </w:r>
      <w:r w:rsidR="00A5446E" w:rsidRPr="00B258F4">
        <w:rPr>
          <w:rFonts w:ascii="Arial" w:hAnsi="Arial" w:cs="Arial"/>
          <w:lang w:val="en-US"/>
        </w:rPr>
        <w:t xml:space="preserve"> </w:t>
      </w:r>
      <w:r w:rsidRPr="00B258F4">
        <w:rPr>
          <w:rFonts w:ascii="Arial" w:hAnsi="Arial" w:cs="Arial"/>
          <w:lang w:val="en-US"/>
        </w:rPr>
        <w:t>For ex</w:t>
      </w:r>
      <w:r w:rsidR="006A14AF" w:rsidRPr="00B258F4">
        <w:rPr>
          <w:rFonts w:ascii="Arial" w:hAnsi="Arial" w:cs="Arial"/>
          <w:lang w:val="en-US"/>
        </w:rPr>
        <w:t>ample, the effect</w:t>
      </w:r>
      <w:r w:rsidRPr="00B258F4">
        <w:rPr>
          <w:rFonts w:ascii="Arial" w:hAnsi="Arial" w:cs="Arial"/>
          <w:lang w:val="en-US"/>
        </w:rPr>
        <w:t xml:space="preserve"> </w:t>
      </w:r>
      <w:r w:rsidR="00234374">
        <w:rPr>
          <w:rFonts w:ascii="Arial" w:hAnsi="Arial" w:cs="Arial"/>
          <w:lang w:val="en-US"/>
        </w:rPr>
        <w:t>of the ‘</w:t>
      </w:r>
      <w:r w:rsidR="00234374" w:rsidRPr="00B258F4">
        <w:rPr>
          <w:rFonts w:ascii="Arial" w:hAnsi="Arial" w:cs="Arial"/>
          <w:lang w:val="en-US"/>
        </w:rPr>
        <w:t>growing</w:t>
      </w:r>
      <w:r w:rsidR="00234374">
        <w:rPr>
          <w:rFonts w:ascii="Arial" w:hAnsi="Arial" w:cs="Arial"/>
          <w:lang w:val="en-US"/>
        </w:rPr>
        <w:t>’ status</w:t>
      </w:r>
      <w:r w:rsidR="00234374" w:rsidRPr="00B258F4">
        <w:rPr>
          <w:rFonts w:ascii="Arial" w:hAnsi="Arial" w:cs="Arial"/>
          <w:lang w:val="en-US"/>
        </w:rPr>
        <w:t xml:space="preserve"> </w:t>
      </w:r>
      <w:r w:rsidR="006A14AF" w:rsidRPr="00B258F4">
        <w:rPr>
          <w:rFonts w:ascii="Arial" w:hAnsi="Arial" w:cs="Arial"/>
          <w:lang w:val="en-US"/>
        </w:rPr>
        <w:t>associated to</w:t>
      </w:r>
      <w:r w:rsidRPr="00B258F4">
        <w:rPr>
          <w:rFonts w:ascii="Arial" w:hAnsi="Arial" w:cs="Arial"/>
          <w:lang w:val="en-US"/>
        </w:rPr>
        <w:t xml:space="preserve"> the slope </w:t>
      </w:r>
      <w:r w:rsidR="006A14AF" w:rsidRPr="00B258F4">
        <w:rPr>
          <w:rFonts w:ascii="Arial" w:hAnsi="Arial" w:cs="Arial"/>
          <w:lang w:val="en-US"/>
        </w:rPr>
        <w:t>was</w:t>
      </w:r>
      <w:r w:rsidRPr="00B258F4">
        <w:rPr>
          <w:rFonts w:ascii="Arial" w:hAnsi="Arial" w:cs="Arial"/>
          <w:lang w:val="en-US"/>
        </w:rPr>
        <w:t xml:space="preserve"> equal to</w:t>
      </w:r>
      <w:r w:rsidR="006A14AF" w:rsidRPr="00B258F4">
        <w:rPr>
          <w:rFonts w:ascii="Arial" w:hAnsi="Arial" w:cs="Arial"/>
          <w:lang w:val="en-US"/>
        </w:rPr>
        <w:t xml:space="preserve"> -0.000721 ± 0.00013 (</w:t>
      </w:r>
      <w:r w:rsidR="006A14AF" w:rsidRPr="00B258F4">
        <w:rPr>
          <w:rFonts w:ascii="Arial" w:hAnsi="Arial" w:cs="Arial"/>
          <w:i/>
          <w:lang w:val="en-US"/>
        </w:rPr>
        <w:t>P</w:t>
      </w:r>
      <w:r w:rsidR="006A14AF" w:rsidRPr="00B258F4">
        <w:rPr>
          <w:rFonts w:ascii="Arial" w:hAnsi="Arial" w:cs="Arial"/>
          <w:lang w:val="en-US"/>
        </w:rPr>
        <w:t xml:space="preserve"> &lt; 0.0001) with the GLM model whereas it was equal to -0.00166 ± 0.000264 (</w:t>
      </w:r>
      <w:r w:rsidR="006A14AF" w:rsidRPr="00B258F4">
        <w:rPr>
          <w:rFonts w:ascii="Arial" w:hAnsi="Arial" w:cs="Arial"/>
          <w:i/>
          <w:lang w:val="en-US"/>
        </w:rPr>
        <w:t>P</w:t>
      </w:r>
      <w:r w:rsidR="006A14AF" w:rsidRPr="00B258F4">
        <w:rPr>
          <w:rFonts w:ascii="Arial" w:hAnsi="Arial" w:cs="Arial"/>
          <w:lang w:val="en-US"/>
        </w:rPr>
        <w:t xml:space="preserve"> = 0.0002) with the MIXED model.</w:t>
      </w:r>
      <w:r w:rsidR="00234374">
        <w:rPr>
          <w:rFonts w:ascii="Arial" w:hAnsi="Arial" w:cs="Arial"/>
          <w:lang w:val="en-US"/>
        </w:rPr>
        <w:t xml:space="preserve"> </w:t>
      </w:r>
      <w:r w:rsidRPr="00B258F4">
        <w:rPr>
          <w:rFonts w:ascii="Arial" w:hAnsi="Arial" w:cs="Arial"/>
          <w:lang w:val="en-US"/>
        </w:rPr>
        <w:t xml:space="preserve">Furthermore, when removing the interaction term (EB × PHY), the Mixed and GLM models </w:t>
      </w:r>
      <w:r w:rsidR="00A5446E" w:rsidRPr="00B258F4">
        <w:rPr>
          <w:rFonts w:ascii="Arial" w:hAnsi="Arial" w:cs="Arial"/>
          <w:lang w:val="en-US"/>
        </w:rPr>
        <w:t>we</w:t>
      </w:r>
      <w:r w:rsidRPr="00B258F4">
        <w:rPr>
          <w:rFonts w:ascii="Arial" w:hAnsi="Arial" w:cs="Arial"/>
          <w:lang w:val="en-US"/>
        </w:rPr>
        <w:t xml:space="preserve">re </w:t>
      </w:r>
      <w:r w:rsidR="00234374" w:rsidRPr="00B258F4">
        <w:rPr>
          <w:rFonts w:ascii="Arial" w:hAnsi="Arial" w:cs="Arial"/>
          <w:lang w:val="en-US"/>
        </w:rPr>
        <w:t>no</w:t>
      </w:r>
      <w:r w:rsidR="00234374">
        <w:rPr>
          <w:rFonts w:ascii="Arial" w:hAnsi="Arial" w:cs="Arial"/>
          <w:lang w:val="en-US"/>
        </w:rPr>
        <w:t>t</w:t>
      </w:r>
      <w:r w:rsidR="00234374" w:rsidRPr="00B258F4">
        <w:rPr>
          <w:rFonts w:ascii="Arial" w:hAnsi="Arial" w:cs="Arial"/>
          <w:lang w:val="en-US"/>
        </w:rPr>
        <w:t xml:space="preserve"> statistically </w:t>
      </w:r>
      <w:r w:rsidR="004342ED" w:rsidRPr="00B258F4">
        <w:rPr>
          <w:rFonts w:ascii="Arial" w:hAnsi="Arial" w:cs="Arial"/>
          <w:lang w:val="en-US"/>
        </w:rPr>
        <w:t>different:</w:t>
      </w:r>
      <w:r w:rsidRPr="00B258F4">
        <w:rPr>
          <w:rFonts w:ascii="Arial" w:hAnsi="Arial" w:cs="Arial"/>
          <w:lang w:val="en-US"/>
        </w:rPr>
        <w:t xml:space="preserve">  </w:t>
      </w:r>
    </w:p>
    <w:p w:rsidR="0015375C" w:rsidRPr="00B258F4" w:rsidRDefault="0015375C" w:rsidP="0098642B">
      <w:pPr>
        <w:autoSpaceDE w:val="0"/>
        <w:autoSpaceDN w:val="0"/>
        <w:adjustRightInd w:val="0"/>
        <w:spacing w:line="480" w:lineRule="auto"/>
        <w:ind w:firstLine="708"/>
        <w:jc w:val="both"/>
        <w:rPr>
          <w:rFonts w:ascii="Arial" w:hAnsi="Arial" w:cs="Arial"/>
          <w:lang w:val="en-US"/>
        </w:rPr>
      </w:pPr>
      <w:r w:rsidRPr="00B258F4">
        <w:rPr>
          <w:rFonts w:ascii="Arial" w:hAnsi="Arial" w:cs="Arial"/>
          <w:lang w:val="en-US"/>
        </w:rPr>
        <w:t xml:space="preserve">Mixed model: </w:t>
      </w:r>
      <w:r w:rsidR="00A5446E" w:rsidRPr="00B258F4">
        <w:rPr>
          <w:rFonts w:ascii="Arial" w:hAnsi="Arial" w:cs="Arial"/>
          <w:lang w:val="en-US"/>
        </w:rPr>
        <w:t>NHF-</w:t>
      </w:r>
      <w:r w:rsidRPr="00B258F4">
        <w:rPr>
          <w:rFonts w:ascii="Arial" w:hAnsi="Arial" w:cs="Arial"/>
          <w:lang w:val="en-US"/>
        </w:rPr>
        <w:t>BH</w:t>
      </w:r>
      <w:r w:rsidR="00A5446E" w:rsidRPr="00B258F4">
        <w:rPr>
          <w:rFonts w:ascii="Arial" w:hAnsi="Arial" w:cs="Arial"/>
          <w:lang w:val="en-US"/>
        </w:rPr>
        <w:t>BA</w:t>
      </w:r>
      <w:r w:rsidRPr="00B258F4">
        <w:rPr>
          <w:rFonts w:ascii="Arial" w:hAnsi="Arial" w:cs="Arial"/>
          <w:lang w:val="en-US"/>
        </w:rPr>
        <w:t xml:space="preserve"> = 0.0574</w:t>
      </w:r>
      <w:r w:rsidRPr="00B258F4">
        <w:rPr>
          <w:rFonts w:ascii="Arial" w:hAnsi="Arial" w:cs="Arial"/>
          <w:vertAlign w:val="superscript"/>
          <w:lang w:val="en-US"/>
        </w:rPr>
        <w:t>ns</w:t>
      </w:r>
      <w:r w:rsidRPr="00B258F4">
        <w:rPr>
          <w:rFonts w:ascii="Arial" w:hAnsi="Arial" w:cs="Arial"/>
          <w:lang w:val="en-US"/>
        </w:rPr>
        <w:t xml:space="preserve"> ± 0.0656 + 0.0146* ± 0.0058 × </w:t>
      </w:r>
      <w:proofErr w:type="spellStart"/>
      <w:r w:rsidRPr="00B258F4">
        <w:rPr>
          <w:rFonts w:ascii="Arial" w:hAnsi="Arial" w:cs="Arial"/>
          <w:lang w:val="en-US"/>
        </w:rPr>
        <w:t>RfOMi</w:t>
      </w:r>
      <w:proofErr w:type="spellEnd"/>
      <w:r w:rsidRPr="00B258F4">
        <w:rPr>
          <w:rFonts w:ascii="Arial" w:hAnsi="Arial" w:cs="Arial"/>
          <w:lang w:val="en-US"/>
        </w:rPr>
        <w:t xml:space="preserve"> + 0.000366*** ± 0.000083 × EB²        </w:t>
      </w:r>
    </w:p>
    <w:p w:rsidR="0015375C" w:rsidRPr="00B258F4" w:rsidRDefault="0015375C" w:rsidP="0098642B">
      <w:pPr>
        <w:autoSpaceDE w:val="0"/>
        <w:autoSpaceDN w:val="0"/>
        <w:adjustRightInd w:val="0"/>
        <w:spacing w:line="480" w:lineRule="auto"/>
        <w:ind w:firstLine="708"/>
        <w:jc w:val="both"/>
        <w:rPr>
          <w:rFonts w:ascii="Arial" w:hAnsi="Arial" w:cs="Arial"/>
          <w:lang w:val="en-US"/>
        </w:rPr>
      </w:pPr>
      <w:r w:rsidRPr="00B258F4">
        <w:rPr>
          <w:rFonts w:ascii="Arial" w:hAnsi="Arial" w:cs="Arial"/>
          <w:lang w:val="en-US"/>
        </w:rPr>
        <w:t xml:space="preserve">GLM model: </w:t>
      </w:r>
      <w:r w:rsidR="00A5446E" w:rsidRPr="00B258F4">
        <w:rPr>
          <w:rFonts w:ascii="Arial" w:hAnsi="Arial" w:cs="Arial"/>
          <w:lang w:val="en-US"/>
        </w:rPr>
        <w:t>NHF-BHBA</w:t>
      </w:r>
      <w:r w:rsidRPr="00B258F4">
        <w:rPr>
          <w:rFonts w:ascii="Arial" w:hAnsi="Arial" w:cs="Arial"/>
          <w:lang w:val="en-US"/>
        </w:rPr>
        <w:t xml:space="preserve"> = 0.0763</w:t>
      </w:r>
      <w:r w:rsidRPr="00B258F4">
        <w:rPr>
          <w:rFonts w:ascii="Arial" w:hAnsi="Arial" w:cs="Arial"/>
          <w:vertAlign w:val="superscript"/>
          <w:lang w:val="en-US"/>
        </w:rPr>
        <w:t>ns</w:t>
      </w:r>
      <w:r w:rsidRPr="00B258F4">
        <w:rPr>
          <w:rFonts w:ascii="Arial" w:hAnsi="Arial" w:cs="Arial"/>
          <w:lang w:val="en-US"/>
        </w:rPr>
        <w:t xml:space="preserve"> ± 0.0541 + 0.0147** ± 0.0049 × </w:t>
      </w:r>
      <w:proofErr w:type="spellStart"/>
      <w:r w:rsidRPr="00B258F4">
        <w:rPr>
          <w:rFonts w:ascii="Arial" w:hAnsi="Arial" w:cs="Arial"/>
          <w:lang w:val="en-US"/>
        </w:rPr>
        <w:t>RfOMi</w:t>
      </w:r>
      <w:proofErr w:type="spellEnd"/>
      <w:r w:rsidRPr="00B258F4">
        <w:rPr>
          <w:rFonts w:ascii="Arial" w:hAnsi="Arial" w:cs="Arial"/>
          <w:lang w:val="en-US"/>
        </w:rPr>
        <w:t xml:space="preserve"> + 0.000344*** ± 0.000051 × EB²        </w:t>
      </w:r>
    </w:p>
    <w:p w:rsidR="0015375C" w:rsidRDefault="0015375C" w:rsidP="00D3590F">
      <w:pPr>
        <w:autoSpaceDE w:val="0"/>
        <w:autoSpaceDN w:val="0"/>
        <w:adjustRightInd w:val="0"/>
        <w:spacing w:line="480" w:lineRule="auto"/>
        <w:jc w:val="both"/>
        <w:rPr>
          <w:rFonts w:ascii="Arial" w:hAnsi="Arial" w:cs="Arial"/>
          <w:lang w:val="en-US"/>
        </w:rPr>
      </w:pPr>
      <w:r w:rsidRPr="00B258F4">
        <w:rPr>
          <w:rFonts w:ascii="Arial" w:hAnsi="Arial" w:cs="Arial"/>
          <w:lang w:val="en-US"/>
        </w:rPr>
        <w:t xml:space="preserve">This </w:t>
      </w:r>
      <w:r w:rsidR="00234374">
        <w:rPr>
          <w:rFonts w:ascii="Arial" w:hAnsi="Arial" w:cs="Arial"/>
          <w:lang w:val="en-US"/>
        </w:rPr>
        <w:t xml:space="preserve">clearly </w:t>
      </w:r>
      <w:r w:rsidRPr="00B258F4">
        <w:rPr>
          <w:rFonts w:ascii="Arial" w:hAnsi="Arial" w:cs="Arial"/>
          <w:lang w:val="en-US"/>
        </w:rPr>
        <w:t>demonstrates that the difference between the Mixed and GLM models is due to the influence of physiological status on the slope of EB</w:t>
      </w:r>
      <w:r w:rsidRPr="00B258F4">
        <w:rPr>
          <w:rFonts w:ascii="Arial" w:hAnsi="Arial" w:cs="Arial"/>
          <w:vertAlign w:val="superscript"/>
          <w:lang w:val="en-US"/>
        </w:rPr>
        <w:t>2</w:t>
      </w:r>
      <w:r w:rsidRPr="00B258F4">
        <w:rPr>
          <w:rFonts w:ascii="Arial" w:hAnsi="Arial" w:cs="Arial"/>
          <w:lang w:val="en-US"/>
        </w:rPr>
        <w:t>.</w:t>
      </w:r>
      <w:r w:rsidR="00234374" w:rsidRPr="00234374">
        <w:rPr>
          <w:rFonts w:ascii="Arial" w:hAnsi="Arial" w:cs="Arial"/>
          <w:lang w:val="en-US"/>
        </w:rPr>
        <w:t xml:space="preserve"> </w:t>
      </w:r>
      <w:r w:rsidR="00234374">
        <w:rPr>
          <w:rFonts w:ascii="Arial" w:hAnsi="Arial" w:cs="Arial"/>
          <w:lang w:val="en-US"/>
        </w:rPr>
        <w:t>This is probably due to an</w:t>
      </w:r>
      <w:r w:rsidR="00234374" w:rsidRPr="00B258F4">
        <w:rPr>
          <w:rFonts w:ascii="Arial" w:hAnsi="Arial" w:cs="Arial"/>
          <w:lang w:val="en-US"/>
        </w:rPr>
        <w:t xml:space="preserve"> unbalanced number of observations in each physiological status. In particular the number of available data in lactation (when the cow mobilized energy) is low.</w:t>
      </w:r>
      <w:r w:rsidR="00234374" w:rsidRPr="00234374">
        <w:rPr>
          <w:rFonts w:ascii="Arial" w:hAnsi="Arial" w:cs="Arial"/>
          <w:lang w:val="en-US"/>
        </w:rPr>
        <w:t xml:space="preserve"> </w:t>
      </w:r>
      <w:r w:rsidR="00234374" w:rsidRPr="00B258F4">
        <w:rPr>
          <w:rFonts w:ascii="Arial" w:hAnsi="Arial" w:cs="Arial"/>
          <w:lang w:val="en-US"/>
        </w:rPr>
        <w:t xml:space="preserve">Supplementary Figure S2 shows the effect of physiological status on the slope EB of </w:t>
      </w:r>
      <w:r w:rsidR="00234374" w:rsidRPr="00B258F4">
        <w:rPr>
          <w:rFonts w:ascii="Arial" w:hAnsi="Arial" w:cs="Arial"/>
          <w:lang w:val="en-US"/>
        </w:rPr>
        <w:lastRenderedPageBreak/>
        <w:t xml:space="preserve">the model and illustrates the greatest difference obtained for the dairy cows. </w:t>
      </w:r>
      <w:r w:rsidR="00234374">
        <w:rPr>
          <w:rFonts w:ascii="Arial" w:hAnsi="Arial" w:cs="Arial"/>
          <w:lang w:val="en-US"/>
        </w:rPr>
        <w:t>In these animals, o</w:t>
      </w:r>
      <w:r w:rsidR="00234374" w:rsidRPr="00B258F4">
        <w:rPr>
          <w:rFonts w:ascii="Arial" w:hAnsi="Arial" w:cs="Arial"/>
          <w:lang w:val="en-US"/>
        </w:rPr>
        <w:t xml:space="preserve">bserved values (Supplementary </w:t>
      </w:r>
      <w:r w:rsidR="0098642B">
        <w:rPr>
          <w:rFonts w:ascii="Arial" w:hAnsi="Arial" w:cs="Arial"/>
          <w:lang w:val="en-US"/>
        </w:rPr>
        <w:t xml:space="preserve">Figure S3) ranged from 0.143 to 0.70 </w:t>
      </w:r>
      <w:proofErr w:type="spellStart"/>
      <w:r w:rsidR="00234374" w:rsidRPr="00B258F4">
        <w:rPr>
          <w:rFonts w:ascii="Arial" w:hAnsi="Arial" w:cs="Arial"/>
          <w:lang w:val="en-US"/>
        </w:rPr>
        <w:t>mmol</w:t>
      </w:r>
      <w:proofErr w:type="spellEnd"/>
      <w:r w:rsidR="00234374" w:rsidRPr="00B258F4">
        <w:rPr>
          <w:rFonts w:ascii="Arial" w:hAnsi="Arial" w:cs="Arial"/>
          <w:lang w:val="en-US"/>
        </w:rPr>
        <w:t>/h/kg BW.</w:t>
      </w:r>
    </w:p>
    <w:p w:rsidR="0015375C" w:rsidRPr="00B258F4" w:rsidRDefault="0015375C" w:rsidP="00D3590F">
      <w:pPr>
        <w:autoSpaceDE w:val="0"/>
        <w:autoSpaceDN w:val="0"/>
        <w:adjustRightInd w:val="0"/>
        <w:spacing w:line="480" w:lineRule="auto"/>
        <w:jc w:val="both"/>
        <w:rPr>
          <w:rFonts w:ascii="Arial" w:hAnsi="Arial" w:cs="Arial"/>
          <w:lang w:val="en-US"/>
        </w:rPr>
      </w:pPr>
    </w:p>
    <w:p w:rsidR="0000759F" w:rsidRPr="00B258F4" w:rsidRDefault="00234374" w:rsidP="0098642B">
      <w:pPr>
        <w:autoSpaceDE w:val="0"/>
        <w:autoSpaceDN w:val="0"/>
        <w:adjustRightInd w:val="0"/>
        <w:spacing w:line="480" w:lineRule="auto"/>
        <w:jc w:val="both"/>
        <w:rPr>
          <w:rFonts w:ascii="Arial" w:hAnsi="Arial" w:cs="Arial"/>
          <w:lang w:val="en-US"/>
        </w:rPr>
      </w:pPr>
      <w:r>
        <w:rPr>
          <w:rFonts w:ascii="Arial" w:hAnsi="Arial" w:cs="Arial"/>
          <w:lang w:val="en-US"/>
        </w:rPr>
        <w:t>E</w:t>
      </w:r>
      <w:r w:rsidR="0015375C" w:rsidRPr="00B258F4">
        <w:rPr>
          <w:rFonts w:ascii="Arial" w:hAnsi="Arial" w:cs="Arial"/>
          <w:lang w:val="en-US"/>
        </w:rPr>
        <w:t xml:space="preserve">vidence </w:t>
      </w:r>
      <w:r w:rsidR="00A5446E" w:rsidRPr="00B258F4">
        <w:rPr>
          <w:rFonts w:ascii="Arial" w:hAnsi="Arial" w:cs="Arial"/>
          <w:lang w:val="en-US"/>
        </w:rPr>
        <w:t>wa</w:t>
      </w:r>
      <w:r w:rsidR="0015375C" w:rsidRPr="00B258F4">
        <w:rPr>
          <w:rFonts w:ascii="Arial" w:hAnsi="Arial" w:cs="Arial"/>
          <w:lang w:val="en-US"/>
        </w:rPr>
        <w:t>s obtained that the Mixed model does not correctly predict the influence of physiological status on the EB</w:t>
      </w:r>
      <w:r w:rsidR="0015375C" w:rsidRPr="00B258F4">
        <w:rPr>
          <w:rFonts w:ascii="Arial" w:hAnsi="Arial" w:cs="Arial"/>
          <w:vertAlign w:val="superscript"/>
          <w:lang w:val="en-US"/>
        </w:rPr>
        <w:t>2</w:t>
      </w:r>
      <w:r w:rsidR="0015375C" w:rsidRPr="00B258F4">
        <w:rPr>
          <w:rFonts w:ascii="Arial" w:hAnsi="Arial" w:cs="Arial"/>
          <w:lang w:val="en-US"/>
        </w:rPr>
        <w:t xml:space="preserve"> slope. </w:t>
      </w:r>
      <w:r>
        <w:rPr>
          <w:rFonts w:ascii="Arial" w:hAnsi="Arial" w:cs="Arial"/>
          <w:lang w:val="en-US"/>
        </w:rPr>
        <w:t>W</w:t>
      </w:r>
      <w:r w:rsidRPr="00B258F4">
        <w:rPr>
          <w:rFonts w:ascii="Arial" w:hAnsi="Arial" w:cs="Arial"/>
          <w:lang w:val="en-US"/>
        </w:rPr>
        <w:t xml:space="preserve">e predicted the net hepatic release of beta-hydroxybutyrate with </w:t>
      </w:r>
      <w:r>
        <w:rPr>
          <w:rFonts w:ascii="Arial" w:hAnsi="Arial" w:cs="Arial"/>
          <w:lang w:val="en-US"/>
        </w:rPr>
        <w:t>the GLM and Mixed</w:t>
      </w:r>
      <w:r w:rsidRPr="00B258F4">
        <w:rPr>
          <w:rFonts w:ascii="Arial" w:hAnsi="Arial" w:cs="Arial"/>
          <w:lang w:val="en-US"/>
        </w:rPr>
        <w:t xml:space="preserve"> models using the same data as those used to establish the model</w:t>
      </w:r>
      <w:r>
        <w:rPr>
          <w:rFonts w:ascii="Arial" w:hAnsi="Arial" w:cs="Arial"/>
          <w:lang w:val="en-US"/>
        </w:rPr>
        <w:t>s</w:t>
      </w:r>
      <w:r w:rsidRPr="00B258F4">
        <w:rPr>
          <w:rFonts w:ascii="Arial" w:hAnsi="Arial" w:cs="Arial"/>
          <w:lang w:val="en-US"/>
        </w:rPr>
        <w:t xml:space="preserve"> </w:t>
      </w:r>
      <w:r>
        <w:rPr>
          <w:rFonts w:ascii="Arial" w:hAnsi="Arial" w:cs="Arial"/>
          <w:lang w:val="en-US"/>
        </w:rPr>
        <w:t xml:space="preserve"> as shown in </w:t>
      </w:r>
      <w:r w:rsidRPr="00B258F4">
        <w:rPr>
          <w:rFonts w:ascii="Arial" w:hAnsi="Arial" w:cs="Arial"/>
          <w:lang w:val="en-US"/>
        </w:rPr>
        <w:t>Supplementary Figure S4 (</w:t>
      </w:r>
      <w:r>
        <w:rPr>
          <w:rFonts w:ascii="Arial" w:hAnsi="Arial" w:cs="Arial"/>
          <w:lang w:val="en-US"/>
        </w:rPr>
        <w:t>i</w:t>
      </w:r>
      <w:r w:rsidRPr="00B258F4">
        <w:rPr>
          <w:rFonts w:ascii="Arial" w:hAnsi="Arial" w:cs="Arial"/>
          <w:lang w:val="en-US"/>
        </w:rPr>
        <w:t>t is a way to check if models are biased).</w:t>
      </w:r>
      <w:r w:rsidRPr="00234374">
        <w:rPr>
          <w:rFonts w:ascii="Arial" w:hAnsi="Arial" w:cs="Arial"/>
          <w:lang w:val="en-US"/>
        </w:rPr>
        <w:t xml:space="preserve"> </w:t>
      </w:r>
      <w:r w:rsidRPr="00B258F4">
        <w:rPr>
          <w:rFonts w:ascii="Arial" w:hAnsi="Arial" w:cs="Arial"/>
          <w:lang w:val="en-US"/>
        </w:rPr>
        <w:t xml:space="preserve">Results </w:t>
      </w:r>
      <w:r>
        <w:rPr>
          <w:rFonts w:ascii="Arial" w:hAnsi="Arial" w:cs="Arial"/>
          <w:lang w:val="en-US"/>
        </w:rPr>
        <w:t>indicate</w:t>
      </w:r>
      <w:r w:rsidRPr="00B258F4">
        <w:rPr>
          <w:rFonts w:ascii="Arial" w:hAnsi="Arial" w:cs="Arial"/>
          <w:lang w:val="en-US"/>
        </w:rPr>
        <w:t xml:space="preserve"> </w:t>
      </w:r>
      <w:r w:rsidR="00A72ECA" w:rsidRPr="00B258F4">
        <w:rPr>
          <w:rFonts w:ascii="Arial" w:hAnsi="Arial" w:cs="Arial"/>
          <w:lang w:val="en-US"/>
        </w:rPr>
        <w:t>that the Mixed model largely overestimates the net hepatic release of beta-hydroxybutyrate in the dairy cows.</w:t>
      </w:r>
      <w:r>
        <w:rPr>
          <w:rFonts w:ascii="Arial" w:hAnsi="Arial" w:cs="Arial"/>
          <w:lang w:val="en-US"/>
        </w:rPr>
        <w:t xml:space="preserve"> </w:t>
      </w:r>
      <w:r w:rsidR="0000759F" w:rsidRPr="00B258F4">
        <w:rPr>
          <w:rFonts w:ascii="Arial" w:hAnsi="Arial" w:cs="Arial"/>
          <w:lang w:val="en-US"/>
        </w:rPr>
        <w:t xml:space="preserve">Therefore, at this stage of the study, we </w:t>
      </w:r>
      <w:r>
        <w:rPr>
          <w:rFonts w:ascii="Arial" w:hAnsi="Arial" w:cs="Arial"/>
          <w:lang w:val="en-US"/>
        </w:rPr>
        <w:t>consider</w:t>
      </w:r>
      <w:r w:rsidRPr="00B258F4">
        <w:rPr>
          <w:rFonts w:ascii="Arial" w:hAnsi="Arial" w:cs="Arial"/>
          <w:lang w:val="en-US"/>
        </w:rPr>
        <w:t xml:space="preserve"> </w:t>
      </w:r>
      <w:r w:rsidR="0000759F" w:rsidRPr="00B258F4">
        <w:rPr>
          <w:rFonts w:ascii="Arial" w:hAnsi="Arial" w:cs="Arial"/>
          <w:lang w:val="en-US"/>
        </w:rPr>
        <w:t>it is not really appropriate to generalize the model with the Mixed procedure, and suggest to keep the GLM model waiting for additional data on dairy cows.</w:t>
      </w:r>
    </w:p>
    <w:p w:rsidR="00A72ECA" w:rsidRPr="00A5446E" w:rsidRDefault="00A72ECA" w:rsidP="00A72ECA">
      <w:pPr>
        <w:autoSpaceDE w:val="0"/>
        <w:autoSpaceDN w:val="0"/>
        <w:adjustRightInd w:val="0"/>
        <w:jc w:val="both"/>
        <w:rPr>
          <w:rFonts w:ascii="Arial" w:hAnsi="Arial" w:cs="Arial"/>
          <w:lang w:val="en-US"/>
        </w:rPr>
      </w:pPr>
    </w:p>
    <w:p w:rsidR="0000759F" w:rsidRDefault="0000759F" w:rsidP="0015375C">
      <w:pPr>
        <w:autoSpaceDE w:val="0"/>
        <w:autoSpaceDN w:val="0"/>
        <w:adjustRightInd w:val="0"/>
        <w:jc w:val="both"/>
        <w:rPr>
          <w:rFonts w:ascii="Arial" w:hAnsi="Arial" w:cs="Arial"/>
          <w:lang w:val="en-US"/>
        </w:rPr>
        <w:sectPr w:rsidR="0000759F" w:rsidSect="0000759F">
          <w:pgSz w:w="11906" w:h="16838"/>
          <w:pgMar w:top="1417" w:right="1417" w:bottom="1417" w:left="1417" w:header="708" w:footer="708" w:gutter="0"/>
          <w:cols w:space="708"/>
          <w:docGrid w:linePitch="360"/>
        </w:sectPr>
      </w:pPr>
    </w:p>
    <w:p w:rsidR="00F24562" w:rsidRPr="00F24562" w:rsidRDefault="00F24562" w:rsidP="00F24562">
      <w:pPr>
        <w:autoSpaceDE w:val="0"/>
        <w:autoSpaceDN w:val="0"/>
        <w:adjustRightInd w:val="0"/>
        <w:jc w:val="both"/>
        <w:rPr>
          <w:rFonts w:ascii="Arial" w:hAnsi="Arial" w:cs="Arial"/>
          <w:sz w:val="22"/>
          <w:szCs w:val="22"/>
          <w:lang w:val="en-US"/>
        </w:rPr>
      </w:pPr>
      <w:r w:rsidRPr="00B61A5F">
        <w:rPr>
          <w:rFonts w:ascii="Arial" w:hAnsi="Arial" w:cs="Arial"/>
          <w:sz w:val="22"/>
          <w:szCs w:val="22"/>
          <w:lang w:val="en-US"/>
        </w:rPr>
        <w:lastRenderedPageBreak/>
        <w:t>Supplementary Table S</w:t>
      </w:r>
      <w:r w:rsidR="00B61A5F" w:rsidRPr="00B61A5F">
        <w:rPr>
          <w:rFonts w:ascii="Arial" w:hAnsi="Arial" w:cs="Arial"/>
          <w:sz w:val="22"/>
          <w:szCs w:val="22"/>
          <w:lang w:val="en-US"/>
        </w:rPr>
        <w:t>1</w:t>
      </w:r>
      <w:r>
        <w:rPr>
          <w:rFonts w:ascii="Arial" w:hAnsi="Arial" w:cs="Arial"/>
          <w:sz w:val="22"/>
          <w:szCs w:val="22"/>
          <w:lang w:val="en-US"/>
        </w:rPr>
        <w:t xml:space="preserve">: </w:t>
      </w:r>
      <w:r w:rsidR="00234374">
        <w:rPr>
          <w:rFonts w:ascii="Arial" w:hAnsi="Arial" w:cs="Arial"/>
          <w:sz w:val="22"/>
          <w:szCs w:val="22"/>
          <w:lang w:val="en-US"/>
        </w:rPr>
        <w:t xml:space="preserve">Comparison of GLM and Mixed models </w:t>
      </w:r>
      <w:r w:rsidRPr="0080455E">
        <w:rPr>
          <w:rFonts w:ascii="Arial" w:hAnsi="Arial" w:cs="Arial"/>
          <w:sz w:val="22"/>
          <w:szCs w:val="22"/>
          <w:lang w:val="en-US"/>
        </w:rPr>
        <w:t>of responses of net hepatic and net splanchnic fluxes of acetate</w:t>
      </w:r>
      <w:r>
        <w:rPr>
          <w:rFonts w:ascii="Arial" w:hAnsi="Arial" w:cs="Arial"/>
          <w:sz w:val="22"/>
          <w:szCs w:val="22"/>
          <w:lang w:val="en-US"/>
        </w:rPr>
        <w:t xml:space="preserve"> (NSR-C2)</w:t>
      </w:r>
      <w:r w:rsidRPr="0080455E">
        <w:rPr>
          <w:rFonts w:ascii="Arial" w:hAnsi="Arial" w:cs="Arial"/>
          <w:sz w:val="22"/>
          <w:szCs w:val="22"/>
          <w:lang w:val="en-US"/>
        </w:rPr>
        <w:t>, butyrate</w:t>
      </w:r>
      <w:r>
        <w:rPr>
          <w:rFonts w:ascii="Arial" w:hAnsi="Arial" w:cs="Arial"/>
          <w:sz w:val="22"/>
          <w:szCs w:val="22"/>
          <w:lang w:val="en-US"/>
        </w:rPr>
        <w:t xml:space="preserve"> (NHF-C4)</w:t>
      </w:r>
      <w:r w:rsidRPr="0080455E">
        <w:rPr>
          <w:rFonts w:ascii="Arial" w:hAnsi="Arial" w:cs="Arial"/>
          <w:sz w:val="22"/>
          <w:szCs w:val="22"/>
          <w:lang w:val="en-US"/>
        </w:rPr>
        <w:t xml:space="preserve"> and ß-hydroxybutyrate</w:t>
      </w:r>
      <w:r>
        <w:rPr>
          <w:rFonts w:ascii="Arial" w:hAnsi="Arial" w:cs="Arial"/>
          <w:sz w:val="22"/>
          <w:szCs w:val="22"/>
          <w:lang w:val="en-US"/>
        </w:rPr>
        <w:t xml:space="preserve"> (NHF-BHBA)</w:t>
      </w:r>
      <w:r w:rsidRPr="0080455E">
        <w:rPr>
          <w:rFonts w:ascii="Arial" w:hAnsi="Arial" w:cs="Arial"/>
          <w:sz w:val="22"/>
          <w:szCs w:val="22"/>
          <w:lang w:val="en-US"/>
        </w:rPr>
        <w:t xml:space="preserve"> to variations in net portal appearance</w:t>
      </w:r>
      <w:r>
        <w:rPr>
          <w:rFonts w:ascii="Arial" w:hAnsi="Arial" w:cs="Arial"/>
          <w:sz w:val="22"/>
          <w:szCs w:val="22"/>
          <w:lang w:val="en-US"/>
        </w:rPr>
        <w:t xml:space="preserve"> (NPA)</w:t>
      </w:r>
      <w:r w:rsidRPr="0080455E">
        <w:rPr>
          <w:rFonts w:ascii="Arial" w:hAnsi="Arial" w:cs="Arial"/>
          <w:sz w:val="22"/>
          <w:szCs w:val="22"/>
          <w:lang w:val="en-US"/>
        </w:rPr>
        <w:t xml:space="preserve">, rumen-fermentable OM intake </w:t>
      </w:r>
      <w:r>
        <w:rPr>
          <w:rFonts w:ascii="Arial" w:hAnsi="Arial" w:cs="Arial"/>
          <w:sz w:val="22"/>
          <w:szCs w:val="22"/>
          <w:lang w:val="en-US"/>
        </w:rPr>
        <w:t>(</w:t>
      </w:r>
      <w:proofErr w:type="spellStart"/>
      <w:r>
        <w:rPr>
          <w:rFonts w:ascii="Arial" w:hAnsi="Arial" w:cs="Arial"/>
          <w:sz w:val="22"/>
          <w:szCs w:val="22"/>
          <w:lang w:val="en-US"/>
        </w:rPr>
        <w:t>RfOMI</w:t>
      </w:r>
      <w:proofErr w:type="spellEnd"/>
      <w:r>
        <w:rPr>
          <w:rFonts w:ascii="Arial" w:hAnsi="Arial" w:cs="Arial"/>
          <w:sz w:val="22"/>
          <w:szCs w:val="22"/>
          <w:lang w:val="en-US"/>
        </w:rPr>
        <w:t xml:space="preserve">) </w:t>
      </w:r>
      <w:r w:rsidRPr="0080455E">
        <w:rPr>
          <w:rFonts w:ascii="Arial" w:hAnsi="Arial" w:cs="Arial"/>
          <w:sz w:val="22"/>
          <w:szCs w:val="22"/>
          <w:lang w:val="en-US"/>
        </w:rPr>
        <w:t>or energy balance</w:t>
      </w:r>
      <w:r>
        <w:rPr>
          <w:rFonts w:ascii="Arial" w:hAnsi="Arial" w:cs="Arial"/>
          <w:sz w:val="22"/>
          <w:szCs w:val="22"/>
          <w:lang w:val="en-US"/>
        </w:rPr>
        <w:t xml:space="preserve"> (EB)</w:t>
      </w:r>
      <w:r w:rsidRPr="0080455E">
        <w:rPr>
          <w:rFonts w:ascii="Arial" w:hAnsi="Arial" w:cs="Arial"/>
          <w:sz w:val="22"/>
          <w:szCs w:val="22"/>
          <w:lang w:val="en-US"/>
        </w:rPr>
        <w:t>.</w:t>
      </w:r>
    </w:p>
    <w:tbl>
      <w:tblPr>
        <w:tblStyle w:val="Grilledutableau"/>
        <w:tblW w:w="13897" w:type="dxa"/>
        <w:tblLook w:val="04A0"/>
      </w:tblPr>
      <w:tblGrid>
        <w:gridCol w:w="1463"/>
        <w:gridCol w:w="1257"/>
        <w:gridCol w:w="8314"/>
        <w:gridCol w:w="737"/>
        <w:gridCol w:w="1134"/>
        <w:gridCol w:w="992"/>
      </w:tblGrid>
      <w:tr w:rsidR="001A71CF" w:rsidTr="001A71CF">
        <w:tc>
          <w:tcPr>
            <w:tcW w:w="1463" w:type="dxa"/>
            <w:tcMar>
              <w:left w:w="0" w:type="dxa"/>
              <w:right w:w="0" w:type="dxa"/>
            </w:tcMar>
          </w:tcPr>
          <w:p w:rsidR="001A71CF" w:rsidRDefault="00F24562" w:rsidP="0015375C">
            <w:pPr>
              <w:autoSpaceDE w:val="0"/>
              <w:autoSpaceDN w:val="0"/>
              <w:adjustRightInd w:val="0"/>
              <w:jc w:val="both"/>
              <w:rPr>
                <w:rFonts w:ascii="Arial" w:hAnsi="Arial" w:cs="Arial"/>
                <w:lang w:val="en-US"/>
              </w:rPr>
            </w:pPr>
            <w:r>
              <w:rPr>
                <w:rFonts w:ascii="Arial" w:hAnsi="Arial" w:cs="Arial"/>
                <w:lang w:val="en-US"/>
              </w:rPr>
              <w:t xml:space="preserve"> </w:t>
            </w:r>
            <w:r w:rsidR="001A71CF">
              <w:rPr>
                <w:rFonts w:ascii="Arial" w:hAnsi="Arial" w:cs="Arial"/>
                <w:lang w:val="en-US"/>
              </w:rPr>
              <w:t>Nutrient</w:t>
            </w:r>
          </w:p>
        </w:tc>
        <w:tc>
          <w:tcPr>
            <w:tcW w:w="1257" w:type="dxa"/>
            <w:tcMar>
              <w:left w:w="0" w:type="dxa"/>
              <w:right w:w="0" w:type="dxa"/>
            </w:tcMar>
          </w:tcPr>
          <w:p w:rsidR="001A71CF" w:rsidRPr="0080455E" w:rsidRDefault="001A71CF" w:rsidP="00F24562">
            <w:pPr>
              <w:tabs>
                <w:tab w:val="decimal" w:pos="113"/>
              </w:tabs>
              <w:spacing w:line="480" w:lineRule="auto"/>
              <w:jc w:val="center"/>
              <w:rPr>
                <w:rFonts w:ascii="Arial" w:hAnsi="Arial" w:cs="Arial"/>
                <w:lang w:val="en-US"/>
              </w:rPr>
            </w:pPr>
            <w:r>
              <w:rPr>
                <w:rFonts w:ascii="Arial" w:hAnsi="Arial" w:cs="Arial"/>
                <w:lang w:val="en-US"/>
              </w:rPr>
              <w:t>Model</w:t>
            </w:r>
          </w:p>
        </w:tc>
        <w:tc>
          <w:tcPr>
            <w:tcW w:w="8314" w:type="dxa"/>
            <w:tcMar>
              <w:left w:w="0" w:type="dxa"/>
              <w:right w:w="0" w:type="dxa"/>
            </w:tcMar>
          </w:tcPr>
          <w:p w:rsidR="001A71CF" w:rsidRDefault="001A71CF" w:rsidP="00F24562">
            <w:pPr>
              <w:autoSpaceDE w:val="0"/>
              <w:autoSpaceDN w:val="0"/>
              <w:adjustRightInd w:val="0"/>
              <w:jc w:val="center"/>
              <w:rPr>
                <w:rFonts w:ascii="Arial" w:hAnsi="Arial" w:cs="Arial"/>
                <w:lang w:val="en-US"/>
              </w:rPr>
            </w:pPr>
            <w:r w:rsidRPr="0080455E">
              <w:rPr>
                <w:rFonts w:ascii="Arial" w:hAnsi="Arial" w:cs="Arial"/>
                <w:lang w:val="en-US"/>
              </w:rPr>
              <w:t>Equation</w:t>
            </w:r>
            <w:r>
              <w:rPr>
                <w:rFonts w:ascii="Arial" w:hAnsi="Arial" w:cs="Arial"/>
                <w:lang w:val="en-US"/>
              </w:rPr>
              <w:t>s</w:t>
            </w:r>
          </w:p>
        </w:tc>
        <w:tc>
          <w:tcPr>
            <w:tcW w:w="737" w:type="dxa"/>
            <w:tcMar>
              <w:left w:w="0" w:type="dxa"/>
              <w:right w:w="0" w:type="dxa"/>
            </w:tcMar>
          </w:tcPr>
          <w:p w:rsidR="001A71CF" w:rsidRPr="0080455E" w:rsidRDefault="001A71CF" w:rsidP="00234374">
            <w:pPr>
              <w:tabs>
                <w:tab w:val="decimal" w:pos="0"/>
                <w:tab w:val="left" w:pos="746"/>
              </w:tabs>
              <w:spacing w:line="480" w:lineRule="auto"/>
              <w:rPr>
                <w:rFonts w:ascii="Arial" w:hAnsi="Arial" w:cs="Arial"/>
                <w:lang w:val="en-US"/>
              </w:rPr>
            </w:pPr>
            <w:r>
              <w:rPr>
                <w:rFonts w:ascii="Arial" w:hAnsi="Arial" w:cs="Arial"/>
                <w:lang w:val="en-US"/>
              </w:rPr>
              <w:t>R</w:t>
            </w:r>
            <w:r w:rsidRPr="0080455E">
              <w:rPr>
                <w:rFonts w:ascii="Arial" w:hAnsi="Arial" w:cs="Arial"/>
                <w:lang w:val="en-US"/>
              </w:rPr>
              <w:t>MSE</w:t>
            </w:r>
          </w:p>
        </w:tc>
        <w:tc>
          <w:tcPr>
            <w:tcW w:w="2126" w:type="dxa"/>
            <w:gridSpan w:val="2"/>
            <w:tcMar>
              <w:left w:w="0" w:type="dxa"/>
              <w:right w:w="0" w:type="dxa"/>
            </w:tcMar>
          </w:tcPr>
          <w:p w:rsidR="001A71CF" w:rsidRDefault="001A71CF" w:rsidP="00F24562">
            <w:pPr>
              <w:autoSpaceDE w:val="0"/>
              <w:autoSpaceDN w:val="0"/>
              <w:adjustRightInd w:val="0"/>
              <w:jc w:val="center"/>
              <w:rPr>
                <w:rFonts w:ascii="Arial" w:hAnsi="Arial" w:cs="Arial"/>
                <w:lang w:val="en-US"/>
              </w:rPr>
            </w:pPr>
            <w:r w:rsidRPr="0080455E">
              <w:rPr>
                <w:rFonts w:ascii="Arial" w:hAnsi="Arial" w:cs="Arial"/>
                <w:lang w:val="en-US"/>
              </w:rPr>
              <w:t>Effect</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8314"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737"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134" w:type="dxa"/>
            <w:tcMar>
              <w:left w:w="0" w:type="dxa"/>
              <w:right w:w="0" w:type="dxa"/>
            </w:tcMar>
          </w:tcPr>
          <w:p w:rsidR="001A71CF" w:rsidRPr="0080455E" w:rsidRDefault="00F24562" w:rsidP="00234374">
            <w:pPr>
              <w:tabs>
                <w:tab w:val="decimal" w:pos="228"/>
              </w:tabs>
              <w:spacing w:line="480" w:lineRule="auto"/>
              <w:rPr>
                <w:rFonts w:ascii="Arial" w:hAnsi="Arial" w:cs="Arial"/>
                <w:lang w:val="en-US"/>
              </w:rPr>
            </w:pPr>
            <w:r>
              <w:rPr>
                <w:rFonts w:ascii="Arial" w:hAnsi="Arial" w:cs="Arial"/>
                <w:lang w:val="en-US"/>
              </w:rPr>
              <w:t>PHY</w:t>
            </w:r>
          </w:p>
        </w:tc>
        <w:tc>
          <w:tcPr>
            <w:tcW w:w="992" w:type="dxa"/>
            <w:tcMar>
              <w:left w:w="0" w:type="dxa"/>
              <w:right w:w="0" w:type="dxa"/>
            </w:tcMar>
          </w:tcPr>
          <w:p w:rsidR="001A71CF" w:rsidRPr="0080455E" w:rsidRDefault="00F24562" w:rsidP="00234374">
            <w:pPr>
              <w:tabs>
                <w:tab w:val="decimal" w:pos="113"/>
              </w:tabs>
              <w:spacing w:line="480" w:lineRule="auto"/>
              <w:rPr>
                <w:rFonts w:ascii="Arial" w:hAnsi="Arial" w:cs="Arial"/>
                <w:lang w:val="en-US"/>
              </w:rPr>
            </w:pPr>
            <w:r>
              <w:rPr>
                <w:rFonts w:ascii="Arial" w:hAnsi="Arial" w:cs="Arial"/>
                <w:lang w:val="en-US"/>
              </w:rPr>
              <w:t>X * PHY</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NSR-C2</w:t>
            </w:r>
          </w:p>
        </w:tc>
        <w:tc>
          <w:tcPr>
            <w:tcW w:w="1257"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GLM</w:t>
            </w:r>
          </w:p>
        </w:tc>
        <w:tc>
          <w:tcPr>
            <w:tcW w:w="8314" w:type="dxa"/>
            <w:tcMar>
              <w:left w:w="0" w:type="dxa"/>
              <w:right w:w="0" w:type="dxa"/>
            </w:tcMar>
          </w:tcPr>
          <w:p w:rsidR="001A71CF" w:rsidRDefault="001A71CF" w:rsidP="0015375C">
            <w:pPr>
              <w:autoSpaceDE w:val="0"/>
              <w:autoSpaceDN w:val="0"/>
              <w:adjustRightInd w:val="0"/>
              <w:jc w:val="both"/>
              <w:rPr>
                <w:rFonts w:ascii="Arial" w:hAnsi="Arial" w:cs="Arial"/>
                <w:lang w:val="en-US"/>
              </w:rPr>
            </w:pPr>
            <w:r w:rsidRPr="00A5446E">
              <w:rPr>
                <w:rFonts w:ascii="Arial" w:hAnsi="Arial" w:cs="Arial"/>
                <w:lang w:val="en-US"/>
              </w:rPr>
              <w:t>0.098 ± 0.175</w:t>
            </w:r>
            <w:r w:rsidRPr="00A5446E">
              <w:rPr>
                <w:rFonts w:ascii="Arial" w:hAnsi="Arial" w:cs="Arial"/>
                <w:vertAlign w:val="superscript"/>
                <w:lang w:val="en-US"/>
              </w:rPr>
              <w:t>ns</w:t>
            </w:r>
            <w:r w:rsidRPr="00A5446E">
              <w:rPr>
                <w:rFonts w:ascii="Arial" w:hAnsi="Arial" w:cs="Arial"/>
                <w:lang w:val="en-US"/>
              </w:rPr>
              <w:t xml:space="preserve"> + 1.033***</w:t>
            </w:r>
            <w:r w:rsidRPr="00A5446E">
              <w:rPr>
                <w:rFonts w:ascii="Arial" w:hAnsi="Arial" w:cs="Arial"/>
                <w:vertAlign w:val="superscript"/>
                <w:lang w:val="en-US"/>
              </w:rPr>
              <w:t xml:space="preserve"> </w:t>
            </w:r>
            <w:r w:rsidRPr="00A5446E">
              <w:rPr>
                <w:rFonts w:ascii="Arial" w:hAnsi="Arial" w:cs="Arial"/>
                <w:lang w:val="en-US"/>
              </w:rPr>
              <w:t>±  0.077 × NPA-C2</w:t>
            </w:r>
          </w:p>
        </w:tc>
        <w:tc>
          <w:tcPr>
            <w:tcW w:w="737" w:type="dxa"/>
            <w:tcMar>
              <w:left w:w="0" w:type="dxa"/>
              <w:right w:w="0" w:type="dxa"/>
            </w:tcMar>
          </w:tcPr>
          <w:p w:rsidR="001A71CF" w:rsidRDefault="001A71CF" w:rsidP="0015375C">
            <w:pPr>
              <w:autoSpaceDE w:val="0"/>
              <w:autoSpaceDN w:val="0"/>
              <w:adjustRightInd w:val="0"/>
              <w:jc w:val="both"/>
              <w:rPr>
                <w:rFonts w:ascii="Arial" w:hAnsi="Arial" w:cs="Arial"/>
                <w:lang w:val="en-US"/>
              </w:rPr>
            </w:pPr>
            <w:r w:rsidRPr="00A5446E">
              <w:rPr>
                <w:rFonts w:ascii="Arial" w:hAnsi="Arial" w:cs="Arial"/>
                <w:lang w:val="en-US"/>
              </w:rPr>
              <w:t>0.208</w:t>
            </w:r>
          </w:p>
        </w:tc>
        <w:tc>
          <w:tcPr>
            <w:tcW w:w="1134" w:type="dxa"/>
            <w:tcMar>
              <w:left w:w="0" w:type="dxa"/>
              <w:right w:w="0" w:type="dxa"/>
            </w:tcMar>
          </w:tcPr>
          <w:p w:rsidR="001A71CF" w:rsidRDefault="001A71CF">
            <w:r w:rsidRPr="00FD0EC1">
              <w:rPr>
                <w:rFonts w:ascii="Arial" w:hAnsi="Arial" w:cs="Arial"/>
                <w:lang w:val="en-US"/>
              </w:rPr>
              <w:t>&lt; 0.001</w:t>
            </w:r>
            <w:r w:rsidRPr="001A71CF">
              <w:rPr>
                <w:rFonts w:ascii="Arial" w:hAnsi="Arial" w:cs="Arial"/>
                <w:vertAlign w:val="superscript"/>
                <w:lang w:val="en-US"/>
              </w:rPr>
              <w:t>1</w:t>
            </w:r>
          </w:p>
        </w:tc>
        <w:tc>
          <w:tcPr>
            <w:tcW w:w="992"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NS</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8314"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0.</w:t>
            </w:r>
            <w:r w:rsidRPr="00A5446E">
              <w:rPr>
                <w:rFonts w:ascii="Arial" w:hAnsi="Arial" w:cs="Arial"/>
                <w:lang w:val="en-US"/>
              </w:rPr>
              <w:t>65 ± 0.303</w:t>
            </w:r>
            <w:r w:rsidRPr="00A5446E">
              <w:rPr>
                <w:rFonts w:ascii="Arial" w:hAnsi="Arial" w:cs="Arial"/>
                <w:vertAlign w:val="superscript"/>
                <w:lang w:val="en-US"/>
              </w:rPr>
              <w:t xml:space="preserve"> ns</w:t>
            </w:r>
            <w:r w:rsidRPr="00A5446E">
              <w:rPr>
                <w:rFonts w:ascii="Arial" w:hAnsi="Arial" w:cs="Arial"/>
                <w:lang w:val="en-US"/>
              </w:rPr>
              <w:t xml:space="preserve"> + 0.0106***</w:t>
            </w:r>
            <w:r w:rsidRPr="00A5446E">
              <w:rPr>
                <w:rFonts w:ascii="Arial" w:hAnsi="Arial" w:cs="Arial"/>
                <w:vertAlign w:val="superscript"/>
                <w:lang w:val="en-US"/>
              </w:rPr>
              <w:t xml:space="preserve"> </w:t>
            </w:r>
            <w:r w:rsidRPr="00A5446E">
              <w:rPr>
                <w:rFonts w:ascii="Arial" w:hAnsi="Arial" w:cs="Arial"/>
                <w:lang w:val="en-US"/>
              </w:rPr>
              <w:t>±  0.0022 × RfOMI²</w:t>
            </w:r>
          </w:p>
        </w:tc>
        <w:tc>
          <w:tcPr>
            <w:tcW w:w="737" w:type="dxa"/>
            <w:tcMar>
              <w:left w:w="0" w:type="dxa"/>
              <w:right w:w="0" w:type="dxa"/>
            </w:tcMar>
          </w:tcPr>
          <w:p w:rsidR="001A71CF" w:rsidRDefault="001A71CF" w:rsidP="0015375C">
            <w:pPr>
              <w:autoSpaceDE w:val="0"/>
              <w:autoSpaceDN w:val="0"/>
              <w:adjustRightInd w:val="0"/>
              <w:jc w:val="both"/>
              <w:rPr>
                <w:rFonts w:ascii="Arial" w:hAnsi="Arial" w:cs="Arial"/>
                <w:lang w:val="en-US"/>
              </w:rPr>
            </w:pPr>
            <w:r w:rsidRPr="00A5446E">
              <w:rPr>
                <w:rFonts w:ascii="Arial" w:hAnsi="Arial" w:cs="Arial"/>
                <w:lang w:val="en-US"/>
              </w:rPr>
              <w:t>0.399</w:t>
            </w:r>
          </w:p>
        </w:tc>
        <w:tc>
          <w:tcPr>
            <w:tcW w:w="1134" w:type="dxa"/>
            <w:tcMar>
              <w:left w:w="0" w:type="dxa"/>
              <w:right w:w="0" w:type="dxa"/>
            </w:tcMar>
          </w:tcPr>
          <w:p w:rsidR="001A71CF" w:rsidRDefault="001A71CF">
            <w:r w:rsidRPr="00FD0EC1">
              <w:rPr>
                <w:rFonts w:ascii="Arial" w:hAnsi="Arial" w:cs="Arial"/>
                <w:lang w:val="en-US"/>
              </w:rPr>
              <w:t>&lt; 0.001</w:t>
            </w:r>
            <w:r w:rsidRPr="001A71CF">
              <w:rPr>
                <w:rFonts w:ascii="Arial" w:hAnsi="Arial" w:cs="Arial"/>
                <w:vertAlign w:val="superscript"/>
                <w:lang w:val="en-US"/>
              </w:rPr>
              <w:t>2</w:t>
            </w:r>
          </w:p>
        </w:tc>
        <w:tc>
          <w:tcPr>
            <w:tcW w:w="992"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NS</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234374">
            <w:pPr>
              <w:autoSpaceDE w:val="0"/>
              <w:autoSpaceDN w:val="0"/>
              <w:adjustRightInd w:val="0"/>
              <w:jc w:val="both"/>
              <w:rPr>
                <w:rFonts w:ascii="Arial" w:hAnsi="Arial" w:cs="Arial"/>
                <w:lang w:val="en-US"/>
              </w:rPr>
            </w:pPr>
            <w:r>
              <w:rPr>
                <w:rFonts w:ascii="Arial" w:hAnsi="Arial" w:cs="Arial"/>
                <w:lang w:val="en-US"/>
              </w:rPr>
              <w:t>MIXED</w:t>
            </w:r>
          </w:p>
        </w:tc>
        <w:tc>
          <w:tcPr>
            <w:tcW w:w="8314" w:type="dxa"/>
            <w:tcMar>
              <w:left w:w="0" w:type="dxa"/>
              <w:right w:w="0" w:type="dxa"/>
            </w:tcMar>
          </w:tcPr>
          <w:p w:rsidR="001A71CF" w:rsidRDefault="001A71CF" w:rsidP="00234374">
            <w:pPr>
              <w:autoSpaceDE w:val="0"/>
              <w:autoSpaceDN w:val="0"/>
              <w:adjustRightInd w:val="0"/>
              <w:jc w:val="both"/>
              <w:rPr>
                <w:rFonts w:ascii="Arial" w:hAnsi="Arial" w:cs="Arial"/>
                <w:lang w:val="en-US"/>
              </w:rPr>
            </w:pPr>
            <w:r w:rsidRPr="00A5446E">
              <w:rPr>
                <w:rFonts w:ascii="Arial" w:hAnsi="Arial" w:cs="Arial"/>
                <w:lang w:val="en-US"/>
              </w:rPr>
              <w:t>-0.083 ± 0.261</w:t>
            </w:r>
            <w:r w:rsidRPr="00A5446E">
              <w:rPr>
                <w:rFonts w:ascii="Arial" w:hAnsi="Arial" w:cs="Arial"/>
                <w:vertAlign w:val="superscript"/>
                <w:lang w:val="en-US"/>
              </w:rPr>
              <w:t xml:space="preserve"> ns</w:t>
            </w:r>
            <w:r w:rsidRPr="00A5446E">
              <w:rPr>
                <w:rFonts w:ascii="Arial" w:hAnsi="Arial" w:cs="Arial"/>
                <w:lang w:val="en-US"/>
              </w:rPr>
              <w:t xml:space="preserve"> + 1.073*** ± 0.066 × NPA-C2</w:t>
            </w:r>
          </w:p>
        </w:tc>
        <w:tc>
          <w:tcPr>
            <w:tcW w:w="737" w:type="dxa"/>
            <w:tcMar>
              <w:left w:w="0" w:type="dxa"/>
              <w:right w:w="0" w:type="dxa"/>
            </w:tcMar>
          </w:tcPr>
          <w:p w:rsidR="001A71CF" w:rsidRDefault="001A71CF" w:rsidP="0015375C">
            <w:pPr>
              <w:autoSpaceDE w:val="0"/>
              <w:autoSpaceDN w:val="0"/>
              <w:adjustRightInd w:val="0"/>
              <w:jc w:val="both"/>
              <w:rPr>
                <w:rFonts w:ascii="Arial" w:hAnsi="Arial" w:cs="Arial"/>
                <w:lang w:val="en-US"/>
              </w:rPr>
            </w:pPr>
            <w:r w:rsidRPr="00A5446E">
              <w:rPr>
                <w:rFonts w:ascii="Arial" w:hAnsi="Arial" w:cs="Arial"/>
                <w:lang w:val="en-US"/>
              </w:rPr>
              <w:t>0.200</w:t>
            </w:r>
          </w:p>
        </w:tc>
        <w:tc>
          <w:tcPr>
            <w:tcW w:w="1134"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0.024</w:t>
            </w:r>
            <w:r w:rsidRPr="001A71CF">
              <w:rPr>
                <w:rFonts w:ascii="Arial" w:hAnsi="Arial" w:cs="Arial"/>
                <w:vertAlign w:val="superscript"/>
                <w:lang w:val="en-US"/>
              </w:rPr>
              <w:t>3</w:t>
            </w:r>
          </w:p>
        </w:tc>
        <w:tc>
          <w:tcPr>
            <w:tcW w:w="992"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NS</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8314"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0</w:t>
            </w:r>
            <w:r w:rsidRPr="00A5446E">
              <w:rPr>
                <w:rFonts w:ascii="Arial" w:hAnsi="Arial" w:cs="Arial"/>
                <w:lang w:val="en-US"/>
              </w:rPr>
              <w:t>.69 ± 0.42</w:t>
            </w:r>
            <w:r w:rsidRPr="00A5446E">
              <w:rPr>
                <w:rFonts w:ascii="Arial" w:hAnsi="Arial" w:cs="Arial"/>
                <w:vertAlign w:val="superscript"/>
                <w:lang w:val="en-US"/>
              </w:rPr>
              <w:t xml:space="preserve"> ns</w:t>
            </w:r>
            <w:r w:rsidRPr="00A5446E">
              <w:rPr>
                <w:rFonts w:ascii="Arial" w:hAnsi="Arial" w:cs="Arial"/>
                <w:lang w:val="en-US"/>
              </w:rPr>
              <w:t xml:space="preserve"> + 0.0107*** ± 0.0018 × RfOMI²</w:t>
            </w:r>
          </w:p>
        </w:tc>
        <w:tc>
          <w:tcPr>
            <w:tcW w:w="737" w:type="dxa"/>
            <w:tcMar>
              <w:left w:w="0" w:type="dxa"/>
              <w:right w:w="0" w:type="dxa"/>
            </w:tcMar>
          </w:tcPr>
          <w:p w:rsidR="001A71CF" w:rsidRDefault="001A71CF" w:rsidP="0015375C">
            <w:pPr>
              <w:autoSpaceDE w:val="0"/>
              <w:autoSpaceDN w:val="0"/>
              <w:adjustRightInd w:val="0"/>
              <w:jc w:val="both"/>
              <w:rPr>
                <w:rFonts w:ascii="Arial" w:hAnsi="Arial" w:cs="Arial"/>
                <w:lang w:val="en-US"/>
              </w:rPr>
            </w:pPr>
            <w:r w:rsidRPr="00A5446E">
              <w:rPr>
                <w:rFonts w:ascii="Arial" w:hAnsi="Arial" w:cs="Arial"/>
                <w:lang w:val="en-US"/>
              </w:rPr>
              <w:t>0.397</w:t>
            </w:r>
          </w:p>
        </w:tc>
        <w:tc>
          <w:tcPr>
            <w:tcW w:w="1134" w:type="dxa"/>
            <w:tcMar>
              <w:left w:w="0" w:type="dxa"/>
              <w:right w:w="0" w:type="dxa"/>
            </w:tcMar>
          </w:tcPr>
          <w:p w:rsidR="001A71CF" w:rsidRDefault="00757F77" w:rsidP="00757F77">
            <w:pPr>
              <w:autoSpaceDE w:val="0"/>
              <w:autoSpaceDN w:val="0"/>
              <w:adjustRightInd w:val="0"/>
              <w:jc w:val="both"/>
              <w:rPr>
                <w:rFonts w:ascii="Arial" w:hAnsi="Arial" w:cs="Arial"/>
                <w:lang w:val="en-US"/>
              </w:rPr>
            </w:pPr>
            <w:r w:rsidRPr="00FD0EC1">
              <w:rPr>
                <w:rFonts w:ascii="Arial" w:hAnsi="Arial" w:cs="Arial"/>
                <w:lang w:val="en-US"/>
              </w:rPr>
              <w:t>&lt; 0.001</w:t>
            </w:r>
            <w:r>
              <w:rPr>
                <w:rFonts w:ascii="Arial" w:hAnsi="Arial" w:cs="Arial"/>
                <w:vertAlign w:val="superscript"/>
                <w:lang w:val="en-US"/>
              </w:rPr>
              <w:t>4</w:t>
            </w:r>
          </w:p>
        </w:tc>
        <w:tc>
          <w:tcPr>
            <w:tcW w:w="992" w:type="dxa"/>
            <w:tcMar>
              <w:left w:w="0" w:type="dxa"/>
              <w:right w:w="0" w:type="dxa"/>
            </w:tcMar>
          </w:tcPr>
          <w:p w:rsidR="001A71CF" w:rsidRDefault="00757F77" w:rsidP="0015375C">
            <w:pPr>
              <w:autoSpaceDE w:val="0"/>
              <w:autoSpaceDN w:val="0"/>
              <w:adjustRightInd w:val="0"/>
              <w:jc w:val="both"/>
              <w:rPr>
                <w:rFonts w:ascii="Arial" w:hAnsi="Arial" w:cs="Arial"/>
                <w:lang w:val="en-US"/>
              </w:rPr>
            </w:pPr>
            <w:r>
              <w:rPr>
                <w:rFonts w:ascii="Arial" w:hAnsi="Arial" w:cs="Arial"/>
                <w:lang w:val="en-US"/>
              </w:rPr>
              <w:t>NS</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8314"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737"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134"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992"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r>
      <w:tr w:rsidR="001A71CF" w:rsidTr="001A71CF">
        <w:tc>
          <w:tcPr>
            <w:tcW w:w="1463" w:type="dxa"/>
            <w:tcMar>
              <w:left w:w="0" w:type="dxa"/>
              <w:right w:w="0" w:type="dxa"/>
            </w:tcMar>
          </w:tcPr>
          <w:p w:rsidR="001A71CF" w:rsidRDefault="001A71CF" w:rsidP="00234374">
            <w:pPr>
              <w:autoSpaceDE w:val="0"/>
              <w:autoSpaceDN w:val="0"/>
              <w:adjustRightInd w:val="0"/>
              <w:jc w:val="both"/>
              <w:rPr>
                <w:rFonts w:ascii="Arial" w:hAnsi="Arial" w:cs="Arial"/>
                <w:lang w:val="en-US"/>
              </w:rPr>
            </w:pPr>
            <w:r>
              <w:rPr>
                <w:rFonts w:ascii="Arial" w:hAnsi="Arial" w:cs="Arial"/>
                <w:lang w:val="en-US"/>
              </w:rPr>
              <w:t>NHF-C4</w:t>
            </w:r>
          </w:p>
        </w:tc>
        <w:tc>
          <w:tcPr>
            <w:tcW w:w="1257" w:type="dxa"/>
            <w:tcMar>
              <w:left w:w="0" w:type="dxa"/>
              <w:right w:w="0" w:type="dxa"/>
            </w:tcMar>
          </w:tcPr>
          <w:p w:rsidR="001A71CF" w:rsidRDefault="001A71CF" w:rsidP="00234374">
            <w:pPr>
              <w:autoSpaceDE w:val="0"/>
              <w:autoSpaceDN w:val="0"/>
              <w:adjustRightInd w:val="0"/>
              <w:jc w:val="both"/>
              <w:rPr>
                <w:rFonts w:ascii="Arial" w:hAnsi="Arial" w:cs="Arial"/>
                <w:lang w:val="en-US"/>
              </w:rPr>
            </w:pPr>
            <w:r>
              <w:rPr>
                <w:rFonts w:ascii="Arial" w:hAnsi="Arial" w:cs="Arial"/>
                <w:lang w:val="en-US"/>
              </w:rPr>
              <w:t>GLM</w:t>
            </w:r>
          </w:p>
        </w:tc>
        <w:tc>
          <w:tcPr>
            <w:tcW w:w="8314" w:type="dxa"/>
            <w:tcMar>
              <w:left w:w="0" w:type="dxa"/>
              <w:right w:w="0" w:type="dxa"/>
            </w:tcMar>
          </w:tcPr>
          <w:p w:rsidR="001A71CF" w:rsidRDefault="001A71CF" w:rsidP="00234374">
            <w:pPr>
              <w:autoSpaceDE w:val="0"/>
              <w:autoSpaceDN w:val="0"/>
              <w:adjustRightInd w:val="0"/>
              <w:jc w:val="both"/>
              <w:rPr>
                <w:rFonts w:ascii="Arial" w:hAnsi="Arial" w:cs="Arial"/>
                <w:lang w:val="en-US"/>
              </w:rPr>
            </w:pPr>
            <w:r w:rsidRPr="00A5446E">
              <w:rPr>
                <w:rFonts w:ascii="Arial" w:hAnsi="Arial" w:cs="Arial"/>
                <w:lang w:val="en-US"/>
              </w:rPr>
              <w:t>-0.0056 ± 0.010</w:t>
            </w:r>
            <w:r w:rsidRPr="00A5446E">
              <w:rPr>
                <w:rFonts w:ascii="Arial" w:hAnsi="Arial" w:cs="Arial"/>
                <w:vertAlign w:val="superscript"/>
                <w:lang w:val="en-US"/>
              </w:rPr>
              <w:t>ns</w:t>
            </w:r>
            <w:r w:rsidRPr="00A5446E">
              <w:rPr>
                <w:rFonts w:ascii="Arial" w:hAnsi="Arial" w:cs="Arial"/>
                <w:lang w:val="en-US"/>
              </w:rPr>
              <w:t xml:space="preserve"> - 0.752***</w:t>
            </w:r>
            <w:r w:rsidRPr="00A5446E">
              <w:rPr>
                <w:rFonts w:ascii="Arial" w:hAnsi="Arial" w:cs="Arial"/>
                <w:vertAlign w:val="superscript"/>
                <w:lang w:val="en-US"/>
              </w:rPr>
              <w:t xml:space="preserve"> </w:t>
            </w:r>
            <w:r w:rsidRPr="00A5446E">
              <w:rPr>
                <w:rFonts w:ascii="Arial" w:hAnsi="Arial" w:cs="Arial"/>
                <w:lang w:val="en-US"/>
              </w:rPr>
              <w:t>±  0.067 × NPA-C4</w:t>
            </w:r>
          </w:p>
        </w:tc>
        <w:tc>
          <w:tcPr>
            <w:tcW w:w="737" w:type="dxa"/>
            <w:tcMar>
              <w:left w:w="0" w:type="dxa"/>
              <w:right w:w="0" w:type="dxa"/>
            </w:tcMar>
          </w:tcPr>
          <w:p w:rsidR="001A71CF" w:rsidRDefault="001A71CF" w:rsidP="00234374">
            <w:pPr>
              <w:autoSpaceDE w:val="0"/>
              <w:autoSpaceDN w:val="0"/>
              <w:adjustRightInd w:val="0"/>
              <w:jc w:val="both"/>
              <w:rPr>
                <w:rFonts w:ascii="Arial" w:hAnsi="Arial" w:cs="Arial"/>
                <w:lang w:val="en-US"/>
              </w:rPr>
            </w:pPr>
            <w:r w:rsidRPr="00A5446E">
              <w:rPr>
                <w:rFonts w:ascii="Arial" w:hAnsi="Arial" w:cs="Arial"/>
                <w:lang w:val="en-US"/>
              </w:rPr>
              <w:t>0.010</w:t>
            </w:r>
          </w:p>
        </w:tc>
        <w:tc>
          <w:tcPr>
            <w:tcW w:w="1134"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0.04</w:t>
            </w:r>
            <w:r w:rsidRPr="001A71CF">
              <w:rPr>
                <w:rFonts w:ascii="Arial" w:hAnsi="Arial" w:cs="Arial"/>
                <w:vertAlign w:val="superscript"/>
                <w:lang w:val="en-US"/>
              </w:rPr>
              <w:t>5</w:t>
            </w:r>
          </w:p>
        </w:tc>
        <w:tc>
          <w:tcPr>
            <w:tcW w:w="992"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0.02</w:t>
            </w:r>
            <w:r w:rsidRPr="001A71CF">
              <w:rPr>
                <w:rFonts w:ascii="Arial" w:hAnsi="Arial" w:cs="Arial"/>
                <w:vertAlign w:val="superscript"/>
                <w:lang w:val="en-US"/>
              </w:rPr>
              <w:t>6</w:t>
            </w:r>
          </w:p>
        </w:tc>
      </w:tr>
      <w:tr w:rsidR="001A71CF" w:rsidTr="001A71CF">
        <w:tc>
          <w:tcPr>
            <w:tcW w:w="1463" w:type="dxa"/>
            <w:tcMar>
              <w:left w:w="0" w:type="dxa"/>
              <w:right w:w="0" w:type="dxa"/>
            </w:tcMar>
          </w:tcPr>
          <w:p w:rsidR="001A71CF" w:rsidRDefault="001A71CF" w:rsidP="00234374">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234374">
            <w:pPr>
              <w:autoSpaceDE w:val="0"/>
              <w:autoSpaceDN w:val="0"/>
              <w:adjustRightInd w:val="0"/>
              <w:jc w:val="both"/>
              <w:rPr>
                <w:rFonts w:ascii="Arial" w:hAnsi="Arial" w:cs="Arial"/>
                <w:lang w:val="en-US"/>
              </w:rPr>
            </w:pPr>
            <w:r>
              <w:rPr>
                <w:rFonts w:ascii="Arial" w:hAnsi="Arial" w:cs="Arial"/>
                <w:lang w:val="en-US"/>
              </w:rPr>
              <w:t>MIXED</w:t>
            </w:r>
          </w:p>
        </w:tc>
        <w:tc>
          <w:tcPr>
            <w:tcW w:w="8314" w:type="dxa"/>
            <w:tcMar>
              <w:left w:w="0" w:type="dxa"/>
              <w:right w:w="0" w:type="dxa"/>
            </w:tcMar>
          </w:tcPr>
          <w:p w:rsidR="001A71CF" w:rsidRDefault="001A71CF" w:rsidP="00234374">
            <w:pPr>
              <w:autoSpaceDE w:val="0"/>
              <w:autoSpaceDN w:val="0"/>
              <w:adjustRightInd w:val="0"/>
              <w:jc w:val="both"/>
              <w:rPr>
                <w:rFonts w:ascii="Arial" w:hAnsi="Arial" w:cs="Arial"/>
                <w:lang w:val="en-US"/>
              </w:rPr>
            </w:pPr>
            <w:r w:rsidRPr="00A5446E">
              <w:rPr>
                <w:rFonts w:ascii="Arial" w:hAnsi="Arial" w:cs="Arial"/>
                <w:lang w:val="en-US"/>
              </w:rPr>
              <w:t>0.0065 ± 0.077</w:t>
            </w:r>
            <w:r w:rsidRPr="00A5446E">
              <w:rPr>
                <w:rFonts w:ascii="Arial" w:hAnsi="Arial" w:cs="Arial"/>
                <w:vertAlign w:val="superscript"/>
                <w:lang w:val="en-US"/>
              </w:rPr>
              <w:t>ns</w:t>
            </w:r>
            <w:r w:rsidRPr="00A5446E">
              <w:rPr>
                <w:rFonts w:ascii="Arial" w:hAnsi="Arial" w:cs="Arial"/>
                <w:lang w:val="en-US"/>
              </w:rPr>
              <w:t xml:space="preserve"> - 0.864***</w:t>
            </w:r>
            <w:r w:rsidRPr="00A5446E">
              <w:rPr>
                <w:rFonts w:ascii="Arial" w:hAnsi="Arial" w:cs="Arial"/>
                <w:vertAlign w:val="superscript"/>
                <w:lang w:val="en-US"/>
              </w:rPr>
              <w:t xml:space="preserve"> </w:t>
            </w:r>
            <w:r w:rsidRPr="00A5446E">
              <w:rPr>
                <w:rFonts w:ascii="Arial" w:hAnsi="Arial" w:cs="Arial"/>
                <w:lang w:val="en-US"/>
              </w:rPr>
              <w:t>± 0.115 × NPA-C4</w:t>
            </w:r>
          </w:p>
        </w:tc>
        <w:tc>
          <w:tcPr>
            <w:tcW w:w="737" w:type="dxa"/>
            <w:tcMar>
              <w:left w:w="0" w:type="dxa"/>
              <w:right w:w="0" w:type="dxa"/>
            </w:tcMar>
          </w:tcPr>
          <w:p w:rsidR="001A71CF" w:rsidRDefault="001A71CF" w:rsidP="00234374">
            <w:pPr>
              <w:autoSpaceDE w:val="0"/>
              <w:autoSpaceDN w:val="0"/>
              <w:adjustRightInd w:val="0"/>
              <w:jc w:val="both"/>
              <w:rPr>
                <w:rFonts w:ascii="Arial" w:hAnsi="Arial" w:cs="Arial"/>
                <w:lang w:val="en-US"/>
              </w:rPr>
            </w:pPr>
            <w:r w:rsidRPr="00A5446E">
              <w:rPr>
                <w:rFonts w:ascii="Arial" w:hAnsi="Arial" w:cs="Arial"/>
                <w:lang w:val="en-US"/>
              </w:rPr>
              <w:t>0.010</w:t>
            </w:r>
          </w:p>
        </w:tc>
        <w:tc>
          <w:tcPr>
            <w:tcW w:w="1134" w:type="dxa"/>
            <w:tcMar>
              <w:left w:w="0" w:type="dxa"/>
              <w:right w:w="0" w:type="dxa"/>
            </w:tcMar>
          </w:tcPr>
          <w:p w:rsidR="001A71CF" w:rsidRDefault="00757F77" w:rsidP="0015375C">
            <w:pPr>
              <w:autoSpaceDE w:val="0"/>
              <w:autoSpaceDN w:val="0"/>
              <w:adjustRightInd w:val="0"/>
              <w:jc w:val="both"/>
              <w:rPr>
                <w:rFonts w:ascii="Arial" w:hAnsi="Arial" w:cs="Arial"/>
                <w:lang w:val="en-US"/>
              </w:rPr>
            </w:pPr>
            <w:r>
              <w:rPr>
                <w:rFonts w:ascii="Arial" w:hAnsi="Arial" w:cs="Arial"/>
                <w:lang w:val="en-US"/>
              </w:rPr>
              <w:t>NS</w:t>
            </w:r>
          </w:p>
        </w:tc>
        <w:tc>
          <w:tcPr>
            <w:tcW w:w="992" w:type="dxa"/>
            <w:tcMar>
              <w:left w:w="0" w:type="dxa"/>
              <w:right w:w="0" w:type="dxa"/>
            </w:tcMar>
          </w:tcPr>
          <w:p w:rsidR="001A71CF" w:rsidRDefault="00757F77" w:rsidP="0015375C">
            <w:pPr>
              <w:autoSpaceDE w:val="0"/>
              <w:autoSpaceDN w:val="0"/>
              <w:adjustRightInd w:val="0"/>
              <w:jc w:val="both"/>
              <w:rPr>
                <w:rFonts w:ascii="Arial" w:hAnsi="Arial" w:cs="Arial"/>
                <w:lang w:val="en-US"/>
              </w:rPr>
            </w:pPr>
            <w:r>
              <w:rPr>
                <w:rFonts w:ascii="Arial" w:hAnsi="Arial" w:cs="Arial"/>
                <w:lang w:val="en-US"/>
              </w:rPr>
              <w:t>0.091</w:t>
            </w:r>
            <w:r w:rsidRPr="00757F77">
              <w:rPr>
                <w:rFonts w:ascii="Arial" w:hAnsi="Arial" w:cs="Arial"/>
                <w:vertAlign w:val="superscript"/>
                <w:lang w:val="en-US"/>
              </w:rPr>
              <w:t>7</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8314" w:type="dxa"/>
            <w:tcMar>
              <w:left w:w="0" w:type="dxa"/>
              <w:right w:w="0" w:type="dxa"/>
            </w:tcMar>
          </w:tcPr>
          <w:p w:rsidR="001A71CF" w:rsidRPr="00A5446E" w:rsidRDefault="001A71CF" w:rsidP="0015375C">
            <w:pPr>
              <w:autoSpaceDE w:val="0"/>
              <w:autoSpaceDN w:val="0"/>
              <w:adjustRightInd w:val="0"/>
              <w:jc w:val="both"/>
              <w:rPr>
                <w:rFonts w:ascii="Arial" w:hAnsi="Arial" w:cs="Arial"/>
                <w:lang w:val="en-US"/>
              </w:rPr>
            </w:pPr>
          </w:p>
        </w:tc>
        <w:tc>
          <w:tcPr>
            <w:tcW w:w="737" w:type="dxa"/>
            <w:tcMar>
              <w:left w:w="0" w:type="dxa"/>
              <w:right w:w="0" w:type="dxa"/>
            </w:tcMar>
          </w:tcPr>
          <w:p w:rsidR="001A71CF" w:rsidRPr="00A5446E" w:rsidRDefault="001A71CF" w:rsidP="0015375C">
            <w:pPr>
              <w:autoSpaceDE w:val="0"/>
              <w:autoSpaceDN w:val="0"/>
              <w:adjustRightInd w:val="0"/>
              <w:jc w:val="both"/>
              <w:rPr>
                <w:rFonts w:ascii="Arial" w:hAnsi="Arial" w:cs="Arial"/>
                <w:lang w:val="en-US"/>
              </w:rPr>
            </w:pPr>
          </w:p>
        </w:tc>
        <w:tc>
          <w:tcPr>
            <w:tcW w:w="1134"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992"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r>
      <w:tr w:rsidR="001A71CF" w:rsidTr="001A71CF">
        <w:tc>
          <w:tcPr>
            <w:tcW w:w="1463" w:type="dxa"/>
            <w:tcMar>
              <w:left w:w="0" w:type="dxa"/>
              <w:right w:w="0" w:type="dxa"/>
            </w:tcMar>
          </w:tcPr>
          <w:p w:rsidR="001A71CF" w:rsidRDefault="001A71CF" w:rsidP="00234374">
            <w:pPr>
              <w:autoSpaceDE w:val="0"/>
              <w:autoSpaceDN w:val="0"/>
              <w:adjustRightInd w:val="0"/>
              <w:jc w:val="both"/>
              <w:rPr>
                <w:rFonts w:ascii="Arial" w:hAnsi="Arial" w:cs="Arial"/>
                <w:lang w:val="en-US"/>
              </w:rPr>
            </w:pPr>
            <w:r>
              <w:rPr>
                <w:rFonts w:ascii="Arial" w:hAnsi="Arial" w:cs="Arial"/>
                <w:lang w:val="en-US"/>
              </w:rPr>
              <w:t>NHF-BHBA</w:t>
            </w:r>
          </w:p>
        </w:tc>
        <w:tc>
          <w:tcPr>
            <w:tcW w:w="1257" w:type="dxa"/>
            <w:tcMar>
              <w:left w:w="0" w:type="dxa"/>
              <w:right w:w="0" w:type="dxa"/>
            </w:tcMar>
          </w:tcPr>
          <w:p w:rsidR="001A71CF" w:rsidRDefault="001A71CF" w:rsidP="00234374">
            <w:pPr>
              <w:autoSpaceDE w:val="0"/>
              <w:autoSpaceDN w:val="0"/>
              <w:adjustRightInd w:val="0"/>
              <w:jc w:val="both"/>
              <w:rPr>
                <w:rFonts w:ascii="Arial" w:hAnsi="Arial" w:cs="Arial"/>
                <w:lang w:val="en-US"/>
              </w:rPr>
            </w:pPr>
            <w:r>
              <w:rPr>
                <w:rFonts w:ascii="Arial" w:hAnsi="Arial" w:cs="Arial"/>
                <w:lang w:val="en-US"/>
              </w:rPr>
              <w:t>GLM</w:t>
            </w:r>
          </w:p>
        </w:tc>
        <w:tc>
          <w:tcPr>
            <w:tcW w:w="8314" w:type="dxa"/>
            <w:tcMar>
              <w:left w:w="0" w:type="dxa"/>
              <w:right w:w="0" w:type="dxa"/>
            </w:tcMar>
          </w:tcPr>
          <w:p w:rsidR="001A71CF" w:rsidRDefault="001A71CF" w:rsidP="00234374">
            <w:pPr>
              <w:autoSpaceDE w:val="0"/>
              <w:autoSpaceDN w:val="0"/>
              <w:adjustRightInd w:val="0"/>
              <w:jc w:val="both"/>
              <w:rPr>
                <w:rFonts w:ascii="Arial" w:hAnsi="Arial" w:cs="Arial"/>
                <w:lang w:val="en-US"/>
              </w:rPr>
            </w:pPr>
            <w:r w:rsidRPr="00A5446E">
              <w:rPr>
                <w:rFonts w:ascii="Arial" w:hAnsi="Arial" w:cs="Arial"/>
                <w:lang w:val="en-US"/>
              </w:rPr>
              <w:t>0.0828 ± 0.0607</w:t>
            </w:r>
            <w:r w:rsidRPr="00A5446E">
              <w:rPr>
                <w:rFonts w:ascii="Arial" w:hAnsi="Arial" w:cs="Arial"/>
                <w:vertAlign w:val="superscript"/>
                <w:lang w:val="en-US"/>
              </w:rPr>
              <w:t xml:space="preserve"> ns</w:t>
            </w:r>
            <w:r w:rsidRPr="00A5446E">
              <w:rPr>
                <w:rFonts w:ascii="Arial" w:hAnsi="Arial" w:cs="Arial"/>
                <w:lang w:val="en-US"/>
              </w:rPr>
              <w:t xml:space="preserve"> + 0.6098** ± 0.3096 × NPA-C4 + 0.000779*** ± 0.000186 × EB²</w:t>
            </w:r>
          </w:p>
        </w:tc>
        <w:tc>
          <w:tcPr>
            <w:tcW w:w="737" w:type="dxa"/>
            <w:tcMar>
              <w:left w:w="0" w:type="dxa"/>
              <w:right w:w="0" w:type="dxa"/>
            </w:tcMar>
          </w:tcPr>
          <w:p w:rsidR="001A71CF" w:rsidRDefault="001A71CF" w:rsidP="00234374">
            <w:pPr>
              <w:autoSpaceDE w:val="0"/>
              <w:autoSpaceDN w:val="0"/>
              <w:adjustRightInd w:val="0"/>
              <w:jc w:val="both"/>
              <w:rPr>
                <w:rFonts w:ascii="Arial" w:hAnsi="Arial" w:cs="Arial"/>
                <w:lang w:val="en-US"/>
              </w:rPr>
            </w:pPr>
            <w:r w:rsidRPr="00A5446E">
              <w:rPr>
                <w:rFonts w:ascii="Arial" w:hAnsi="Arial" w:cs="Arial"/>
                <w:lang w:val="en-US"/>
              </w:rPr>
              <w:t>0.050</w:t>
            </w:r>
          </w:p>
        </w:tc>
        <w:tc>
          <w:tcPr>
            <w:tcW w:w="1134"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NS</w:t>
            </w:r>
          </w:p>
        </w:tc>
        <w:tc>
          <w:tcPr>
            <w:tcW w:w="992" w:type="dxa"/>
            <w:tcMar>
              <w:left w:w="0" w:type="dxa"/>
              <w:right w:w="0" w:type="dxa"/>
            </w:tcMar>
          </w:tcPr>
          <w:p w:rsidR="001A71CF" w:rsidRDefault="001A71CF" w:rsidP="00757F77">
            <w:pPr>
              <w:autoSpaceDE w:val="0"/>
              <w:autoSpaceDN w:val="0"/>
              <w:adjustRightInd w:val="0"/>
              <w:jc w:val="both"/>
              <w:rPr>
                <w:rFonts w:ascii="Arial" w:hAnsi="Arial" w:cs="Arial"/>
                <w:lang w:val="en-US"/>
              </w:rPr>
            </w:pPr>
            <w:r>
              <w:rPr>
                <w:rFonts w:ascii="Arial" w:hAnsi="Arial" w:cs="Arial"/>
                <w:lang w:val="en-US"/>
              </w:rPr>
              <w:t>0.01</w:t>
            </w:r>
            <w:r w:rsidR="00757F77">
              <w:rPr>
                <w:rFonts w:ascii="Arial" w:hAnsi="Arial" w:cs="Arial"/>
                <w:vertAlign w:val="superscript"/>
                <w:lang w:val="en-US"/>
              </w:rPr>
              <w:t>8</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234374">
            <w:pPr>
              <w:autoSpaceDE w:val="0"/>
              <w:autoSpaceDN w:val="0"/>
              <w:adjustRightInd w:val="0"/>
              <w:jc w:val="both"/>
              <w:rPr>
                <w:rFonts w:ascii="Arial" w:hAnsi="Arial" w:cs="Arial"/>
                <w:lang w:val="en-US"/>
              </w:rPr>
            </w:pPr>
          </w:p>
        </w:tc>
        <w:tc>
          <w:tcPr>
            <w:tcW w:w="8314" w:type="dxa"/>
            <w:tcMar>
              <w:left w:w="0" w:type="dxa"/>
              <w:right w:w="0" w:type="dxa"/>
            </w:tcMar>
          </w:tcPr>
          <w:p w:rsidR="001A71CF" w:rsidRPr="00A5446E" w:rsidRDefault="001A71CF" w:rsidP="00234374">
            <w:pPr>
              <w:autoSpaceDE w:val="0"/>
              <w:autoSpaceDN w:val="0"/>
              <w:adjustRightInd w:val="0"/>
              <w:jc w:val="both"/>
              <w:rPr>
                <w:rFonts w:ascii="Arial" w:hAnsi="Arial" w:cs="Arial"/>
                <w:lang w:val="en-US"/>
              </w:rPr>
            </w:pPr>
            <w:r w:rsidRPr="00A5446E">
              <w:rPr>
                <w:rFonts w:ascii="Arial" w:hAnsi="Arial" w:cs="Arial"/>
                <w:lang w:val="en-US"/>
              </w:rPr>
              <w:t>-0.0212 ± 0.053</w:t>
            </w:r>
            <w:r w:rsidRPr="00A5446E">
              <w:rPr>
                <w:rFonts w:ascii="Arial" w:hAnsi="Arial" w:cs="Arial"/>
                <w:vertAlign w:val="superscript"/>
                <w:lang w:val="en-US"/>
              </w:rPr>
              <w:t xml:space="preserve"> ns</w:t>
            </w:r>
            <w:r w:rsidRPr="00A5446E">
              <w:rPr>
                <w:rFonts w:ascii="Arial" w:hAnsi="Arial" w:cs="Arial"/>
                <w:lang w:val="en-US"/>
              </w:rPr>
              <w:t xml:space="preserve"> + 0.0203**</w:t>
            </w:r>
            <w:r w:rsidRPr="00A5446E">
              <w:rPr>
                <w:rFonts w:ascii="Arial" w:hAnsi="Arial" w:cs="Arial"/>
                <w:vertAlign w:val="superscript"/>
                <w:lang w:val="en-US"/>
              </w:rPr>
              <w:t xml:space="preserve"> </w:t>
            </w:r>
            <w:bookmarkStart w:id="0" w:name="OLE_LINK1"/>
            <w:bookmarkStart w:id="1" w:name="OLE_LINK2"/>
            <w:r w:rsidRPr="00A5446E">
              <w:rPr>
                <w:rFonts w:ascii="Arial" w:hAnsi="Arial" w:cs="Arial"/>
                <w:lang w:val="en-US"/>
              </w:rPr>
              <w:t>±</w:t>
            </w:r>
            <w:bookmarkEnd w:id="0"/>
            <w:bookmarkEnd w:id="1"/>
            <w:r w:rsidRPr="00A5446E">
              <w:rPr>
                <w:rFonts w:ascii="Arial" w:hAnsi="Arial" w:cs="Arial"/>
                <w:lang w:val="en-US"/>
              </w:rPr>
              <w:t xml:space="preserve">  0.0052 × </w:t>
            </w:r>
            <w:proofErr w:type="spellStart"/>
            <w:r w:rsidRPr="00A5446E">
              <w:rPr>
                <w:rFonts w:ascii="Arial" w:hAnsi="Arial" w:cs="Arial"/>
                <w:lang w:val="en-US"/>
              </w:rPr>
              <w:t>RfOMI</w:t>
            </w:r>
            <w:proofErr w:type="spellEnd"/>
            <w:r w:rsidRPr="00A5446E">
              <w:rPr>
                <w:rFonts w:ascii="Arial" w:hAnsi="Arial" w:cs="Arial"/>
                <w:lang w:val="en-US"/>
              </w:rPr>
              <w:t xml:space="preserve"> + 0.00083** ± 0.000092 × EB²</w:t>
            </w:r>
          </w:p>
        </w:tc>
        <w:tc>
          <w:tcPr>
            <w:tcW w:w="737" w:type="dxa"/>
            <w:tcMar>
              <w:left w:w="0" w:type="dxa"/>
              <w:right w:w="0" w:type="dxa"/>
            </w:tcMar>
          </w:tcPr>
          <w:p w:rsidR="001A71CF" w:rsidRPr="00A5446E" w:rsidRDefault="001A71CF" w:rsidP="00234374">
            <w:pPr>
              <w:autoSpaceDE w:val="0"/>
              <w:autoSpaceDN w:val="0"/>
              <w:adjustRightInd w:val="0"/>
              <w:jc w:val="both"/>
              <w:rPr>
                <w:rFonts w:ascii="Arial" w:hAnsi="Arial" w:cs="Arial"/>
                <w:lang w:val="en-US"/>
              </w:rPr>
            </w:pPr>
            <w:r w:rsidRPr="00A5446E">
              <w:rPr>
                <w:rFonts w:ascii="Arial" w:hAnsi="Arial" w:cs="Arial"/>
                <w:lang w:val="en-US"/>
              </w:rPr>
              <w:t>0.035</w:t>
            </w:r>
          </w:p>
        </w:tc>
        <w:tc>
          <w:tcPr>
            <w:tcW w:w="1134" w:type="dxa"/>
            <w:tcMar>
              <w:left w:w="0" w:type="dxa"/>
              <w:right w:w="0" w:type="dxa"/>
            </w:tcMar>
          </w:tcPr>
          <w:p w:rsidR="001A71CF" w:rsidRDefault="001A71CF" w:rsidP="0015375C">
            <w:pPr>
              <w:autoSpaceDE w:val="0"/>
              <w:autoSpaceDN w:val="0"/>
              <w:adjustRightInd w:val="0"/>
              <w:jc w:val="both"/>
              <w:rPr>
                <w:rFonts w:ascii="Arial" w:hAnsi="Arial" w:cs="Arial"/>
                <w:lang w:val="en-US"/>
              </w:rPr>
            </w:pPr>
            <w:r>
              <w:rPr>
                <w:rFonts w:ascii="Arial" w:hAnsi="Arial" w:cs="Arial"/>
                <w:lang w:val="en-US"/>
              </w:rPr>
              <w:t>NS</w:t>
            </w:r>
          </w:p>
        </w:tc>
        <w:tc>
          <w:tcPr>
            <w:tcW w:w="992" w:type="dxa"/>
            <w:tcMar>
              <w:left w:w="0" w:type="dxa"/>
              <w:right w:w="0" w:type="dxa"/>
            </w:tcMar>
          </w:tcPr>
          <w:p w:rsidR="001A71CF" w:rsidRDefault="001A71CF" w:rsidP="00757F77">
            <w:pPr>
              <w:autoSpaceDE w:val="0"/>
              <w:autoSpaceDN w:val="0"/>
              <w:adjustRightInd w:val="0"/>
              <w:jc w:val="both"/>
              <w:rPr>
                <w:rFonts w:ascii="Arial" w:hAnsi="Arial" w:cs="Arial"/>
                <w:lang w:val="en-US"/>
              </w:rPr>
            </w:pPr>
            <w:r>
              <w:rPr>
                <w:rFonts w:ascii="Arial" w:hAnsi="Arial" w:cs="Arial"/>
                <w:lang w:val="en-US"/>
              </w:rPr>
              <w:t>&lt;0.001</w:t>
            </w:r>
            <w:r w:rsidR="00757F77">
              <w:rPr>
                <w:rFonts w:ascii="Arial" w:hAnsi="Arial" w:cs="Arial"/>
                <w:vertAlign w:val="superscript"/>
                <w:lang w:val="en-US"/>
              </w:rPr>
              <w:t>9</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234374">
            <w:pPr>
              <w:autoSpaceDE w:val="0"/>
              <w:autoSpaceDN w:val="0"/>
              <w:adjustRightInd w:val="0"/>
              <w:jc w:val="both"/>
              <w:rPr>
                <w:rFonts w:ascii="Arial" w:hAnsi="Arial" w:cs="Arial"/>
                <w:lang w:val="en-US"/>
              </w:rPr>
            </w:pPr>
            <w:r>
              <w:rPr>
                <w:rFonts w:ascii="Arial" w:hAnsi="Arial" w:cs="Arial"/>
                <w:lang w:val="en-US"/>
              </w:rPr>
              <w:t>MIXED</w:t>
            </w:r>
          </w:p>
        </w:tc>
        <w:tc>
          <w:tcPr>
            <w:tcW w:w="8314" w:type="dxa"/>
            <w:tcMar>
              <w:left w:w="0" w:type="dxa"/>
              <w:right w:w="0" w:type="dxa"/>
            </w:tcMar>
          </w:tcPr>
          <w:p w:rsidR="001A71CF" w:rsidRPr="00A5446E" w:rsidRDefault="001A71CF" w:rsidP="00234374">
            <w:pPr>
              <w:autoSpaceDE w:val="0"/>
              <w:autoSpaceDN w:val="0"/>
              <w:adjustRightInd w:val="0"/>
              <w:jc w:val="both"/>
              <w:rPr>
                <w:rFonts w:ascii="Arial" w:hAnsi="Arial" w:cs="Arial"/>
                <w:lang w:val="en-US"/>
              </w:rPr>
            </w:pPr>
            <w:r w:rsidRPr="00A5446E">
              <w:rPr>
                <w:rFonts w:ascii="Arial" w:hAnsi="Arial" w:cs="Arial"/>
                <w:lang w:val="en-US"/>
              </w:rPr>
              <w:t>0.0485 ± 0.0877</w:t>
            </w:r>
            <w:r w:rsidRPr="00A5446E">
              <w:rPr>
                <w:rFonts w:ascii="Arial" w:hAnsi="Arial" w:cs="Arial"/>
                <w:vertAlign w:val="superscript"/>
                <w:lang w:val="en-US"/>
              </w:rPr>
              <w:t xml:space="preserve"> ns </w:t>
            </w:r>
            <w:r w:rsidRPr="00A5446E">
              <w:rPr>
                <w:rFonts w:ascii="Arial" w:hAnsi="Arial" w:cs="Arial"/>
                <w:lang w:val="en-US"/>
              </w:rPr>
              <w:t>+ 0.593* ± 0.263× NPA-C4 + 0.00175 ± 0.00031 × EB²</w:t>
            </w:r>
          </w:p>
        </w:tc>
        <w:tc>
          <w:tcPr>
            <w:tcW w:w="737" w:type="dxa"/>
            <w:tcMar>
              <w:left w:w="0" w:type="dxa"/>
              <w:right w:w="0" w:type="dxa"/>
            </w:tcMar>
          </w:tcPr>
          <w:p w:rsidR="001A71CF" w:rsidRPr="00A5446E" w:rsidRDefault="001A71CF" w:rsidP="00234374">
            <w:pPr>
              <w:autoSpaceDE w:val="0"/>
              <w:autoSpaceDN w:val="0"/>
              <w:adjustRightInd w:val="0"/>
              <w:jc w:val="both"/>
              <w:rPr>
                <w:rFonts w:ascii="Arial" w:hAnsi="Arial" w:cs="Arial"/>
                <w:lang w:val="en-US"/>
              </w:rPr>
            </w:pPr>
            <w:r w:rsidRPr="00A5446E">
              <w:rPr>
                <w:rFonts w:ascii="Arial" w:hAnsi="Arial" w:cs="Arial"/>
                <w:lang w:val="en-US"/>
              </w:rPr>
              <w:t>0.049</w:t>
            </w:r>
          </w:p>
        </w:tc>
        <w:tc>
          <w:tcPr>
            <w:tcW w:w="1134" w:type="dxa"/>
            <w:tcMar>
              <w:left w:w="0" w:type="dxa"/>
              <w:right w:w="0" w:type="dxa"/>
            </w:tcMar>
          </w:tcPr>
          <w:p w:rsidR="001A71CF" w:rsidRDefault="00F24562" w:rsidP="0015375C">
            <w:pPr>
              <w:autoSpaceDE w:val="0"/>
              <w:autoSpaceDN w:val="0"/>
              <w:adjustRightInd w:val="0"/>
              <w:jc w:val="both"/>
              <w:rPr>
                <w:rFonts w:ascii="Arial" w:hAnsi="Arial" w:cs="Arial"/>
                <w:lang w:val="en-US"/>
              </w:rPr>
            </w:pPr>
            <w:r>
              <w:rPr>
                <w:rFonts w:ascii="Arial" w:hAnsi="Arial" w:cs="Arial"/>
                <w:lang w:val="en-US"/>
              </w:rPr>
              <w:t>NS</w:t>
            </w:r>
          </w:p>
        </w:tc>
        <w:tc>
          <w:tcPr>
            <w:tcW w:w="992" w:type="dxa"/>
            <w:tcMar>
              <w:left w:w="0" w:type="dxa"/>
              <w:right w:w="0" w:type="dxa"/>
            </w:tcMar>
          </w:tcPr>
          <w:p w:rsidR="001A71CF" w:rsidRDefault="00F24562" w:rsidP="00F24562">
            <w:pPr>
              <w:autoSpaceDE w:val="0"/>
              <w:autoSpaceDN w:val="0"/>
              <w:adjustRightInd w:val="0"/>
              <w:jc w:val="both"/>
              <w:rPr>
                <w:rFonts w:ascii="Arial" w:hAnsi="Arial" w:cs="Arial"/>
                <w:lang w:val="en-US"/>
              </w:rPr>
            </w:pPr>
            <w:r>
              <w:rPr>
                <w:rFonts w:ascii="Arial" w:hAnsi="Arial" w:cs="Arial"/>
                <w:lang w:val="en-US"/>
              </w:rPr>
              <w:t>&lt;0.001</w:t>
            </w:r>
            <w:r>
              <w:rPr>
                <w:rFonts w:ascii="Arial" w:hAnsi="Arial" w:cs="Arial"/>
                <w:vertAlign w:val="superscript"/>
                <w:lang w:val="en-US"/>
              </w:rPr>
              <w:t>10</w:t>
            </w:r>
          </w:p>
        </w:tc>
      </w:tr>
      <w:tr w:rsidR="001A71CF" w:rsidTr="001A71CF">
        <w:tc>
          <w:tcPr>
            <w:tcW w:w="1463" w:type="dxa"/>
            <w:tcMar>
              <w:left w:w="0" w:type="dxa"/>
              <w:right w:w="0" w:type="dxa"/>
            </w:tcMar>
          </w:tcPr>
          <w:p w:rsidR="001A71CF" w:rsidRDefault="001A71CF" w:rsidP="0015375C">
            <w:pPr>
              <w:autoSpaceDE w:val="0"/>
              <w:autoSpaceDN w:val="0"/>
              <w:adjustRightInd w:val="0"/>
              <w:jc w:val="both"/>
              <w:rPr>
                <w:rFonts w:ascii="Arial" w:hAnsi="Arial" w:cs="Arial"/>
                <w:lang w:val="en-US"/>
              </w:rPr>
            </w:pPr>
          </w:p>
        </w:tc>
        <w:tc>
          <w:tcPr>
            <w:tcW w:w="1257" w:type="dxa"/>
            <w:tcMar>
              <w:left w:w="0" w:type="dxa"/>
              <w:right w:w="0" w:type="dxa"/>
            </w:tcMar>
          </w:tcPr>
          <w:p w:rsidR="001A71CF" w:rsidRDefault="001A71CF" w:rsidP="00234374">
            <w:pPr>
              <w:autoSpaceDE w:val="0"/>
              <w:autoSpaceDN w:val="0"/>
              <w:adjustRightInd w:val="0"/>
              <w:jc w:val="both"/>
              <w:rPr>
                <w:rFonts w:ascii="Arial" w:hAnsi="Arial" w:cs="Arial"/>
                <w:lang w:val="en-US"/>
              </w:rPr>
            </w:pPr>
          </w:p>
        </w:tc>
        <w:tc>
          <w:tcPr>
            <w:tcW w:w="8314" w:type="dxa"/>
            <w:tcMar>
              <w:left w:w="0" w:type="dxa"/>
              <w:right w:w="0" w:type="dxa"/>
            </w:tcMar>
          </w:tcPr>
          <w:p w:rsidR="001A71CF" w:rsidRPr="00A5446E" w:rsidRDefault="001A71CF" w:rsidP="00234374">
            <w:pPr>
              <w:autoSpaceDE w:val="0"/>
              <w:autoSpaceDN w:val="0"/>
              <w:adjustRightInd w:val="0"/>
              <w:jc w:val="both"/>
              <w:rPr>
                <w:rFonts w:ascii="Arial" w:hAnsi="Arial" w:cs="Arial"/>
                <w:lang w:val="en-US"/>
              </w:rPr>
            </w:pPr>
            <w:r w:rsidRPr="00A5446E">
              <w:rPr>
                <w:rFonts w:ascii="Arial" w:hAnsi="Arial" w:cs="Arial"/>
                <w:lang w:val="en-US"/>
              </w:rPr>
              <w:t>-0.0732 ±0.0788</w:t>
            </w:r>
            <w:r w:rsidRPr="00A5446E">
              <w:rPr>
                <w:rFonts w:ascii="Arial" w:hAnsi="Arial" w:cs="Arial"/>
                <w:vertAlign w:val="superscript"/>
                <w:lang w:val="en-US"/>
              </w:rPr>
              <w:t xml:space="preserve"> ns</w:t>
            </w:r>
            <w:r w:rsidRPr="00A5446E">
              <w:rPr>
                <w:rFonts w:ascii="Arial" w:hAnsi="Arial" w:cs="Arial"/>
                <w:lang w:val="en-US"/>
              </w:rPr>
              <w:t xml:space="preserve"> + 0.0216*** ± 0.00471 × </w:t>
            </w:r>
            <w:proofErr w:type="spellStart"/>
            <w:r w:rsidRPr="00A5446E">
              <w:rPr>
                <w:rFonts w:ascii="Arial" w:hAnsi="Arial" w:cs="Arial"/>
                <w:lang w:val="en-US"/>
              </w:rPr>
              <w:t>RfOMI</w:t>
            </w:r>
            <w:proofErr w:type="spellEnd"/>
            <w:r w:rsidRPr="00A5446E">
              <w:rPr>
                <w:rFonts w:ascii="Arial" w:hAnsi="Arial" w:cs="Arial"/>
                <w:lang w:val="en-US"/>
              </w:rPr>
              <w:t xml:space="preserve"> + 0.00180** ± 0.00023 × EB²</w:t>
            </w:r>
          </w:p>
        </w:tc>
        <w:tc>
          <w:tcPr>
            <w:tcW w:w="737" w:type="dxa"/>
            <w:tcMar>
              <w:left w:w="0" w:type="dxa"/>
              <w:right w:w="0" w:type="dxa"/>
            </w:tcMar>
          </w:tcPr>
          <w:p w:rsidR="001A71CF" w:rsidRPr="00A5446E" w:rsidRDefault="001A71CF" w:rsidP="00234374">
            <w:pPr>
              <w:autoSpaceDE w:val="0"/>
              <w:autoSpaceDN w:val="0"/>
              <w:adjustRightInd w:val="0"/>
              <w:jc w:val="both"/>
              <w:rPr>
                <w:rFonts w:ascii="Arial" w:hAnsi="Arial" w:cs="Arial"/>
                <w:lang w:val="en-US"/>
              </w:rPr>
            </w:pPr>
            <w:r w:rsidRPr="00A5446E">
              <w:rPr>
                <w:rFonts w:ascii="Arial" w:hAnsi="Arial" w:cs="Arial"/>
                <w:lang w:val="en-US"/>
              </w:rPr>
              <w:t>0.034</w:t>
            </w:r>
          </w:p>
        </w:tc>
        <w:tc>
          <w:tcPr>
            <w:tcW w:w="1134" w:type="dxa"/>
            <w:tcMar>
              <w:left w:w="0" w:type="dxa"/>
              <w:right w:w="0" w:type="dxa"/>
            </w:tcMar>
          </w:tcPr>
          <w:p w:rsidR="001A71CF" w:rsidRDefault="00757F77" w:rsidP="0015375C">
            <w:pPr>
              <w:autoSpaceDE w:val="0"/>
              <w:autoSpaceDN w:val="0"/>
              <w:adjustRightInd w:val="0"/>
              <w:jc w:val="both"/>
              <w:rPr>
                <w:rFonts w:ascii="Arial" w:hAnsi="Arial" w:cs="Arial"/>
                <w:lang w:val="en-US"/>
              </w:rPr>
            </w:pPr>
            <w:r>
              <w:rPr>
                <w:rFonts w:ascii="Arial" w:hAnsi="Arial" w:cs="Arial"/>
                <w:lang w:val="en-US"/>
              </w:rPr>
              <w:t>NS</w:t>
            </w:r>
          </w:p>
        </w:tc>
        <w:tc>
          <w:tcPr>
            <w:tcW w:w="992" w:type="dxa"/>
            <w:tcMar>
              <w:left w:w="0" w:type="dxa"/>
              <w:right w:w="0" w:type="dxa"/>
            </w:tcMar>
          </w:tcPr>
          <w:p w:rsidR="001A71CF" w:rsidRDefault="00757F77" w:rsidP="00757F77">
            <w:pPr>
              <w:autoSpaceDE w:val="0"/>
              <w:autoSpaceDN w:val="0"/>
              <w:adjustRightInd w:val="0"/>
              <w:jc w:val="both"/>
              <w:rPr>
                <w:rFonts w:ascii="Arial" w:hAnsi="Arial" w:cs="Arial"/>
                <w:lang w:val="en-US"/>
              </w:rPr>
            </w:pPr>
            <w:r>
              <w:rPr>
                <w:rFonts w:ascii="Arial" w:hAnsi="Arial" w:cs="Arial"/>
                <w:lang w:val="en-US"/>
              </w:rPr>
              <w:t>&lt;0.001</w:t>
            </w:r>
            <w:r>
              <w:rPr>
                <w:rFonts w:ascii="Arial" w:hAnsi="Arial" w:cs="Arial"/>
                <w:vertAlign w:val="superscript"/>
                <w:lang w:val="en-US"/>
              </w:rPr>
              <w:t>11</w:t>
            </w:r>
          </w:p>
        </w:tc>
      </w:tr>
    </w:tbl>
    <w:p w:rsidR="0000759F" w:rsidRPr="00E8072A" w:rsidRDefault="0000759F" w:rsidP="00E8072A">
      <w:pPr>
        <w:autoSpaceDE w:val="0"/>
        <w:autoSpaceDN w:val="0"/>
        <w:adjustRightInd w:val="0"/>
        <w:jc w:val="both"/>
        <w:rPr>
          <w:rFonts w:ascii="Arial" w:hAnsi="Arial" w:cs="Arial"/>
          <w:lang w:val="en-US"/>
        </w:rPr>
      </w:pPr>
      <w:r>
        <w:rPr>
          <w:rFonts w:ascii="Arial" w:hAnsi="Arial" w:cs="Arial"/>
          <w:sz w:val="22"/>
          <w:szCs w:val="22"/>
          <w:lang w:val="en-US"/>
        </w:rPr>
        <w:t>RMSE = Residual means square error for the GLM models and Residuals for the MIXED models; PHY = physiological status effect</w:t>
      </w:r>
    </w:p>
    <w:p w:rsidR="001A71CF" w:rsidRDefault="001A71CF" w:rsidP="001A71CF">
      <w:pPr>
        <w:autoSpaceDE w:val="0"/>
        <w:autoSpaceDN w:val="0"/>
        <w:adjustRightInd w:val="0"/>
        <w:jc w:val="both"/>
        <w:rPr>
          <w:rFonts w:ascii="Arial" w:hAnsi="Arial" w:cs="Arial"/>
          <w:sz w:val="22"/>
          <w:szCs w:val="22"/>
          <w:lang w:val="en-US"/>
        </w:rPr>
      </w:pPr>
      <w:r w:rsidRPr="001A71CF">
        <w:rPr>
          <w:rFonts w:ascii="Arial" w:hAnsi="Arial" w:cs="Arial"/>
          <w:sz w:val="22"/>
          <w:szCs w:val="22"/>
          <w:vertAlign w:val="superscript"/>
          <w:lang w:val="en-US"/>
        </w:rPr>
        <w:t>1</w:t>
      </w:r>
      <w:r>
        <w:rPr>
          <w:rFonts w:ascii="Arial" w:hAnsi="Arial" w:cs="Arial"/>
          <w:sz w:val="22"/>
          <w:szCs w:val="22"/>
          <w:lang w:val="en-US"/>
        </w:rPr>
        <w:t xml:space="preserve"> </w:t>
      </w:r>
      <w:r w:rsidRPr="00A61DDB">
        <w:rPr>
          <w:rFonts w:ascii="Arial" w:hAnsi="Arial" w:cs="Arial"/>
          <w:sz w:val="22"/>
          <w:szCs w:val="22"/>
          <w:lang w:val="en-US"/>
        </w:rPr>
        <w:t xml:space="preserve">physiological status effect on the intercept: </w:t>
      </w:r>
      <w:r w:rsidRPr="00A61DDB">
        <w:rPr>
          <w:rFonts w:ascii="Arial" w:hAnsi="Arial" w:cs="Arial"/>
          <w:sz w:val="22"/>
          <w:szCs w:val="22"/>
          <w:lang w:val="en-US"/>
        </w:rPr>
        <w:sym w:font="Symbol" w:char="F044"/>
      </w:r>
      <w:r w:rsidRPr="00A61DDB">
        <w:rPr>
          <w:rFonts w:ascii="Arial" w:hAnsi="Arial" w:cs="Arial"/>
          <w:sz w:val="22"/>
          <w:szCs w:val="22"/>
          <w:lang w:val="en-US"/>
        </w:rPr>
        <w:t>=0.294 for growing animals and -0.144</w:t>
      </w:r>
      <w:r w:rsidR="00757F77">
        <w:rPr>
          <w:rFonts w:ascii="Arial" w:hAnsi="Arial" w:cs="Arial"/>
          <w:sz w:val="22"/>
          <w:szCs w:val="22"/>
          <w:lang w:val="en-US"/>
        </w:rPr>
        <w:t xml:space="preserve"> for gestation</w:t>
      </w:r>
    </w:p>
    <w:p w:rsidR="001A71CF" w:rsidRDefault="001A71CF" w:rsidP="001A71CF">
      <w:pPr>
        <w:autoSpaceDE w:val="0"/>
        <w:autoSpaceDN w:val="0"/>
        <w:adjustRightInd w:val="0"/>
        <w:jc w:val="both"/>
        <w:rPr>
          <w:rFonts w:ascii="Arial" w:hAnsi="Arial" w:cs="Arial"/>
          <w:sz w:val="22"/>
          <w:szCs w:val="22"/>
          <w:lang w:val="en-US"/>
        </w:rPr>
      </w:pPr>
      <w:r>
        <w:rPr>
          <w:rFonts w:ascii="Arial" w:hAnsi="Arial" w:cs="Arial"/>
          <w:sz w:val="22"/>
          <w:szCs w:val="22"/>
          <w:vertAlign w:val="superscript"/>
          <w:lang w:val="en-US"/>
        </w:rPr>
        <w:t>2</w:t>
      </w:r>
      <w:r w:rsidRPr="001A71CF">
        <w:rPr>
          <w:rFonts w:ascii="Arial" w:hAnsi="Arial" w:cs="Arial"/>
          <w:sz w:val="22"/>
          <w:szCs w:val="22"/>
          <w:lang w:val="en-US"/>
        </w:rPr>
        <w:t xml:space="preserve"> </w:t>
      </w:r>
      <w:r w:rsidRPr="0080455E">
        <w:rPr>
          <w:rFonts w:ascii="Arial" w:hAnsi="Arial" w:cs="Arial"/>
          <w:sz w:val="22"/>
          <w:szCs w:val="22"/>
          <w:lang w:val="en-US"/>
        </w:rPr>
        <w:t xml:space="preserve">physiological status effect on the intercept: </w:t>
      </w:r>
      <w:r w:rsidRPr="0080455E">
        <w:rPr>
          <w:rFonts w:ascii="Arial" w:hAnsi="Arial" w:cs="Arial"/>
          <w:sz w:val="22"/>
          <w:szCs w:val="22"/>
          <w:lang w:val="en-US"/>
        </w:rPr>
        <w:sym w:font="Symbol" w:char="F044"/>
      </w:r>
      <w:r>
        <w:rPr>
          <w:rFonts w:ascii="Arial" w:hAnsi="Arial" w:cs="Arial"/>
          <w:sz w:val="22"/>
          <w:szCs w:val="22"/>
          <w:lang w:val="en-US"/>
        </w:rPr>
        <w:t>=</w:t>
      </w:r>
      <w:r w:rsidRPr="0080455E">
        <w:rPr>
          <w:rFonts w:ascii="Arial" w:hAnsi="Arial" w:cs="Arial"/>
          <w:sz w:val="22"/>
          <w:szCs w:val="22"/>
          <w:lang w:val="en-US"/>
        </w:rPr>
        <w:t>-0.6</w:t>
      </w:r>
      <w:r>
        <w:rPr>
          <w:rFonts w:ascii="Arial" w:hAnsi="Arial" w:cs="Arial"/>
          <w:sz w:val="22"/>
          <w:szCs w:val="22"/>
          <w:lang w:val="en-US"/>
        </w:rPr>
        <w:t>99</w:t>
      </w:r>
      <w:r w:rsidRPr="0080455E">
        <w:rPr>
          <w:rFonts w:ascii="Arial" w:hAnsi="Arial" w:cs="Arial"/>
          <w:sz w:val="22"/>
          <w:szCs w:val="22"/>
          <w:lang w:val="en-US"/>
        </w:rPr>
        <w:t xml:space="preserve"> for non-productive adults, 0.</w:t>
      </w:r>
      <w:r>
        <w:rPr>
          <w:rFonts w:ascii="Arial" w:hAnsi="Arial" w:cs="Arial"/>
          <w:sz w:val="22"/>
          <w:szCs w:val="22"/>
          <w:lang w:val="en-US"/>
        </w:rPr>
        <w:t>555</w:t>
      </w:r>
      <w:r w:rsidRPr="0080455E">
        <w:rPr>
          <w:rFonts w:ascii="Arial" w:hAnsi="Arial" w:cs="Arial"/>
          <w:sz w:val="22"/>
          <w:szCs w:val="22"/>
          <w:lang w:val="en-US"/>
        </w:rPr>
        <w:t xml:space="preserve"> for growing animals</w:t>
      </w:r>
      <w:r>
        <w:rPr>
          <w:rFonts w:ascii="Arial" w:hAnsi="Arial" w:cs="Arial"/>
          <w:sz w:val="22"/>
          <w:szCs w:val="22"/>
          <w:lang w:val="en-US"/>
        </w:rPr>
        <w:t>,</w:t>
      </w:r>
      <w:r w:rsidRPr="0080455E">
        <w:rPr>
          <w:rFonts w:ascii="Arial" w:hAnsi="Arial" w:cs="Arial"/>
          <w:sz w:val="22"/>
          <w:szCs w:val="22"/>
          <w:lang w:val="en-US"/>
        </w:rPr>
        <w:t xml:space="preserve"> -0.</w:t>
      </w:r>
      <w:r>
        <w:rPr>
          <w:rFonts w:ascii="Arial" w:hAnsi="Arial" w:cs="Arial"/>
          <w:sz w:val="22"/>
          <w:szCs w:val="22"/>
          <w:lang w:val="en-US"/>
        </w:rPr>
        <w:t>492</w:t>
      </w:r>
      <w:r w:rsidRPr="0080455E">
        <w:rPr>
          <w:rFonts w:ascii="Arial" w:hAnsi="Arial" w:cs="Arial"/>
          <w:sz w:val="22"/>
          <w:szCs w:val="22"/>
          <w:lang w:val="en-US"/>
        </w:rPr>
        <w:t xml:space="preserve"> for gestation</w:t>
      </w:r>
      <w:r>
        <w:rPr>
          <w:rFonts w:ascii="Arial" w:hAnsi="Arial" w:cs="Arial"/>
          <w:sz w:val="22"/>
          <w:szCs w:val="22"/>
          <w:lang w:val="en-US"/>
        </w:rPr>
        <w:t xml:space="preserve"> and 0.636 for lactation</w:t>
      </w:r>
      <w:r w:rsidRPr="0080455E">
        <w:rPr>
          <w:rFonts w:ascii="Arial" w:hAnsi="Arial" w:cs="Arial"/>
          <w:sz w:val="22"/>
          <w:szCs w:val="22"/>
          <w:lang w:val="en-US"/>
        </w:rPr>
        <w:t>.</w:t>
      </w:r>
    </w:p>
    <w:p w:rsidR="001A71CF" w:rsidRDefault="001A71CF" w:rsidP="001A71CF">
      <w:pPr>
        <w:autoSpaceDE w:val="0"/>
        <w:autoSpaceDN w:val="0"/>
        <w:adjustRightInd w:val="0"/>
        <w:jc w:val="both"/>
        <w:rPr>
          <w:rFonts w:ascii="Arial" w:hAnsi="Arial" w:cs="Arial"/>
          <w:sz w:val="22"/>
          <w:szCs w:val="22"/>
          <w:lang w:val="en-US"/>
        </w:rPr>
      </w:pPr>
      <w:r w:rsidRPr="001A71CF">
        <w:rPr>
          <w:rFonts w:ascii="Arial" w:hAnsi="Arial" w:cs="Arial"/>
          <w:sz w:val="22"/>
          <w:szCs w:val="22"/>
          <w:vertAlign w:val="superscript"/>
          <w:lang w:val="en-US"/>
        </w:rPr>
        <w:t>3</w:t>
      </w:r>
      <w:r>
        <w:rPr>
          <w:rFonts w:ascii="Arial" w:hAnsi="Arial" w:cs="Arial"/>
          <w:sz w:val="22"/>
          <w:szCs w:val="22"/>
          <w:lang w:val="en-US"/>
        </w:rPr>
        <w:t xml:space="preserve"> </w:t>
      </w:r>
      <w:r w:rsidRPr="00A61DDB">
        <w:rPr>
          <w:rFonts w:ascii="Arial" w:hAnsi="Arial" w:cs="Arial"/>
          <w:sz w:val="22"/>
          <w:szCs w:val="22"/>
          <w:lang w:val="en-US"/>
        </w:rPr>
        <w:t xml:space="preserve">physiological status effect on the intercept: </w:t>
      </w:r>
      <w:r w:rsidRPr="00A61DDB">
        <w:rPr>
          <w:rFonts w:ascii="Arial" w:hAnsi="Arial" w:cs="Arial"/>
          <w:sz w:val="22"/>
          <w:szCs w:val="22"/>
          <w:lang w:val="en-US"/>
        </w:rPr>
        <w:sym w:font="Symbol" w:char="F044"/>
      </w:r>
      <w:r w:rsidRPr="00A61DDB">
        <w:rPr>
          <w:rFonts w:ascii="Arial" w:hAnsi="Arial" w:cs="Arial"/>
          <w:sz w:val="22"/>
          <w:szCs w:val="22"/>
          <w:lang w:val="en-US"/>
        </w:rPr>
        <w:t>=0.</w:t>
      </w:r>
      <w:r>
        <w:rPr>
          <w:rFonts w:ascii="Arial" w:hAnsi="Arial" w:cs="Arial"/>
          <w:sz w:val="22"/>
          <w:szCs w:val="22"/>
          <w:lang w:val="en-US"/>
        </w:rPr>
        <w:t>394</w:t>
      </w:r>
      <w:r w:rsidRPr="00A61DDB">
        <w:rPr>
          <w:rFonts w:ascii="Arial" w:hAnsi="Arial" w:cs="Arial"/>
          <w:sz w:val="22"/>
          <w:szCs w:val="22"/>
          <w:lang w:val="en-US"/>
        </w:rPr>
        <w:t xml:space="preserve"> for growing animals</w:t>
      </w:r>
    </w:p>
    <w:p w:rsidR="00757F77" w:rsidRDefault="00757F77" w:rsidP="001A71CF">
      <w:pPr>
        <w:autoSpaceDE w:val="0"/>
        <w:autoSpaceDN w:val="0"/>
        <w:adjustRightInd w:val="0"/>
        <w:jc w:val="both"/>
        <w:rPr>
          <w:rFonts w:ascii="Arial" w:hAnsi="Arial" w:cs="Arial"/>
          <w:sz w:val="22"/>
          <w:szCs w:val="22"/>
          <w:lang w:val="en-US"/>
        </w:rPr>
      </w:pPr>
      <w:r w:rsidRPr="00757F77">
        <w:rPr>
          <w:rFonts w:ascii="Arial" w:hAnsi="Arial" w:cs="Arial"/>
          <w:sz w:val="22"/>
          <w:szCs w:val="22"/>
          <w:vertAlign w:val="superscript"/>
          <w:lang w:val="en-US"/>
        </w:rPr>
        <w:t>4</w:t>
      </w:r>
      <w:r>
        <w:rPr>
          <w:rFonts w:ascii="Arial" w:hAnsi="Arial" w:cs="Arial"/>
          <w:sz w:val="22"/>
          <w:szCs w:val="22"/>
          <w:lang w:val="en-US"/>
        </w:rPr>
        <w:t xml:space="preserve"> </w:t>
      </w:r>
      <w:r w:rsidRPr="00A61DDB">
        <w:rPr>
          <w:rFonts w:ascii="Arial" w:hAnsi="Arial" w:cs="Arial"/>
          <w:sz w:val="22"/>
          <w:szCs w:val="22"/>
          <w:lang w:val="en-US"/>
        </w:rPr>
        <w:t xml:space="preserve">physiological status effect on the intercept: </w:t>
      </w:r>
      <w:r w:rsidRPr="00A61DDB">
        <w:rPr>
          <w:rFonts w:ascii="Arial" w:hAnsi="Arial" w:cs="Arial"/>
          <w:sz w:val="22"/>
          <w:szCs w:val="22"/>
          <w:lang w:val="en-US"/>
        </w:rPr>
        <w:sym w:font="Symbol" w:char="F044"/>
      </w:r>
      <w:r w:rsidRPr="00A61DDB">
        <w:rPr>
          <w:rFonts w:ascii="Arial" w:hAnsi="Arial" w:cs="Arial"/>
          <w:sz w:val="22"/>
          <w:szCs w:val="22"/>
          <w:lang w:val="en-US"/>
        </w:rPr>
        <w:t>=0</w:t>
      </w:r>
      <w:r>
        <w:rPr>
          <w:rFonts w:ascii="Arial" w:hAnsi="Arial" w:cs="Arial"/>
          <w:sz w:val="22"/>
          <w:szCs w:val="22"/>
          <w:lang w:val="en-US"/>
        </w:rPr>
        <w:t>.411</w:t>
      </w:r>
      <w:r w:rsidRPr="00A61DDB">
        <w:rPr>
          <w:rFonts w:ascii="Arial" w:hAnsi="Arial" w:cs="Arial"/>
          <w:sz w:val="22"/>
          <w:szCs w:val="22"/>
          <w:lang w:val="en-US"/>
        </w:rPr>
        <w:t xml:space="preserve"> for g</w:t>
      </w:r>
      <w:r>
        <w:rPr>
          <w:rFonts w:ascii="Arial" w:hAnsi="Arial" w:cs="Arial"/>
          <w:sz w:val="22"/>
          <w:szCs w:val="22"/>
          <w:lang w:val="en-US"/>
        </w:rPr>
        <w:t>estation, and 0.390 for g</w:t>
      </w:r>
      <w:r w:rsidRPr="00A61DDB">
        <w:rPr>
          <w:rFonts w:ascii="Arial" w:hAnsi="Arial" w:cs="Arial"/>
          <w:sz w:val="22"/>
          <w:szCs w:val="22"/>
          <w:lang w:val="en-US"/>
        </w:rPr>
        <w:t>rowing animals</w:t>
      </w:r>
    </w:p>
    <w:p w:rsidR="001A71CF" w:rsidRPr="00A61DDB" w:rsidRDefault="00757F77" w:rsidP="001A71CF">
      <w:pPr>
        <w:autoSpaceDE w:val="0"/>
        <w:autoSpaceDN w:val="0"/>
        <w:adjustRightInd w:val="0"/>
        <w:jc w:val="both"/>
        <w:rPr>
          <w:rFonts w:ascii="Arial" w:hAnsi="Arial" w:cs="Arial"/>
          <w:sz w:val="22"/>
          <w:szCs w:val="22"/>
          <w:lang w:val="en-US"/>
        </w:rPr>
      </w:pPr>
      <w:r w:rsidRPr="00757F77">
        <w:rPr>
          <w:rFonts w:ascii="Arial" w:hAnsi="Arial" w:cs="Arial"/>
          <w:sz w:val="22"/>
          <w:szCs w:val="22"/>
          <w:vertAlign w:val="superscript"/>
          <w:lang w:val="en-US"/>
        </w:rPr>
        <w:t>5</w:t>
      </w:r>
      <w:r>
        <w:rPr>
          <w:rFonts w:ascii="Arial" w:hAnsi="Arial" w:cs="Arial"/>
          <w:sz w:val="22"/>
          <w:szCs w:val="22"/>
          <w:lang w:val="en-US"/>
        </w:rPr>
        <w:t xml:space="preserve"> </w:t>
      </w:r>
      <w:r w:rsidR="001A71CF" w:rsidRPr="00A61DDB">
        <w:rPr>
          <w:rFonts w:ascii="Arial" w:hAnsi="Arial" w:cs="Arial"/>
          <w:sz w:val="22"/>
          <w:szCs w:val="22"/>
          <w:lang w:val="en-US"/>
        </w:rPr>
        <w:t xml:space="preserve">physiological status effect on the intercept: </w:t>
      </w:r>
      <w:r w:rsidR="001A71CF" w:rsidRPr="00A61DDB">
        <w:rPr>
          <w:rFonts w:ascii="Arial" w:hAnsi="Arial" w:cs="Arial"/>
          <w:sz w:val="22"/>
          <w:szCs w:val="22"/>
          <w:lang w:val="en-US"/>
        </w:rPr>
        <w:sym w:font="Symbol" w:char="F044"/>
      </w:r>
      <w:r w:rsidR="001A71CF" w:rsidRPr="00A61DDB">
        <w:rPr>
          <w:rFonts w:ascii="Arial" w:hAnsi="Arial" w:cs="Arial"/>
          <w:sz w:val="22"/>
          <w:szCs w:val="22"/>
          <w:lang w:val="en-US"/>
        </w:rPr>
        <w:t>=-0.035 for growing animals</w:t>
      </w:r>
    </w:p>
    <w:p w:rsidR="001A71CF" w:rsidRDefault="00757F77" w:rsidP="001A71CF">
      <w:pPr>
        <w:autoSpaceDE w:val="0"/>
        <w:autoSpaceDN w:val="0"/>
        <w:adjustRightInd w:val="0"/>
        <w:jc w:val="both"/>
        <w:rPr>
          <w:rFonts w:ascii="Arial" w:hAnsi="Arial" w:cs="Arial"/>
          <w:sz w:val="22"/>
          <w:szCs w:val="22"/>
          <w:lang w:val="en-US"/>
        </w:rPr>
      </w:pPr>
      <w:r w:rsidRPr="00757F77">
        <w:rPr>
          <w:rFonts w:ascii="Arial" w:hAnsi="Arial" w:cs="Arial"/>
          <w:sz w:val="22"/>
          <w:szCs w:val="22"/>
          <w:vertAlign w:val="superscript"/>
          <w:lang w:val="en-US"/>
        </w:rPr>
        <w:t>6</w:t>
      </w:r>
      <w:r w:rsidR="001A71CF" w:rsidRPr="00A61DDB">
        <w:rPr>
          <w:rFonts w:ascii="Arial" w:hAnsi="Arial" w:cs="Arial"/>
          <w:sz w:val="22"/>
          <w:szCs w:val="22"/>
          <w:lang w:val="en-US"/>
        </w:rPr>
        <w:t xml:space="preserve"> physiological status effect on the slope: </w:t>
      </w:r>
      <w:r w:rsidR="001A71CF" w:rsidRPr="00A61DDB">
        <w:rPr>
          <w:rFonts w:ascii="Arial" w:hAnsi="Arial" w:cs="Arial"/>
          <w:sz w:val="22"/>
          <w:szCs w:val="22"/>
          <w:lang w:val="en-US"/>
        </w:rPr>
        <w:sym w:font="Symbol" w:char="F044"/>
      </w:r>
      <w:r w:rsidR="001A71CF" w:rsidRPr="00A61DDB">
        <w:rPr>
          <w:rFonts w:ascii="Arial" w:hAnsi="Arial" w:cs="Arial"/>
          <w:sz w:val="22"/>
          <w:szCs w:val="22"/>
          <w:lang w:val="en-US"/>
        </w:rPr>
        <w:t>=0.264</w:t>
      </w:r>
      <w:r>
        <w:rPr>
          <w:rFonts w:ascii="Arial" w:hAnsi="Arial" w:cs="Arial"/>
          <w:sz w:val="22"/>
          <w:szCs w:val="22"/>
          <w:lang w:val="en-US"/>
        </w:rPr>
        <w:t xml:space="preserve"> for growing animals</w:t>
      </w:r>
    </w:p>
    <w:p w:rsidR="00757F77" w:rsidRPr="00A61DDB" w:rsidRDefault="00757F77" w:rsidP="001A71CF">
      <w:pPr>
        <w:autoSpaceDE w:val="0"/>
        <w:autoSpaceDN w:val="0"/>
        <w:adjustRightInd w:val="0"/>
        <w:jc w:val="both"/>
        <w:rPr>
          <w:rFonts w:ascii="Arial" w:hAnsi="Arial" w:cs="Arial"/>
          <w:sz w:val="22"/>
          <w:szCs w:val="22"/>
          <w:lang w:val="en-US"/>
        </w:rPr>
      </w:pPr>
      <w:r w:rsidRPr="00757F77">
        <w:rPr>
          <w:rFonts w:ascii="Arial" w:hAnsi="Arial" w:cs="Arial"/>
          <w:sz w:val="22"/>
          <w:szCs w:val="22"/>
          <w:vertAlign w:val="superscript"/>
          <w:lang w:val="en-US"/>
        </w:rPr>
        <w:t>7</w:t>
      </w:r>
      <w:r>
        <w:rPr>
          <w:rFonts w:ascii="Arial" w:hAnsi="Arial" w:cs="Arial"/>
          <w:sz w:val="22"/>
          <w:szCs w:val="22"/>
          <w:lang w:val="en-US"/>
        </w:rPr>
        <w:t xml:space="preserve"> </w:t>
      </w:r>
      <w:r w:rsidRPr="00A61DDB">
        <w:rPr>
          <w:rFonts w:ascii="Arial" w:hAnsi="Arial" w:cs="Arial"/>
          <w:sz w:val="22"/>
          <w:szCs w:val="22"/>
          <w:lang w:val="en-US"/>
        </w:rPr>
        <w:t xml:space="preserve">physiological status effect on the slope: </w:t>
      </w:r>
      <w:r w:rsidRPr="00A61DDB">
        <w:rPr>
          <w:rFonts w:ascii="Arial" w:hAnsi="Arial" w:cs="Arial"/>
          <w:sz w:val="22"/>
          <w:szCs w:val="22"/>
          <w:lang w:val="en-US"/>
        </w:rPr>
        <w:sym w:font="Symbol" w:char="F044"/>
      </w:r>
      <w:r w:rsidRPr="00A61DDB">
        <w:rPr>
          <w:rFonts w:ascii="Arial" w:hAnsi="Arial" w:cs="Arial"/>
          <w:sz w:val="22"/>
          <w:szCs w:val="22"/>
          <w:lang w:val="en-US"/>
        </w:rPr>
        <w:t>=0.26</w:t>
      </w:r>
      <w:r>
        <w:rPr>
          <w:rFonts w:ascii="Arial" w:hAnsi="Arial" w:cs="Arial"/>
          <w:sz w:val="22"/>
          <w:szCs w:val="22"/>
          <w:lang w:val="en-US"/>
        </w:rPr>
        <w:t>6 for growing animals</w:t>
      </w:r>
    </w:p>
    <w:p w:rsidR="00757F77" w:rsidRPr="00A61DDB" w:rsidRDefault="00757F77" w:rsidP="00757F77">
      <w:pPr>
        <w:autoSpaceDE w:val="0"/>
        <w:autoSpaceDN w:val="0"/>
        <w:adjustRightInd w:val="0"/>
        <w:jc w:val="both"/>
        <w:rPr>
          <w:rFonts w:ascii="Arial" w:hAnsi="Arial" w:cs="Arial"/>
          <w:sz w:val="22"/>
          <w:szCs w:val="22"/>
          <w:lang w:val="en-US"/>
        </w:rPr>
      </w:pPr>
      <w:r w:rsidRPr="00757F77">
        <w:rPr>
          <w:rFonts w:ascii="Arial" w:hAnsi="Arial" w:cs="Arial"/>
          <w:sz w:val="22"/>
          <w:szCs w:val="22"/>
          <w:vertAlign w:val="superscript"/>
          <w:lang w:val="en-US"/>
        </w:rPr>
        <w:t>8</w:t>
      </w:r>
      <w:r>
        <w:rPr>
          <w:rFonts w:ascii="Arial" w:hAnsi="Arial" w:cs="Arial"/>
          <w:sz w:val="22"/>
          <w:szCs w:val="22"/>
          <w:lang w:val="en-US"/>
        </w:rPr>
        <w:t xml:space="preserve"> </w:t>
      </w:r>
      <w:r w:rsidRPr="00A61DDB">
        <w:rPr>
          <w:rFonts w:ascii="Arial" w:hAnsi="Arial" w:cs="Arial"/>
          <w:sz w:val="22"/>
          <w:szCs w:val="22"/>
          <w:lang w:val="en-US"/>
        </w:rPr>
        <w:t xml:space="preserve">physiological status effect on the EB² slope: </w:t>
      </w:r>
      <w:r w:rsidRPr="00A61DDB">
        <w:rPr>
          <w:rFonts w:ascii="Arial" w:hAnsi="Arial" w:cs="Arial"/>
          <w:sz w:val="22"/>
          <w:szCs w:val="22"/>
          <w:lang w:val="en-US"/>
        </w:rPr>
        <w:sym w:font="Symbol" w:char="F044"/>
      </w:r>
      <w:r w:rsidRPr="00A61DDB">
        <w:rPr>
          <w:rFonts w:ascii="Arial" w:hAnsi="Arial" w:cs="Arial"/>
          <w:sz w:val="22"/>
          <w:szCs w:val="22"/>
          <w:lang w:val="en-US"/>
        </w:rPr>
        <w:t>=-0.00071 for non-productive adults, and 0.00098</w:t>
      </w:r>
      <w:r w:rsidR="00F24562">
        <w:rPr>
          <w:rFonts w:ascii="Arial" w:hAnsi="Arial" w:cs="Arial"/>
          <w:sz w:val="22"/>
          <w:szCs w:val="22"/>
          <w:lang w:val="en-US"/>
        </w:rPr>
        <w:t xml:space="preserve"> for lactation</w:t>
      </w:r>
    </w:p>
    <w:p w:rsidR="00757F77" w:rsidRDefault="00757F77" w:rsidP="00757F77">
      <w:pPr>
        <w:autoSpaceDE w:val="0"/>
        <w:autoSpaceDN w:val="0"/>
        <w:adjustRightInd w:val="0"/>
        <w:jc w:val="both"/>
        <w:rPr>
          <w:rFonts w:ascii="Arial" w:hAnsi="Arial" w:cs="Arial"/>
          <w:sz w:val="22"/>
          <w:szCs w:val="22"/>
          <w:lang w:val="en-US"/>
        </w:rPr>
      </w:pPr>
      <w:r w:rsidRPr="00757F77">
        <w:rPr>
          <w:rFonts w:ascii="Arial" w:hAnsi="Arial" w:cs="Arial"/>
          <w:sz w:val="22"/>
          <w:szCs w:val="22"/>
          <w:vertAlign w:val="superscript"/>
          <w:lang w:val="en-US"/>
        </w:rPr>
        <w:t>9</w:t>
      </w:r>
      <w:r>
        <w:rPr>
          <w:rFonts w:ascii="Arial" w:hAnsi="Arial" w:cs="Arial"/>
          <w:sz w:val="22"/>
          <w:szCs w:val="22"/>
          <w:lang w:val="en-US"/>
        </w:rPr>
        <w:t xml:space="preserve"> </w:t>
      </w:r>
      <w:r w:rsidRPr="00A61DDB">
        <w:rPr>
          <w:rFonts w:ascii="Arial" w:hAnsi="Arial" w:cs="Arial"/>
          <w:sz w:val="22"/>
          <w:szCs w:val="22"/>
          <w:lang w:val="en-US"/>
        </w:rPr>
        <w:t xml:space="preserve">physiological status effect on the EB² slope: </w:t>
      </w:r>
      <w:r w:rsidRPr="00A61DDB">
        <w:rPr>
          <w:rFonts w:ascii="Arial" w:hAnsi="Arial" w:cs="Arial"/>
          <w:sz w:val="22"/>
          <w:szCs w:val="22"/>
          <w:lang w:val="en-US"/>
        </w:rPr>
        <w:sym w:font="Symbol" w:char="F044"/>
      </w:r>
      <w:r w:rsidRPr="00A61DDB">
        <w:rPr>
          <w:rFonts w:ascii="Arial" w:hAnsi="Arial" w:cs="Arial"/>
          <w:sz w:val="22"/>
          <w:szCs w:val="22"/>
          <w:lang w:val="en-US"/>
        </w:rPr>
        <w:t>=-0.00041 for non-productive adults, -0.00065 for growing animals, and 0.00106 for lactation. Gestation was not determined.</w:t>
      </w:r>
    </w:p>
    <w:p w:rsidR="00F24562" w:rsidRPr="00A61DDB" w:rsidRDefault="00F24562" w:rsidP="00757F77">
      <w:pPr>
        <w:autoSpaceDE w:val="0"/>
        <w:autoSpaceDN w:val="0"/>
        <w:adjustRightInd w:val="0"/>
        <w:jc w:val="both"/>
        <w:rPr>
          <w:rFonts w:ascii="Arial" w:hAnsi="Arial" w:cs="Arial"/>
          <w:sz w:val="22"/>
          <w:szCs w:val="22"/>
          <w:lang w:val="en-US"/>
        </w:rPr>
      </w:pPr>
      <w:r w:rsidRPr="00F24562">
        <w:rPr>
          <w:rFonts w:ascii="Arial" w:hAnsi="Arial" w:cs="Arial"/>
          <w:sz w:val="22"/>
          <w:szCs w:val="22"/>
          <w:vertAlign w:val="superscript"/>
          <w:lang w:val="en-US"/>
        </w:rPr>
        <w:t>10</w:t>
      </w:r>
      <w:r>
        <w:rPr>
          <w:rFonts w:ascii="Arial" w:hAnsi="Arial" w:cs="Arial"/>
          <w:sz w:val="22"/>
          <w:szCs w:val="22"/>
          <w:lang w:val="en-US"/>
        </w:rPr>
        <w:t xml:space="preserve"> </w:t>
      </w:r>
      <w:r w:rsidRPr="00A61DDB">
        <w:rPr>
          <w:rFonts w:ascii="Arial" w:hAnsi="Arial" w:cs="Arial"/>
          <w:sz w:val="22"/>
          <w:szCs w:val="22"/>
          <w:lang w:val="en-US"/>
        </w:rPr>
        <w:t xml:space="preserve">physiological status effect on the EB² slope: </w:t>
      </w:r>
      <w:r w:rsidRPr="00A61DDB">
        <w:rPr>
          <w:rFonts w:ascii="Arial" w:hAnsi="Arial" w:cs="Arial"/>
          <w:sz w:val="22"/>
          <w:szCs w:val="22"/>
          <w:lang w:val="en-US"/>
        </w:rPr>
        <w:sym w:font="Symbol" w:char="F044"/>
      </w:r>
      <w:r w:rsidRPr="00A61DDB">
        <w:rPr>
          <w:rFonts w:ascii="Arial" w:hAnsi="Arial" w:cs="Arial"/>
          <w:sz w:val="22"/>
          <w:szCs w:val="22"/>
          <w:lang w:val="en-US"/>
        </w:rPr>
        <w:t>=-0.00</w:t>
      </w:r>
      <w:r w:rsidR="006A14AF">
        <w:rPr>
          <w:rFonts w:ascii="Arial" w:hAnsi="Arial" w:cs="Arial"/>
          <w:sz w:val="22"/>
          <w:szCs w:val="22"/>
          <w:lang w:val="en-US"/>
        </w:rPr>
        <w:t>1</w:t>
      </w:r>
      <w:r w:rsidRPr="00A61DDB">
        <w:rPr>
          <w:rFonts w:ascii="Arial" w:hAnsi="Arial" w:cs="Arial"/>
          <w:sz w:val="22"/>
          <w:szCs w:val="22"/>
          <w:lang w:val="en-US"/>
        </w:rPr>
        <w:t>4</w:t>
      </w:r>
      <w:r>
        <w:rPr>
          <w:rFonts w:ascii="Arial" w:hAnsi="Arial" w:cs="Arial"/>
          <w:sz w:val="22"/>
          <w:szCs w:val="22"/>
          <w:lang w:val="en-US"/>
        </w:rPr>
        <w:t>1</w:t>
      </w:r>
      <w:r w:rsidRPr="00A61DDB">
        <w:rPr>
          <w:rFonts w:ascii="Arial" w:hAnsi="Arial" w:cs="Arial"/>
          <w:sz w:val="22"/>
          <w:szCs w:val="22"/>
          <w:lang w:val="en-US"/>
        </w:rPr>
        <w:t xml:space="preserve"> for non-productive adults, -0.00</w:t>
      </w:r>
      <w:r w:rsidR="006A14AF">
        <w:rPr>
          <w:rFonts w:ascii="Arial" w:hAnsi="Arial" w:cs="Arial"/>
          <w:sz w:val="22"/>
          <w:szCs w:val="22"/>
          <w:lang w:val="en-US"/>
        </w:rPr>
        <w:t>166</w:t>
      </w:r>
      <w:r w:rsidRPr="00A61DDB">
        <w:rPr>
          <w:rFonts w:ascii="Arial" w:hAnsi="Arial" w:cs="Arial"/>
          <w:sz w:val="22"/>
          <w:szCs w:val="22"/>
          <w:lang w:val="en-US"/>
        </w:rPr>
        <w:t xml:space="preserve"> for growing animals, and 0.00</w:t>
      </w:r>
      <w:r w:rsidR="006A14AF">
        <w:rPr>
          <w:rFonts w:ascii="Arial" w:hAnsi="Arial" w:cs="Arial"/>
          <w:sz w:val="22"/>
          <w:szCs w:val="22"/>
          <w:lang w:val="en-US"/>
        </w:rPr>
        <w:t>307</w:t>
      </w:r>
      <w:r w:rsidRPr="00A61DDB">
        <w:rPr>
          <w:rFonts w:ascii="Arial" w:hAnsi="Arial" w:cs="Arial"/>
          <w:sz w:val="22"/>
          <w:szCs w:val="22"/>
          <w:lang w:val="en-US"/>
        </w:rPr>
        <w:t xml:space="preserve"> for lactation. </w:t>
      </w:r>
    </w:p>
    <w:p w:rsidR="00757F77" w:rsidRPr="007542D3" w:rsidRDefault="00757F77" w:rsidP="00757F77">
      <w:pPr>
        <w:autoSpaceDE w:val="0"/>
        <w:autoSpaceDN w:val="0"/>
        <w:adjustRightInd w:val="0"/>
        <w:rPr>
          <w:rFonts w:ascii="SAS Monospace" w:hAnsi="SAS Monospace" w:cs="SAS Monospace"/>
          <w:sz w:val="16"/>
          <w:szCs w:val="16"/>
          <w:lang w:val="en-US"/>
        </w:rPr>
      </w:pPr>
      <w:r w:rsidRPr="00757F77">
        <w:rPr>
          <w:rFonts w:ascii="Arial" w:hAnsi="Arial" w:cs="Arial"/>
          <w:sz w:val="22"/>
          <w:szCs w:val="22"/>
          <w:vertAlign w:val="superscript"/>
          <w:lang w:val="en-US"/>
        </w:rPr>
        <w:t>11</w:t>
      </w:r>
      <w:r>
        <w:rPr>
          <w:rFonts w:ascii="Arial" w:hAnsi="Arial" w:cs="Arial"/>
          <w:sz w:val="22"/>
          <w:szCs w:val="22"/>
          <w:lang w:val="en-US"/>
        </w:rPr>
        <w:t xml:space="preserve"> </w:t>
      </w:r>
      <w:r w:rsidRPr="00A61DDB">
        <w:rPr>
          <w:rFonts w:ascii="Arial" w:hAnsi="Arial" w:cs="Arial"/>
          <w:sz w:val="22"/>
          <w:szCs w:val="22"/>
          <w:lang w:val="en-US"/>
        </w:rPr>
        <w:t xml:space="preserve">physiological status effect on the EB² slope: </w:t>
      </w:r>
      <w:r w:rsidRPr="00A61DDB">
        <w:rPr>
          <w:rFonts w:ascii="Arial" w:hAnsi="Arial" w:cs="Arial"/>
          <w:sz w:val="22"/>
          <w:szCs w:val="22"/>
          <w:lang w:val="en-US"/>
        </w:rPr>
        <w:sym w:font="Symbol" w:char="F044"/>
      </w:r>
      <w:r w:rsidRPr="00A61DDB">
        <w:rPr>
          <w:rFonts w:ascii="Arial" w:hAnsi="Arial" w:cs="Arial"/>
          <w:sz w:val="22"/>
          <w:szCs w:val="22"/>
          <w:lang w:val="en-US"/>
        </w:rPr>
        <w:t>=-0.00</w:t>
      </w:r>
      <w:r>
        <w:rPr>
          <w:rFonts w:ascii="Arial" w:hAnsi="Arial" w:cs="Arial"/>
          <w:sz w:val="22"/>
          <w:szCs w:val="22"/>
          <w:lang w:val="en-US"/>
        </w:rPr>
        <w:t>17</w:t>
      </w:r>
      <w:r w:rsidRPr="00A61DDB">
        <w:rPr>
          <w:rFonts w:ascii="Arial" w:hAnsi="Arial" w:cs="Arial"/>
          <w:sz w:val="22"/>
          <w:szCs w:val="22"/>
          <w:lang w:val="en-US"/>
        </w:rPr>
        <w:t xml:space="preserve"> for non-productive adults, -0.00</w:t>
      </w:r>
      <w:r>
        <w:rPr>
          <w:rFonts w:ascii="Arial" w:hAnsi="Arial" w:cs="Arial"/>
          <w:sz w:val="22"/>
          <w:szCs w:val="22"/>
          <w:lang w:val="en-US"/>
        </w:rPr>
        <w:t>149 for growing animals</w:t>
      </w:r>
    </w:p>
    <w:p w:rsidR="00F24562" w:rsidRDefault="00F24562" w:rsidP="00F24562">
      <w:pPr>
        <w:autoSpaceDE w:val="0"/>
        <w:autoSpaceDN w:val="0"/>
        <w:adjustRightInd w:val="0"/>
        <w:rPr>
          <w:rFonts w:ascii="Arial" w:hAnsi="Arial" w:cs="Arial"/>
          <w:lang w:val="en-US"/>
        </w:rPr>
        <w:sectPr w:rsidR="00F24562" w:rsidSect="0081490C">
          <w:pgSz w:w="16838" w:h="11906" w:orient="landscape"/>
          <w:pgMar w:top="1417" w:right="1417" w:bottom="1417" w:left="1417" w:header="708" w:footer="708" w:gutter="0"/>
          <w:cols w:space="708"/>
          <w:docGrid w:linePitch="360"/>
        </w:sectPr>
      </w:pPr>
    </w:p>
    <w:p w:rsidR="00D3590F" w:rsidRPr="00B258F4" w:rsidRDefault="00D3590F" w:rsidP="00D3590F">
      <w:pPr>
        <w:autoSpaceDE w:val="0"/>
        <w:autoSpaceDN w:val="0"/>
        <w:adjustRightInd w:val="0"/>
        <w:spacing w:line="480" w:lineRule="auto"/>
        <w:jc w:val="both"/>
        <w:rPr>
          <w:rFonts w:ascii="Arial" w:hAnsi="Arial" w:cs="Arial"/>
          <w:lang w:val="en-US"/>
        </w:rPr>
      </w:pPr>
      <w:r w:rsidRPr="00B258F4">
        <w:rPr>
          <w:rFonts w:ascii="Arial" w:hAnsi="Arial" w:cs="Arial"/>
          <w:lang w:val="en-US"/>
        </w:rPr>
        <w:lastRenderedPageBreak/>
        <w:t>Supplementary Figure S</w:t>
      </w:r>
      <w:r w:rsidR="00B61A5F">
        <w:rPr>
          <w:rFonts w:ascii="Arial" w:hAnsi="Arial" w:cs="Arial"/>
          <w:lang w:val="en-US"/>
        </w:rPr>
        <w:t>1</w:t>
      </w:r>
      <w:r w:rsidRPr="00B258F4">
        <w:rPr>
          <w:rFonts w:ascii="Arial" w:hAnsi="Arial" w:cs="Arial"/>
          <w:lang w:val="en-US"/>
        </w:rPr>
        <w:t>. Adjusted models of the</w:t>
      </w:r>
      <w:r w:rsidRPr="00B258F4">
        <w:rPr>
          <w:rFonts w:ascii="Arial" w:eastAsia="ComputerModern-Regular" w:hAnsi="Arial" w:cs="Arial"/>
          <w:lang w:val="en-US"/>
        </w:rPr>
        <w:t xml:space="preserve"> </w:t>
      </w:r>
      <w:r w:rsidRPr="00B258F4">
        <w:rPr>
          <w:rFonts w:ascii="Arial" w:hAnsi="Arial" w:cs="Arial"/>
          <w:lang w:val="en-US"/>
        </w:rPr>
        <w:t>prediction of the net hepatic release of β-hydroxybutyrate from rumen-fermentable OM intake and energy balance, according to the physiological status of the animal. The solid lines represent the predicted values by GLM model, the dotted lines represent predicted values by MIXED model</w:t>
      </w:r>
    </w:p>
    <w:p w:rsidR="00D3590F" w:rsidRPr="00B258F4" w:rsidRDefault="00D3590F" w:rsidP="00D3590F">
      <w:pPr>
        <w:autoSpaceDE w:val="0"/>
        <w:autoSpaceDN w:val="0"/>
        <w:adjustRightInd w:val="0"/>
        <w:spacing w:line="480" w:lineRule="auto"/>
        <w:jc w:val="both"/>
        <w:rPr>
          <w:rFonts w:ascii="Arial" w:hAnsi="Arial" w:cs="Arial"/>
          <w:lang w:val="en-US"/>
        </w:rPr>
      </w:pPr>
    </w:p>
    <w:p w:rsidR="00D3590F" w:rsidRDefault="00D3590F" w:rsidP="00D3590F">
      <w:pPr>
        <w:autoSpaceDE w:val="0"/>
        <w:autoSpaceDN w:val="0"/>
        <w:adjustRightInd w:val="0"/>
        <w:spacing w:line="480" w:lineRule="auto"/>
        <w:jc w:val="both"/>
        <w:rPr>
          <w:rFonts w:ascii="Arial" w:hAnsi="Arial" w:cs="Arial"/>
          <w:lang w:val="en-US"/>
        </w:rPr>
      </w:pPr>
      <w:r w:rsidRPr="00B258F4">
        <w:rPr>
          <w:rFonts w:ascii="Arial" w:hAnsi="Arial" w:cs="Arial"/>
          <w:lang w:val="en-US"/>
        </w:rPr>
        <w:t>Supplementary Figure S</w:t>
      </w:r>
      <w:r w:rsidR="00B61A5F">
        <w:rPr>
          <w:rFonts w:ascii="Arial" w:hAnsi="Arial" w:cs="Arial"/>
          <w:lang w:val="en-US"/>
        </w:rPr>
        <w:t>2</w:t>
      </w:r>
      <w:r w:rsidRPr="00B258F4">
        <w:rPr>
          <w:rFonts w:ascii="Arial" w:hAnsi="Arial" w:cs="Arial"/>
          <w:lang w:val="en-US"/>
        </w:rPr>
        <w:t>. Observed range of variation of net hepatic release of β-hydroxybutyrate</w:t>
      </w:r>
    </w:p>
    <w:p w:rsidR="00B258F4" w:rsidRPr="00B258F4" w:rsidRDefault="00B258F4" w:rsidP="00D3590F">
      <w:pPr>
        <w:autoSpaceDE w:val="0"/>
        <w:autoSpaceDN w:val="0"/>
        <w:adjustRightInd w:val="0"/>
        <w:spacing w:line="480" w:lineRule="auto"/>
        <w:jc w:val="both"/>
        <w:rPr>
          <w:rFonts w:ascii="Arial" w:hAnsi="Arial" w:cs="Arial"/>
          <w:lang w:val="en-US"/>
        </w:rPr>
      </w:pPr>
    </w:p>
    <w:p w:rsidR="00D3590F" w:rsidRPr="00B258F4" w:rsidRDefault="00D3590F" w:rsidP="00D3590F">
      <w:pPr>
        <w:autoSpaceDE w:val="0"/>
        <w:autoSpaceDN w:val="0"/>
        <w:adjustRightInd w:val="0"/>
        <w:spacing w:line="480" w:lineRule="auto"/>
        <w:jc w:val="both"/>
        <w:rPr>
          <w:rFonts w:ascii="Arial" w:hAnsi="Arial" w:cs="Arial"/>
          <w:lang w:val="en-US"/>
        </w:rPr>
      </w:pPr>
      <w:r w:rsidRPr="00B258F4">
        <w:rPr>
          <w:rFonts w:ascii="Arial" w:hAnsi="Arial" w:cs="Arial"/>
          <w:lang w:val="en-US"/>
        </w:rPr>
        <w:t>Supplementary Figure S</w:t>
      </w:r>
      <w:r w:rsidR="00B61A5F">
        <w:rPr>
          <w:rFonts w:ascii="Arial" w:hAnsi="Arial" w:cs="Arial"/>
          <w:lang w:val="en-US"/>
        </w:rPr>
        <w:t>3</w:t>
      </w:r>
      <w:r w:rsidRPr="00B258F4">
        <w:rPr>
          <w:rFonts w:ascii="Arial" w:hAnsi="Arial" w:cs="Arial"/>
          <w:lang w:val="en-US"/>
        </w:rPr>
        <w:t xml:space="preserve">. </w:t>
      </w:r>
      <w:r w:rsidR="00E24A6D">
        <w:rPr>
          <w:rFonts w:ascii="Arial" w:hAnsi="Arial" w:cs="Arial"/>
          <w:lang w:val="en-US"/>
        </w:rPr>
        <w:t>Relationship</w:t>
      </w:r>
      <w:r w:rsidR="00E24A6D" w:rsidRPr="00B258F4">
        <w:rPr>
          <w:rFonts w:ascii="Arial" w:hAnsi="Arial" w:cs="Arial"/>
          <w:lang w:val="en-US"/>
        </w:rPr>
        <w:t xml:space="preserve"> </w:t>
      </w:r>
      <w:r w:rsidRPr="00B258F4">
        <w:rPr>
          <w:rFonts w:ascii="Arial" w:hAnsi="Arial" w:cs="Arial"/>
          <w:lang w:val="en-US"/>
        </w:rPr>
        <w:t xml:space="preserve">between predicted </w:t>
      </w:r>
      <w:r w:rsidR="00E24A6D">
        <w:rPr>
          <w:rFonts w:ascii="Arial" w:hAnsi="Arial" w:cs="Arial"/>
          <w:lang w:val="en-US"/>
        </w:rPr>
        <w:t>(</w:t>
      </w:r>
      <w:r w:rsidRPr="00B258F4">
        <w:rPr>
          <w:rFonts w:ascii="Arial" w:hAnsi="Arial" w:cs="Arial"/>
          <w:lang w:val="en-US"/>
        </w:rPr>
        <w:t>from rumen-fermentable OM intake and energy balance</w:t>
      </w:r>
      <w:r w:rsidR="00E24A6D">
        <w:rPr>
          <w:rFonts w:ascii="Arial" w:hAnsi="Arial" w:cs="Arial"/>
          <w:lang w:val="en-US"/>
        </w:rPr>
        <w:t>)</w:t>
      </w:r>
      <w:r w:rsidRPr="00B258F4">
        <w:rPr>
          <w:rFonts w:ascii="Arial" w:hAnsi="Arial" w:cs="Arial"/>
          <w:lang w:val="en-US"/>
        </w:rPr>
        <w:t xml:space="preserve"> and observed values of net hepatic release of β-hydroxybutyrate </w:t>
      </w:r>
      <w:r w:rsidR="00E24A6D">
        <w:rPr>
          <w:rFonts w:ascii="Arial" w:hAnsi="Arial" w:cs="Arial"/>
          <w:lang w:val="en-US"/>
        </w:rPr>
        <w:t>depending on</w:t>
      </w:r>
      <w:r w:rsidRPr="00B258F4">
        <w:rPr>
          <w:rFonts w:ascii="Arial" w:hAnsi="Arial" w:cs="Arial"/>
          <w:lang w:val="en-US"/>
        </w:rPr>
        <w:t xml:space="preserve"> the model used for the prediction (GLM or MIXED)</w:t>
      </w:r>
    </w:p>
    <w:p w:rsidR="00D3590F" w:rsidRDefault="00D3590F">
      <w:pPr>
        <w:spacing w:after="200" w:line="276" w:lineRule="auto"/>
        <w:rPr>
          <w:rFonts w:ascii="Arial" w:hAnsi="Arial" w:cs="Arial"/>
          <w:sz w:val="22"/>
          <w:szCs w:val="22"/>
          <w:lang w:val="en-US"/>
        </w:rPr>
      </w:pPr>
      <w:r>
        <w:rPr>
          <w:rFonts w:ascii="Arial" w:hAnsi="Arial" w:cs="Arial"/>
          <w:sz w:val="22"/>
          <w:szCs w:val="22"/>
          <w:lang w:val="en-US"/>
        </w:rPr>
        <w:br w:type="page"/>
      </w:r>
    </w:p>
    <w:p w:rsidR="004342ED" w:rsidRDefault="00AF307A" w:rsidP="004342ED">
      <w:pPr>
        <w:keepNext/>
        <w:autoSpaceDE w:val="0"/>
        <w:autoSpaceDN w:val="0"/>
        <w:adjustRightInd w:val="0"/>
        <w:jc w:val="both"/>
      </w:pPr>
      <w:r>
        <w:rPr>
          <w:noProof/>
          <w:lang w:val="en-GB" w:eastAsia="en-GB"/>
        </w:rPr>
        <w:lastRenderedPageBreak/>
        <w:drawing>
          <wp:inline distT="0" distB="0" distL="0" distR="0">
            <wp:extent cx="5760720" cy="3077569"/>
            <wp:effectExtent l="0" t="0" r="0" b="889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D3590F" w:rsidRPr="00D3590F" w:rsidRDefault="00D3590F" w:rsidP="00D3590F">
      <w:pPr>
        <w:autoSpaceDE w:val="0"/>
        <w:autoSpaceDN w:val="0"/>
        <w:adjustRightInd w:val="0"/>
        <w:spacing w:line="480" w:lineRule="auto"/>
        <w:jc w:val="both"/>
        <w:rPr>
          <w:rFonts w:ascii="Arial" w:hAnsi="Arial" w:cs="Arial"/>
          <w:sz w:val="22"/>
          <w:szCs w:val="22"/>
          <w:lang w:val="en-US"/>
        </w:rPr>
      </w:pPr>
      <w:r>
        <w:rPr>
          <w:rFonts w:ascii="Arial" w:hAnsi="Arial" w:cs="Arial"/>
          <w:sz w:val="22"/>
          <w:szCs w:val="22"/>
          <w:lang w:val="en-US"/>
        </w:rPr>
        <w:t xml:space="preserve">Supplementary </w:t>
      </w:r>
      <w:r w:rsidR="004342ED" w:rsidRPr="00D3590F">
        <w:rPr>
          <w:rFonts w:ascii="Arial" w:hAnsi="Arial" w:cs="Arial"/>
          <w:sz w:val="22"/>
          <w:szCs w:val="22"/>
          <w:lang w:val="en-US"/>
        </w:rPr>
        <w:t xml:space="preserve">Figure </w:t>
      </w:r>
      <w:r>
        <w:rPr>
          <w:rFonts w:ascii="Arial" w:hAnsi="Arial" w:cs="Arial"/>
          <w:sz w:val="22"/>
          <w:szCs w:val="22"/>
          <w:lang w:val="en-US"/>
        </w:rPr>
        <w:t>S</w:t>
      </w:r>
      <w:r w:rsidR="00B61A5F">
        <w:rPr>
          <w:rFonts w:ascii="Arial" w:hAnsi="Arial" w:cs="Arial"/>
          <w:sz w:val="22"/>
          <w:szCs w:val="22"/>
          <w:lang w:val="en-US"/>
        </w:rPr>
        <w:t>1</w:t>
      </w:r>
    </w:p>
    <w:p w:rsidR="0015375C" w:rsidRPr="00A5446E" w:rsidRDefault="0015375C" w:rsidP="004342ED">
      <w:pPr>
        <w:autoSpaceDE w:val="0"/>
        <w:autoSpaceDN w:val="0"/>
        <w:adjustRightInd w:val="0"/>
        <w:rPr>
          <w:rFonts w:ascii="Arial" w:hAnsi="Arial" w:cs="Arial"/>
          <w:lang w:val="en-US"/>
        </w:rPr>
      </w:pPr>
    </w:p>
    <w:p w:rsidR="004342ED" w:rsidRDefault="00AF307A" w:rsidP="004342ED">
      <w:pPr>
        <w:keepNext/>
        <w:autoSpaceDE w:val="0"/>
        <w:autoSpaceDN w:val="0"/>
        <w:adjustRightInd w:val="0"/>
        <w:jc w:val="both"/>
      </w:pPr>
      <w:r>
        <w:rPr>
          <w:noProof/>
          <w:lang w:val="en-GB" w:eastAsia="en-GB"/>
        </w:rPr>
        <w:drawing>
          <wp:inline distT="0" distB="0" distL="0" distR="0">
            <wp:extent cx="5760720" cy="3080632"/>
            <wp:effectExtent l="0" t="0" r="0" b="571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5375C" w:rsidRPr="00D3590F" w:rsidRDefault="00D3590F" w:rsidP="00D3590F">
      <w:pPr>
        <w:autoSpaceDE w:val="0"/>
        <w:autoSpaceDN w:val="0"/>
        <w:adjustRightInd w:val="0"/>
        <w:spacing w:line="480" w:lineRule="auto"/>
        <w:jc w:val="both"/>
        <w:rPr>
          <w:rFonts w:ascii="Arial" w:hAnsi="Arial" w:cs="Arial"/>
          <w:sz w:val="22"/>
          <w:szCs w:val="22"/>
          <w:lang w:val="en-US"/>
        </w:rPr>
      </w:pPr>
      <w:r w:rsidRPr="00D3590F">
        <w:rPr>
          <w:rFonts w:ascii="Arial" w:hAnsi="Arial" w:cs="Arial"/>
          <w:sz w:val="22"/>
          <w:szCs w:val="22"/>
          <w:lang w:val="en-US"/>
        </w:rPr>
        <w:t>Supplementary Figure S</w:t>
      </w:r>
      <w:r w:rsidR="00B61A5F">
        <w:rPr>
          <w:rFonts w:ascii="Arial" w:hAnsi="Arial" w:cs="Arial"/>
          <w:sz w:val="22"/>
          <w:szCs w:val="22"/>
          <w:lang w:val="en-US"/>
        </w:rPr>
        <w:t>2</w:t>
      </w:r>
    </w:p>
    <w:p w:rsidR="004342ED" w:rsidRPr="00A5446E" w:rsidRDefault="004342ED" w:rsidP="004342ED">
      <w:pPr>
        <w:autoSpaceDE w:val="0"/>
        <w:autoSpaceDN w:val="0"/>
        <w:adjustRightInd w:val="0"/>
        <w:jc w:val="both"/>
        <w:rPr>
          <w:rFonts w:ascii="Arial" w:hAnsi="Arial" w:cs="Arial"/>
          <w:lang w:val="en-US"/>
        </w:rPr>
      </w:pPr>
      <w:bookmarkStart w:id="2" w:name="_GoBack"/>
      <w:bookmarkEnd w:id="2"/>
    </w:p>
    <w:p w:rsidR="0015375C" w:rsidRPr="00A5446E" w:rsidRDefault="0015375C" w:rsidP="0015375C">
      <w:pPr>
        <w:autoSpaceDE w:val="0"/>
        <w:autoSpaceDN w:val="0"/>
        <w:adjustRightInd w:val="0"/>
        <w:jc w:val="both"/>
        <w:rPr>
          <w:rFonts w:ascii="Arial" w:hAnsi="Arial" w:cs="Arial"/>
          <w:lang w:val="en-US"/>
        </w:rPr>
      </w:pPr>
      <w:r w:rsidRPr="004342ED">
        <w:rPr>
          <w:rFonts w:ascii="Arial" w:hAnsi="Arial" w:cs="Arial"/>
          <w:noProof/>
          <w:lang w:val="en-GB" w:eastAsia="en-GB"/>
        </w:rPr>
        <w:lastRenderedPageBreak/>
        <w:drawing>
          <wp:inline distT="0" distB="0" distL="0" distR="0">
            <wp:extent cx="5753100" cy="3076575"/>
            <wp:effectExtent l="0" t="0" r="0" b="952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3076575"/>
                    </a:xfrm>
                    <a:prstGeom prst="rect">
                      <a:avLst/>
                    </a:prstGeom>
                    <a:noFill/>
                    <a:ln>
                      <a:noFill/>
                    </a:ln>
                  </pic:spPr>
                </pic:pic>
              </a:graphicData>
            </a:graphic>
          </wp:inline>
        </w:drawing>
      </w:r>
    </w:p>
    <w:p w:rsidR="005D5E0E" w:rsidRDefault="00D3590F" w:rsidP="0015375C">
      <w:pPr>
        <w:autoSpaceDE w:val="0"/>
        <w:autoSpaceDN w:val="0"/>
        <w:adjustRightInd w:val="0"/>
        <w:jc w:val="both"/>
        <w:rPr>
          <w:rFonts w:ascii="Arial" w:hAnsi="Arial" w:cs="Arial"/>
          <w:sz w:val="22"/>
          <w:szCs w:val="22"/>
          <w:lang w:val="en-US"/>
        </w:rPr>
      </w:pPr>
      <w:r w:rsidRPr="00B258F4">
        <w:rPr>
          <w:rFonts w:ascii="Arial" w:hAnsi="Arial" w:cs="Arial"/>
          <w:sz w:val="22"/>
          <w:szCs w:val="22"/>
          <w:lang w:val="en-US"/>
        </w:rPr>
        <w:t>Supplementary Figure S</w:t>
      </w:r>
      <w:r w:rsidR="00B61A5F">
        <w:rPr>
          <w:rFonts w:ascii="Arial" w:hAnsi="Arial" w:cs="Arial"/>
          <w:sz w:val="22"/>
          <w:szCs w:val="22"/>
          <w:lang w:val="en-US"/>
        </w:rPr>
        <w:t>3</w:t>
      </w:r>
    </w:p>
    <w:p w:rsidR="005D5E0E" w:rsidRDefault="005D5E0E">
      <w:pPr>
        <w:spacing w:after="200" w:line="276" w:lineRule="auto"/>
        <w:rPr>
          <w:rFonts w:ascii="Arial" w:hAnsi="Arial" w:cs="Arial"/>
          <w:sz w:val="22"/>
          <w:szCs w:val="22"/>
          <w:lang w:val="en-US"/>
        </w:rPr>
      </w:pPr>
    </w:p>
    <w:sectPr w:rsidR="005D5E0E" w:rsidSect="000075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S Monospace">
    <w:altName w:val="Arial monospaced for SAP"/>
    <w:charset w:val="00"/>
    <w:family w:val="modern"/>
    <w:pitch w:val="fixed"/>
    <w:sig w:usb0="00000003" w:usb1="00000000" w:usb2="00000000" w:usb3="00000000" w:csb0="00000001" w:csb1="00000000"/>
  </w:font>
  <w:font w:name="ComputerModern-Regular">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compat/>
  <w:rsids>
    <w:rsidRoot w:val="0081490C"/>
    <w:rsid w:val="0000759F"/>
    <w:rsid w:val="00026B02"/>
    <w:rsid w:val="00037A30"/>
    <w:rsid w:val="00067C28"/>
    <w:rsid w:val="00111C59"/>
    <w:rsid w:val="00127284"/>
    <w:rsid w:val="001423C4"/>
    <w:rsid w:val="0015375C"/>
    <w:rsid w:val="00157EEB"/>
    <w:rsid w:val="001A71CF"/>
    <w:rsid w:val="00234374"/>
    <w:rsid w:val="002958EF"/>
    <w:rsid w:val="002B4F04"/>
    <w:rsid w:val="003145A9"/>
    <w:rsid w:val="00367EB6"/>
    <w:rsid w:val="003D621A"/>
    <w:rsid w:val="004342ED"/>
    <w:rsid w:val="005A4C5A"/>
    <w:rsid w:val="005B7CA1"/>
    <w:rsid w:val="005D5E0E"/>
    <w:rsid w:val="00613830"/>
    <w:rsid w:val="00620DA5"/>
    <w:rsid w:val="00694069"/>
    <w:rsid w:val="006A14AF"/>
    <w:rsid w:val="00716B27"/>
    <w:rsid w:val="00757F77"/>
    <w:rsid w:val="007724F2"/>
    <w:rsid w:val="00776F97"/>
    <w:rsid w:val="0081490C"/>
    <w:rsid w:val="0098642B"/>
    <w:rsid w:val="009B3CFE"/>
    <w:rsid w:val="009D07E6"/>
    <w:rsid w:val="00A5446E"/>
    <w:rsid w:val="00A72ECA"/>
    <w:rsid w:val="00A9147E"/>
    <w:rsid w:val="00AA29B0"/>
    <w:rsid w:val="00AF307A"/>
    <w:rsid w:val="00B258F4"/>
    <w:rsid w:val="00B61A5F"/>
    <w:rsid w:val="00C333BD"/>
    <w:rsid w:val="00C33E8D"/>
    <w:rsid w:val="00C443BF"/>
    <w:rsid w:val="00C63199"/>
    <w:rsid w:val="00D2003E"/>
    <w:rsid w:val="00D21E9A"/>
    <w:rsid w:val="00D3590F"/>
    <w:rsid w:val="00DA66F3"/>
    <w:rsid w:val="00DE79CF"/>
    <w:rsid w:val="00DF5357"/>
    <w:rsid w:val="00DF7796"/>
    <w:rsid w:val="00E24A6D"/>
    <w:rsid w:val="00E8072A"/>
    <w:rsid w:val="00ED21E1"/>
    <w:rsid w:val="00F24562"/>
    <w:rsid w:val="00F82E69"/>
    <w:rsid w:val="00FB35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90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81490C"/>
    <w:rPr>
      <w:color w:val="0033CC"/>
      <w:u w:val="single"/>
    </w:rPr>
  </w:style>
  <w:style w:type="character" w:styleId="Numrodeligne">
    <w:name w:val="line number"/>
    <w:basedOn w:val="Policepardfaut"/>
    <w:uiPriority w:val="99"/>
    <w:semiHidden/>
    <w:unhideWhenUsed/>
    <w:rsid w:val="0081490C"/>
  </w:style>
  <w:style w:type="paragraph" w:styleId="Textedebulles">
    <w:name w:val="Balloon Text"/>
    <w:basedOn w:val="Normal"/>
    <w:link w:val="TextedebullesCar"/>
    <w:uiPriority w:val="99"/>
    <w:semiHidden/>
    <w:unhideWhenUsed/>
    <w:rsid w:val="00716B27"/>
    <w:rPr>
      <w:rFonts w:ascii="Tahoma" w:hAnsi="Tahoma" w:cs="Tahoma"/>
      <w:sz w:val="16"/>
      <w:szCs w:val="16"/>
    </w:rPr>
  </w:style>
  <w:style w:type="character" w:customStyle="1" w:styleId="TextedebullesCar">
    <w:name w:val="Texte de bulles Car"/>
    <w:basedOn w:val="Policepardfaut"/>
    <w:link w:val="Textedebulles"/>
    <w:uiPriority w:val="99"/>
    <w:semiHidden/>
    <w:rsid w:val="00716B27"/>
    <w:rPr>
      <w:rFonts w:ascii="Tahoma" w:eastAsia="Times New Roman" w:hAnsi="Tahoma" w:cs="Tahoma"/>
      <w:sz w:val="16"/>
      <w:szCs w:val="16"/>
      <w:lang w:eastAsia="fr-FR"/>
    </w:rPr>
  </w:style>
  <w:style w:type="character" w:styleId="Marquedecommentaire">
    <w:name w:val="annotation reference"/>
    <w:basedOn w:val="Policepardfaut"/>
    <w:semiHidden/>
    <w:rsid w:val="00367EB6"/>
    <w:rPr>
      <w:sz w:val="16"/>
      <w:szCs w:val="16"/>
    </w:rPr>
  </w:style>
  <w:style w:type="paragraph" w:styleId="Commentaire">
    <w:name w:val="annotation text"/>
    <w:basedOn w:val="Normal"/>
    <w:link w:val="CommentaireCar"/>
    <w:semiHidden/>
    <w:rsid w:val="00367EB6"/>
    <w:rPr>
      <w:sz w:val="20"/>
      <w:szCs w:val="20"/>
    </w:rPr>
  </w:style>
  <w:style w:type="character" w:customStyle="1" w:styleId="CommentaireCar">
    <w:name w:val="Commentaire Car"/>
    <w:basedOn w:val="Policepardfaut"/>
    <w:link w:val="Commentaire"/>
    <w:semiHidden/>
    <w:rsid w:val="00367EB6"/>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423C4"/>
    <w:rPr>
      <w:b/>
      <w:bCs/>
    </w:rPr>
  </w:style>
  <w:style w:type="character" w:customStyle="1" w:styleId="ObjetducommentaireCar">
    <w:name w:val="Objet du commentaire Car"/>
    <w:basedOn w:val="CommentaireCar"/>
    <w:link w:val="Objetducommentaire"/>
    <w:uiPriority w:val="99"/>
    <w:semiHidden/>
    <w:rsid w:val="001423C4"/>
    <w:rPr>
      <w:rFonts w:ascii="Times New Roman" w:eastAsia="Times New Roman" w:hAnsi="Times New Roman" w:cs="Times New Roman"/>
      <w:b/>
      <w:bCs/>
      <w:sz w:val="20"/>
      <w:szCs w:val="20"/>
      <w:lang w:eastAsia="fr-FR"/>
    </w:rPr>
  </w:style>
  <w:style w:type="paragraph" w:styleId="Rvision">
    <w:name w:val="Revision"/>
    <w:hidden/>
    <w:uiPriority w:val="99"/>
    <w:semiHidden/>
    <w:rsid w:val="009D07E6"/>
    <w:pPr>
      <w:spacing w:after="0"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4342ED"/>
    <w:pPr>
      <w:spacing w:after="200"/>
    </w:pPr>
    <w:rPr>
      <w:b/>
      <w:bCs/>
      <w:color w:val="4F81BD" w:themeColor="accent1"/>
      <w:sz w:val="18"/>
      <w:szCs w:val="18"/>
    </w:rPr>
  </w:style>
  <w:style w:type="character" w:styleId="Lienhypertextesuivivisit">
    <w:name w:val="FollowedHyperlink"/>
    <w:basedOn w:val="Policepardfaut"/>
    <w:uiPriority w:val="99"/>
    <w:semiHidden/>
    <w:unhideWhenUsed/>
    <w:rsid w:val="004342ED"/>
    <w:rPr>
      <w:color w:val="800080" w:themeColor="followedHyperlink"/>
      <w:u w:val="single"/>
    </w:rPr>
  </w:style>
  <w:style w:type="table" w:styleId="Grilledutableau">
    <w:name w:val="Table Grid"/>
    <w:basedOn w:val="TableauNormal"/>
    <w:uiPriority w:val="59"/>
    <w:rsid w:val="00A72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chart" Target="charts/chart2.xml"/><Relationship Id="rId4" Type="http://schemas.openxmlformats.org/officeDocument/2006/relationships/chart" Target="charts/chart1.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4.2787286063569706E-2"/>
          <c:y val="8.2379862700228845E-2"/>
          <c:w val="0.93765281173594128"/>
          <c:h val="0.67734553775743733"/>
        </c:manualLayout>
      </c:layout>
      <c:scatterChart>
        <c:scatterStyle val="smoothMarker"/>
        <c:ser>
          <c:idx val="0"/>
          <c:order val="0"/>
          <c:tx>
            <c:strRef>
              <c:f>Feuil1!$N$1</c:f>
              <c:strCache>
                <c:ptCount val="1"/>
                <c:pt idx="0">
                  <c:v>prediction non productive by GLM</c:v>
                </c:pt>
              </c:strCache>
            </c:strRef>
          </c:tx>
          <c:spPr>
            <a:ln w="38100">
              <a:solidFill>
                <a:srgbClr val="339966"/>
              </a:solidFill>
              <a:prstDash val="solid"/>
            </a:ln>
          </c:spPr>
          <c:marker>
            <c:symbol val="none"/>
          </c:marker>
          <c:xVal>
            <c:numRef>
              <c:f>Feuil1!$S$2:$S$66</c:f>
              <c:numCache>
                <c:formatCode>General</c:formatCode>
                <c:ptCount val="65"/>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c:v>
                </c:pt>
                <c:pt idx="30">
                  <c:v>-10</c:v>
                </c:pt>
                <c:pt idx="31">
                  <c:v>-9</c:v>
                </c:pt>
                <c:pt idx="32">
                  <c:v>-8</c:v>
                </c:pt>
                <c:pt idx="33">
                  <c:v>-7</c:v>
                </c:pt>
                <c:pt idx="34">
                  <c:v>-6</c:v>
                </c:pt>
                <c:pt idx="35">
                  <c:v>-5</c:v>
                </c:pt>
                <c:pt idx="36">
                  <c:v>-4</c:v>
                </c:pt>
                <c:pt idx="37">
                  <c:v>-3</c:v>
                </c:pt>
                <c:pt idx="38">
                  <c:v>-2</c:v>
                </c:pt>
                <c:pt idx="39">
                  <c:v>-1</c:v>
                </c:pt>
                <c:pt idx="40">
                  <c:v>0</c:v>
                </c:pt>
                <c:pt idx="41">
                  <c:v>1</c:v>
                </c:pt>
                <c:pt idx="42">
                  <c:v>2</c:v>
                </c:pt>
                <c:pt idx="43">
                  <c:v>3</c:v>
                </c:pt>
                <c:pt idx="44">
                  <c:v>4</c:v>
                </c:pt>
                <c:pt idx="45">
                  <c:v>5</c:v>
                </c:pt>
                <c:pt idx="46">
                  <c:v>6</c:v>
                </c:pt>
                <c:pt idx="47">
                  <c:v>7</c:v>
                </c:pt>
                <c:pt idx="48">
                  <c:v>8</c:v>
                </c:pt>
                <c:pt idx="49">
                  <c:v>9</c:v>
                </c:pt>
                <c:pt idx="50">
                  <c:v>10</c:v>
                </c:pt>
                <c:pt idx="51">
                  <c:v>11</c:v>
                </c:pt>
                <c:pt idx="52">
                  <c:v>12</c:v>
                </c:pt>
                <c:pt idx="53">
                  <c:v>13</c:v>
                </c:pt>
                <c:pt idx="54">
                  <c:v>14</c:v>
                </c:pt>
                <c:pt idx="55">
                  <c:v>15</c:v>
                </c:pt>
                <c:pt idx="56">
                  <c:v>16</c:v>
                </c:pt>
                <c:pt idx="57">
                  <c:v>17</c:v>
                </c:pt>
                <c:pt idx="58">
                  <c:v>18</c:v>
                </c:pt>
                <c:pt idx="59">
                  <c:v>19</c:v>
                </c:pt>
                <c:pt idx="60">
                  <c:v>20</c:v>
                </c:pt>
                <c:pt idx="61">
                  <c:v>21</c:v>
                </c:pt>
                <c:pt idx="62">
                  <c:v>22</c:v>
                </c:pt>
                <c:pt idx="63">
                  <c:v>23</c:v>
                </c:pt>
                <c:pt idx="64">
                  <c:v>24</c:v>
                </c:pt>
              </c:numCache>
            </c:numRef>
          </c:xVal>
          <c:yVal>
            <c:numRef>
              <c:f>Feuil1!$N$2:$N$66</c:f>
              <c:numCache>
                <c:formatCode>General</c:formatCode>
                <c:ptCount val="65"/>
                <c:pt idx="4">
                  <c:v>0.69866280000000025</c:v>
                </c:pt>
                <c:pt idx="5">
                  <c:v>0.66870080000000054</c:v>
                </c:pt>
                <c:pt idx="6">
                  <c:v>0.63958280000000001</c:v>
                </c:pt>
                <c:pt idx="7">
                  <c:v>0.61130879999999999</c:v>
                </c:pt>
                <c:pt idx="8">
                  <c:v>0.58387880000000014</c:v>
                </c:pt>
                <c:pt idx="9">
                  <c:v>0.55729280000000003</c:v>
                </c:pt>
                <c:pt idx="10">
                  <c:v>0.53155079999999977</c:v>
                </c:pt>
                <c:pt idx="11">
                  <c:v>0.50665280000000001</c:v>
                </c:pt>
                <c:pt idx="12">
                  <c:v>0.48259880000000016</c:v>
                </c:pt>
                <c:pt idx="13">
                  <c:v>0.45938880000000026</c:v>
                </c:pt>
                <c:pt idx="14">
                  <c:v>0.43702280000000027</c:v>
                </c:pt>
                <c:pt idx="15">
                  <c:v>0.41550080000000011</c:v>
                </c:pt>
                <c:pt idx="16">
                  <c:v>0.39482280000000036</c:v>
                </c:pt>
                <c:pt idx="17">
                  <c:v>0.37498880000000023</c:v>
                </c:pt>
                <c:pt idx="18">
                  <c:v>0.35599880000000017</c:v>
                </c:pt>
                <c:pt idx="19">
                  <c:v>0.33785280000000029</c:v>
                </c:pt>
                <c:pt idx="20">
                  <c:v>0.32055080000000014</c:v>
                </c:pt>
                <c:pt idx="21">
                  <c:v>0.30409280000000016</c:v>
                </c:pt>
                <c:pt idx="22">
                  <c:v>0.28847880000000026</c:v>
                </c:pt>
                <c:pt idx="23">
                  <c:v>0.27370880000000014</c:v>
                </c:pt>
                <c:pt idx="24">
                  <c:v>0.25978280000000015</c:v>
                </c:pt>
                <c:pt idx="25">
                  <c:v>0.24670080000000008</c:v>
                </c:pt>
                <c:pt idx="26">
                  <c:v>0.23446280000000008</c:v>
                </c:pt>
                <c:pt idx="27">
                  <c:v>0.22306880000000004</c:v>
                </c:pt>
                <c:pt idx="28">
                  <c:v>0.21251880000000006</c:v>
                </c:pt>
                <c:pt idx="29">
                  <c:v>0.20281280000000004</c:v>
                </c:pt>
                <c:pt idx="30">
                  <c:v>0.19395080000000006</c:v>
                </c:pt>
                <c:pt idx="31">
                  <c:v>0.18593280000000006</c:v>
                </c:pt>
                <c:pt idx="32">
                  <c:v>0.17875880000000008</c:v>
                </c:pt>
                <c:pt idx="33">
                  <c:v>0.17242880000000008</c:v>
                </c:pt>
                <c:pt idx="34">
                  <c:v>0.16694280000000011</c:v>
                </c:pt>
                <c:pt idx="35">
                  <c:v>0.16230080000000005</c:v>
                </c:pt>
                <c:pt idx="36">
                  <c:v>0.15850280000000008</c:v>
                </c:pt>
                <c:pt idx="37">
                  <c:v>0.15554880000000007</c:v>
                </c:pt>
                <c:pt idx="38">
                  <c:v>0.15343880000000007</c:v>
                </c:pt>
                <c:pt idx="39">
                  <c:v>0.15217280000000002</c:v>
                </c:pt>
                <c:pt idx="40">
                  <c:v>0.15175080000000007</c:v>
                </c:pt>
                <c:pt idx="41">
                  <c:v>0.15217280000000002</c:v>
                </c:pt>
                <c:pt idx="42">
                  <c:v>0.15343880000000007</c:v>
                </c:pt>
                <c:pt idx="43">
                  <c:v>0.15554880000000007</c:v>
                </c:pt>
                <c:pt idx="44">
                  <c:v>0.15850280000000008</c:v>
                </c:pt>
                <c:pt idx="45">
                  <c:v>0.16230080000000005</c:v>
                </c:pt>
                <c:pt idx="46">
                  <c:v>0.16694280000000011</c:v>
                </c:pt>
                <c:pt idx="47">
                  <c:v>0.17242880000000008</c:v>
                </c:pt>
                <c:pt idx="48">
                  <c:v>0.17875880000000008</c:v>
                </c:pt>
                <c:pt idx="49">
                  <c:v>0.18593280000000006</c:v>
                </c:pt>
                <c:pt idx="50">
                  <c:v>0.19395080000000006</c:v>
                </c:pt>
                <c:pt idx="51">
                  <c:v>0.20281280000000004</c:v>
                </c:pt>
                <c:pt idx="52">
                  <c:v>0.21251880000000006</c:v>
                </c:pt>
                <c:pt idx="53">
                  <c:v>0.22306880000000004</c:v>
                </c:pt>
                <c:pt idx="54">
                  <c:v>0.23446280000000008</c:v>
                </c:pt>
              </c:numCache>
            </c:numRef>
          </c:yVal>
          <c:smooth val="1"/>
        </c:ser>
        <c:ser>
          <c:idx val="1"/>
          <c:order val="1"/>
          <c:tx>
            <c:strRef>
              <c:f>Feuil1!$O$1</c:f>
              <c:strCache>
                <c:ptCount val="1"/>
                <c:pt idx="0">
                  <c:v>prediction growing/finishing by GLM</c:v>
                </c:pt>
              </c:strCache>
            </c:strRef>
          </c:tx>
          <c:spPr>
            <a:ln w="38100">
              <a:solidFill>
                <a:srgbClr val="0000FF"/>
              </a:solidFill>
              <a:prstDash val="solid"/>
            </a:ln>
          </c:spPr>
          <c:marker>
            <c:symbol val="none"/>
          </c:marker>
          <c:xVal>
            <c:numRef>
              <c:f>Feuil1!$S$2:$S$66</c:f>
              <c:numCache>
                <c:formatCode>General</c:formatCode>
                <c:ptCount val="65"/>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c:v>
                </c:pt>
                <c:pt idx="30">
                  <c:v>-10</c:v>
                </c:pt>
                <c:pt idx="31">
                  <c:v>-9</c:v>
                </c:pt>
                <c:pt idx="32">
                  <c:v>-8</c:v>
                </c:pt>
                <c:pt idx="33">
                  <c:v>-7</c:v>
                </c:pt>
                <c:pt idx="34">
                  <c:v>-6</c:v>
                </c:pt>
                <c:pt idx="35">
                  <c:v>-5</c:v>
                </c:pt>
                <c:pt idx="36">
                  <c:v>-4</c:v>
                </c:pt>
                <c:pt idx="37">
                  <c:v>-3</c:v>
                </c:pt>
                <c:pt idx="38">
                  <c:v>-2</c:v>
                </c:pt>
                <c:pt idx="39">
                  <c:v>-1</c:v>
                </c:pt>
                <c:pt idx="40">
                  <c:v>0</c:v>
                </c:pt>
                <c:pt idx="41">
                  <c:v>1</c:v>
                </c:pt>
                <c:pt idx="42">
                  <c:v>2</c:v>
                </c:pt>
                <c:pt idx="43">
                  <c:v>3</c:v>
                </c:pt>
                <c:pt idx="44">
                  <c:v>4</c:v>
                </c:pt>
                <c:pt idx="45">
                  <c:v>5</c:v>
                </c:pt>
                <c:pt idx="46">
                  <c:v>6</c:v>
                </c:pt>
                <c:pt idx="47">
                  <c:v>7</c:v>
                </c:pt>
                <c:pt idx="48">
                  <c:v>8</c:v>
                </c:pt>
                <c:pt idx="49">
                  <c:v>9</c:v>
                </c:pt>
                <c:pt idx="50">
                  <c:v>10</c:v>
                </c:pt>
                <c:pt idx="51">
                  <c:v>11</c:v>
                </c:pt>
                <c:pt idx="52">
                  <c:v>12</c:v>
                </c:pt>
                <c:pt idx="53">
                  <c:v>13</c:v>
                </c:pt>
                <c:pt idx="54">
                  <c:v>14</c:v>
                </c:pt>
                <c:pt idx="55">
                  <c:v>15</c:v>
                </c:pt>
                <c:pt idx="56">
                  <c:v>16</c:v>
                </c:pt>
                <c:pt idx="57">
                  <c:v>17</c:v>
                </c:pt>
                <c:pt idx="58">
                  <c:v>18</c:v>
                </c:pt>
                <c:pt idx="59">
                  <c:v>19</c:v>
                </c:pt>
                <c:pt idx="60">
                  <c:v>20</c:v>
                </c:pt>
                <c:pt idx="61">
                  <c:v>21</c:v>
                </c:pt>
                <c:pt idx="62">
                  <c:v>22</c:v>
                </c:pt>
                <c:pt idx="63">
                  <c:v>23</c:v>
                </c:pt>
                <c:pt idx="64">
                  <c:v>24</c:v>
                </c:pt>
              </c:numCache>
            </c:numRef>
          </c:xVal>
          <c:yVal>
            <c:numRef>
              <c:f>Feuil1!$O$2:$O$66</c:f>
              <c:numCache>
                <c:formatCode>General</c:formatCode>
                <c:ptCount val="65"/>
                <c:pt idx="40">
                  <c:v>0.25406400000000001</c:v>
                </c:pt>
                <c:pt idx="41">
                  <c:v>0.25417300000000004</c:v>
                </c:pt>
                <c:pt idx="42">
                  <c:v>0.2545</c:v>
                </c:pt>
                <c:pt idx="43">
                  <c:v>0.25504500000000002</c:v>
                </c:pt>
                <c:pt idx="44">
                  <c:v>0.25580800000000015</c:v>
                </c:pt>
                <c:pt idx="45">
                  <c:v>0.2567890000000001</c:v>
                </c:pt>
                <c:pt idx="46">
                  <c:v>0.25798800000000011</c:v>
                </c:pt>
                <c:pt idx="47">
                  <c:v>0.259405</c:v>
                </c:pt>
                <c:pt idx="48">
                  <c:v>0.26104000000000005</c:v>
                </c:pt>
                <c:pt idx="49">
                  <c:v>0.26289300000000004</c:v>
                </c:pt>
                <c:pt idx="50">
                  <c:v>0.26496400000000014</c:v>
                </c:pt>
                <c:pt idx="51">
                  <c:v>0.26725300000000002</c:v>
                </c:pt>
                <c:pt idx="52">
                  <c:v>0.26976</c:v>
                </c:pt>
                <c:pt idx="53">
                  <c:v>0.27248500000000014</c:v>
                </c:pt>
                <c:pt idx="54">
                  <c:v>0.27542800000000012</c:v>
                </c:pt>
                <c:pt idx="55">
                  <c:v>0.27858900000000014</c:v>
                </c:pt>
                <c:pt idx="56">
                  <c:v>0.28196800000000011</c:v>
                </c:pt>
                <c:pt idx="57">
                  <c:v>0.28556500000000001</c:v>
                </c:pt>
                <c:pt idx="58">
                  <c:v>0.28938000000000025</c:v>
                </c:pt>
                <c:pt idx="59">
                  <c:v>0.29341300000000015</c:v>
                </c:pt>
                <c:pt idx="60">
                  <c:v>0.29766400000000015</c:v>
                </c:pt>
                <c:pt idx="61">
                  <c:v>0.30213300000000004</c:v>
                </c:pt>
                <c:pt idx="62">
                  <c:v>0.30682000000000026</c:v>
                </c:pt>
                <c:pt idx="63">
                  <c:v>0.31172500000000014</c:v>
                </c:pt>
                <c:pt idx="64">
                  <c:v>0.31684800000000013</c:v>
                </c:pt>
              </c:numCache>
            </c:numRef>
          </c:yVal>
          <c:smooth val="1"/>
        </c:ser>
        <c:ser>
          <c:idx val="2"/>
          <c:order val="2"/>
          <c:tx>
            <c:strRef>
              <c:f>Feuil1!$M$1</c:f>
              <c:strCache>
                <c:ptCount val="1"/>
                <c:pt idx="0">
                  <c:v>prediction lactation by GLM</c:v>
                </c:pt>
              </c:strCache>
            </c:strRef>
          </c:tx>
          <c:spPr>
            <a:ln w="38100">
              <a:solidFill>
                <a:srgbClr val="FF0000"/>
              </a:solidFill>
              <a:prstDash val="solid"/>
            </a:ln>
          </c:spPr>
          <c:marker>
            <c:symbol val="none"/>
          </c:marker>
          <c:xVal>
            <c:numRef>
              <c:f>Feuil1!$S$2:$S$66</c:f>
              <c:numCache>
                <c:formatCode>General</c:formatCode>
                <c:ptCount val="65"/>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c:v>
                </c:pt>
                <c:pt idx="30">
                  <c:v>-10</c:v>
                </c:pt>
                <c:pt idx="31">
                  <c:v>-9</c:v>
                </c:pt>
                <c:pt idx="32">
                  <c:v>-8</c:v>
                </c:pt>
                <c:pt idx="33">
                  <c:v>-7</c:v>
                </c:pt>
                <c:pt idx="34">
                  <c:v>-6</c:v>
                </c:pt>
                <c:pt idx="35">
                  <c:v>-5</c:v>
                </c:pt>
                <c:pt idx="36">
                  <c:v>-4</c:v>
                </c:pt>
                <c:pt idx="37">
                  <c:v>-3</c:v>
                </c:pt>
                <c:pt idx="38">
                  <c:v>-2</c:v>
                </c:pt>
                <c:pt idx="39">
                  <c:v>-1</c:v>
                </c:pt>
                <c:pt idx="40">
                  <c:v>0</c:v>
                </c:pt>
                <c:pt idx="41">
                  <c:v>1</c:v>
                </c:pt>
                <c:pt idx="42">
                  <c:v>2</c:v>
                </c:pt>
                <c:pt idx="43">
                  <c:v>3</c:v>
                </c:pt>
                <c:pt idx="44">
                  <c:v>4</c:v>
                </c:pt>
                <c:pt idx="45">
                  <c:v>5</c:v>
                </c:pt>
                <c:pt idx="46">
                  <c:v>6</c:v>
                </c:pt>
                <c:pt idx="47">
                  <c:v>7</c:v>
                </c:pt>
                <c:pt idx="48">
                  <c:v>8</c:v>
                </c:pt>
                <c:pt idx="49">
                  <c:v>9</c:v>
                </c:pt>
                <c:pt idx="50">
                  <c:v>10</c:v>
                </c:pt>
                <c:pt idx="51">
                  <c:v>11</c:v>
                </c:pt>
                <c:pt idx="52">
                  <c:v>12</c:v>
                </c:pt>
                <c:pt idx="53">
                  <c:v>13</c:v>
                </c:pt>
                <c:pt idx="54">
                  <c:v>14</c:v>
                </c:pt>
                <c:pt idx="55">
                  <c:v>15</c:v>
                </c:pt>
                <c:pt idx="56">
                  <c:v>16</c:v>
                </c:pt>
                <c:pt idx="57">
                  <c:v>17</c:v>
                </c:pt>
                <c:pt idx="58">
                  <c:v>18</c:v>
                </c:pt>
                <c:pt idx="59">
                  <c:v>19</c:v>
                </c:pt>
                <c:pt idx="60">
                  <c:v>20</c:v>
                </c:pt>
                <c:pt idx="61">
                  <c:v>21</c:v>
                </c:pt>
                <c:pt idx="62">
                  <c:v>22</c:v>
                </c:pt>
                <c:pt idx="63">
                  <c:v>23</c:v>
                </c:pt>
                <c:pt idx="64">
                  <c:v>24</c:v>
                </c:pt>
              </c:numCache>
            </c:numRef>
          </c:xVal>
          <c:yVal>
            <c:numRef>
              <c:f>Feuil1!$M$2:$M$66</c:f>
              <c:numCache>
                <c:formatCode>General</c:formatCode>
                <c:ptCount val="65"/>
                <c:pt idx="26">
                  <c:v>0.69923720000000011</c:v>
                </c:pt>
                <c:pt idx="27">
                  <c:v>0.64172720000000039</c:v>
                </c:pt>
                <c:pt idx="28">
                  <c:v>0.58847719999999992</c:v>
                </c:pt>
                <c:pt idx="29">
                  <c:v>0.5394871999999995</c:v>
                </c:pt>
                <c:pt idx="30">
                  <c:v>0.49475720000000001</c:v>
                </c:pt>
                <c:pt idx="31">
                  <c:v>0.4542872</c:v>
                </c:pt>
                <c:pt idx="32">
                  <c:v>0.41807720000000009</c:v>
                </c:pt>
                <c:pt idx="33">
                  <c:v>0.38612720000000011</c:v>
                </c:pt>
                <c:pt idx="34">
                  <c:v>0.35843720000000001</c:v>
                </c:pt>
                <c:pt idx="35">
                  <c:v>0.33500720000000012</c:v>
                </c:pt>
                <c:pt idx="36">
                  <c:v>0.3158372000000001</c:v>
                </c:pt>
                <c:pt idx="37">
                  <c:v>0.30092720000000012</c:v>
                </c:pt>
                <c:pt idx="38">
                  <c:v>0.29027720000000001</c:v>
                </c:pt>
                <c:pt idx="39">
                  <c:v>0.28388720000000012</c:v>
                </c:pt>
                <c:pt idx="40">
                  <c:v>0.28175720000000004</c:v>
                </c:pt>
                <c:pt idx="41">
                  <c:v>0.28388720000000012</c:v>
                </c:pt>
                <c:pt idx="42">
                  <c:v>0.29027720000000001</c:v>
                </c:pt>
                <c:pt idx="43">
                  <c:v>0.30092720000000012</c:v>
                </c:pt>
                <c:pt idx="44">
                  <c:v>0.3158372000000001</c:v>
                </c:pt>
                <c:pt idx="45">
                  <c:v>0.33500720000000012</c:v>
                </c:pt>
                <c:pt idx="46">
                  <c:v>0.35843720000000001</c:v>
                </c:pt>
                <c:pt idx="47">
                  <c:v>0.38612720000000011</c:v>
                </c:pt>
                <c:pt idx="48">
                  <c:v>0.41807720000000009</c:v>
                </c:pt>
                <c:pt idx="49">
                  <c:v>0.4542872</c:v>
                </c:pt>
                <c:pt idx="50">
                  <c:v>0.49475720000000001</c:v>
                </c:pt>
              </c:numCache>
            </c:numRef>
          </c:yVal>
          <c:smooth val="1"/>
        </c:ser>
        <c:ser>
          <c:idx val="3"/>
          <c:order val="3"/>
          <c:tx>
            <c:strRef>
              <c:f>Feuil1!$T$1</c:f>
              <c:strCache>
                <c:ptCount val="1"/>
                <c:pt idx="0">
                  <c:v>prediction lactation by Mixed</c:v>
                </c:pt>
              </c:strCache>
            </c:strRef>
          </c:tx>
          <c:spPr>
            <a:ln w="38100">
              <a:solidFill>
                <a:srgbClr val="FF0000"/>
              </a:solidFill>
              <a:prstDash val="sysDash"/>
            </a:ln>
          </c:spPr>
          <c:marker>
            <c:symbol val="none"/>
          </c:marker>
          <c:xVal>
            <c:numRef>
              <c:f>Feuil1!$S$2:$S$66</c:f>
              <c:numCache>
                <c:formatCode>General</c:formatCode>
                <c:ptCount val="65"/>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c:v>
                </c:pt>
                <c:pt idx="30">
                  <c:v>-10</c:v>
                </c:pt>
                <c:pt idx="31">
                  <c:v>-9</c:v>
                </c:pt>
                <c:pt idx="32">
                  <c:v>-8</c:v>
                </c:pt>
                <c:pt idx="33">
                  <c:v>-7</c:v>
                </c:pt>
                <c:pt idx="34">
                  <c:v>-6</c:v>
                </c:pt>
                <c:pt idx="35">
                  <c:v>-5</c:v>
                </c:pt>
                <c:pt idx="36">
                  <c:v>-4</c:v>
                </c:pt>
                <c:pt idx="37">
                  <c:v>-3</c:v>
                </c:pt>
                <c:pt idx="38">
                  <c:v>-2</c:v>
                </c:pt>
                <c:pt idx="39">
                  <c:v>-1</c:v>
                </c:pt>
                <c:pt idx="40">
                  <c:v>0</c:v>
                </c:pt>
                <c:pt idx="41">
                  <c:v>1</c:v>
                </c:pt>
                <c:pt idx="42">
                  <c:v>2</c:v>
                </c:pt>
                <c:pt idx="43">
                  <c:v>3</c:v>
                </c:pt>
                <c:pt idx="44">
                  <c:v>4</c:v>
                </c:pt>
                <c:pt idx="45">
                  <c:v>5</c:v>
                </c:pt>
                <c:pt idx="46">
                  <c:v>6</c:v>
                </c:pt>
                <c:pt idx="47">
                  <c:v>7</c:v>
                </c:pt>
                <c:pt idx="48">
                  <c:v>8</c:v>
                </c:pt>
                <c:pt idx="49">
                  <c:v>9</c:v>
                </c:pt>
                <c:pt idx="50">
                  <c:v>10</c:v>
                </c:pt>
                <c:pt idx="51">
                  <c:v>11</c:v>
                </c:pt>
                <c:pt idx="52">
                  <c:v>12</c:v>
                </c:pt>
                <c:pt idx="53">
                  <c:v>13</c:v>
                </c:pt>
                <c:pt idx="54">
                  <c:v>14</c:v>
                </c:pt>
                <c:pt idx="55">
                  <c:v>15</c:v>
                </c:pt>
                <c:pt idx="56">
                  <c:v>16</c:v>
                </c:pt>
                <c:pt idx="57">
                  <c:v>17</c:v>
                </c:pt>
                <c:pt idx="58">
                  <c:v>18</c:v>
                </c:pt>
                <c:pt idx="59">
                  <c:v>19</c:v>
                </c:pt>
                <c:pt idx="60">
                  <c:v>20</c:v>
                </c:pt>
                <c:pt idx="61">
                  <c:v>21</c:v>
                </c:pt>
                <c:pt idx="62">
                  <c:v>22</c:v>
                </c:pt>
                <c:pt idx="63">
                  <c:v>23</c:v>
                </c:pt>
                <c:pt idx="64">
                  <c:v>24</c:v>
                </c:pt>
              </c:numCache>
            </c:numRef>
          </c:xVal>
          <c:yVal>
            <c:numRef>
              <c:f>Feuil1!$T$2:$T$52</c:f>
              <c:numCache>
                <c:formatCode>General</c:formatCode>
                <c:ptCount val="51"/>
                <c:pt idx="25">
                  <c:v>1.3449083999999998</c:v>
                </c:pt>
                <c:pt idx="26">
                  <c:v>1.2036783999999994</c:v>
                </c:pt>
                <c:pt idx="27">
                  <c:v>1.0721883999999999</c:v>
                </c:pt>
                <c:pt idx="28">
                  <c:v>0.95043839999999968</c:v>
                </c:pt>
                <c:pt idx="29">
                  <c:v>0.83842839999999996</c:v>
                </c:pt>
                <c:pt idx="30">
                  <c:v>0.73615839999999988</c:v>
                </c:pt>
                <c:pt idx="31">
                  <c:v>0.6436284000000001</c:v>
                </c:pt>
                <c:pt idx="32">
                  <c:v>0.56083839999999996</c:v>
                </c:pt>
                <c:pt idx="33">
                  <c:v>0.48778840000000012</c:v>
                </c:pt>
                <c:pt idx="34">
                  <c:v>0.4244784000000002</c:v>
                </c:pt>
                <c:pt idx="35">
                  <c:v>0.37090840000000014</c:v>
                </c:pt>
                <c:pt idx="36">
                  <c:v>0.32707840000000027</c:v>
                </c:pt>
                <c:pt idx="37">
                  <c:v>0.2929884000000002</c:v>
                </c:pt>
                <c:pt idx="38">
                  <c:v>0.2686384</c:v>
                </c:pt>
                <c:pt idx="39">
                  <c:v>0.25402840000000015</c:v>
                </c:pt>
                <c:pt idx="40">
                  <c:v>0.24915840000000006</c:v>
                </c:pt>
                <c:pt idx="41">
                  <c:v>0.25402840000000015</c:v>
                </c:pt>
                <c:pt idx="42">
                  <c:v>0.2686384</c:v>
                </c:pt>
                <c:pt idx="43">
                  <c:v>0.2929884000000002</c:v>
                </c:pt>
                <c:pt idx="44">
                  <c:v>0.32707840000000027</c:v>
                </c:pt>
                <c:pt idx="45">
                  <c:v>0.37090840000000014</c:v>
                </c:pt>
                <c:pt idx="46">
                  <c:v>0.4244784000000002</c:v>
                </c:pt>
                <c:pt idx="47">
                  <c:v>0.48778840000000012</c:v>
                </c:pt>
                <c:pt idx="48">
                  <c:v>0.56083839999999996</c:v>
                </c:pt>
                <c:pt idx="49">
                  <c:v>0.6436284000000001</c:v>
                </c:pt>
                <c:pt idx="50">
                  <c:v>0.73615839999999988</c:v>
                </c:pt>
              </c:numCache>
            </c:numRef>
          </c:yVal>
          <c:smooth val="1"/>
        </c:ser>
        <c:ser>
          <c:idx val="4"/>
          <c:order val="4"/>
          <c:tx>
            <c:strRef>
              <c:f>Feuil1!$U$1</c:f>
              <c:strCache>
                <c:ptCount val="1"/>
                <c:pt idx="0">
                  <c:v>prediction non productive by Mixed</c:v>
                </c:pt>
              </c:strCache>
            </c:strRef>
          </c:tx>
          <c:spPr>
            <a:ln w="38100">
              <a:solidFill>
                <a:srgbClr val="008000"/>
              </a:solidFill>
              <a:prstDash val="sysDash"/>
            </a:ln>
          </c:spPr>
          <c:marker>
            <c:symbol val="none"/>
          </c:marker>
          <c:xVal>
            <c:numRef>
              <c:f>Feuil1!$S$2:$S$66</c:f>
              <c:numCache>
                <c:formatCode>General</c:formatCode>
                <c:ptCount val="65"/>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c:v>
                </c:pt>
                <c:pt idx="30">
                  <c:v>-10</c:v>
                </c:pt>
                <c:pt idx="31">
                  <c:v>-9</c:v>
                </c:pt>
                <c:pt idx="32">
                  <c:v>-8</c:v>
                </c:pt>
                <c:pt idx="33">
                  <c:v>-7</c:v>
                </c:pt>
                <c:pt idx="34">
                  <c:v>-6</c:v>
                </c:pt>
                <c:pt idx="35">
                  <c:v>-5</c:v>
                </c:pt>
                <c:pt idx="36">
                  <c:v>-4</c:v>
                </c:pt>
                <c:pt idx="37">
                  <c:v>-3</c:v>
                </c:pt>
                <c:pt idx="38">
                  <c:v>-2</c:v>
                </c:pt>
                <c:pt idx="39">
                  <c:v>-1</c:v>
                </c:pt>
                <c:pt idx="40">
                  <c:v>0</c:v>
                </c:pt>
                <c:pt idx="41">
                  <c:v>1</c:v>
                </c:pt>
                <c:pt idx="42">
                  <c:v>2</c:v>
                </c:pt>
                <c:pt idx="43">
                  <c:v>3</c:v>
                </c:pt>
                <c:pt idx="44">
                  <c:v>4</c:v>
                </c:pt>
                <c:pt idx="45">
                  <c:v>5</c:v>
                </c:pt>
                <c:pt idx="46">
                  <c:v>6</c:v>
                </c:pt>
                <c:pt idx="47">
                  <c:v>7</c:v>
                </c:pt>
                <c:pt idx="48">
                  <c:v>8</c:v>
                </c:pt>
                <c:pt idx="49">
                  <c:v>9</c:v>
                </c:pt>
                <c:pt idx="50">
                  <c:v>10</c:v>
                </c:pt>
                <c:pt idx="51">
                  <c:v>11</c:v>
                </c:pt>
                <c:pt idx="52">
                  <c:v>12</c:v>
                </c:pt>
                <c:pt idx="53">
                  <c:v>13</c:v>
                </c:pt>
                <c:pt idx="54">
                  <c:v>14</c:v>
                </c:pt>
                <c:pt idx="55">
                  <c:v>15</c:v>
                </c:pt>
                <c:pt idx="56">
                  <c:v>16</c:v>
                </c:pt>
                <c:pt idx="57">
                  <c:v>17</c:v>
                </c:pt>
                <c:pt idx="58">
                  <c:v>18</c:v>
                </c:pt>
                <c:pt idx="59">
                  <c:v>19</c:v>
                </c:pt>
                <c:pt idx="60">
                  <c:v>20</c:v>
                </c:pt>
                <c:pt idx="61">
                  <c:v>21</c:v>
                </c:pt>
                <c:pt idx="62">
                  <c:v>22</c:v>
                </c:pt>
                <c:pt idx="63">
                  <c:v>23</c:v>
                </c:pt>
                <c:pt idx="64">
                  <c:v>24</c:v>
                </c:pt>
              </c:numCache>
            </c:numRef>
          </c:xVal>
          <c:yVal>
            <c:numRef>
              <c:f>Feuil1!$U$2:$U$56</c:f>
              <c:numCache>
                <c:formatCode>General</c:formatCode>
                <c:ptCount val="55"/>
                <c:pt idx="4">
                  <c:v>0.5798975999999999</c:v>
                </c:pt>
                <c:pt idx="5">
                  <c:v>0.55220760000000002</c:v>
                </c:pt>
                <c:pt idx="6">
                  <c:v>0.5252975999999997</c:v>
                </c:pt>
                <c:pt idx="7">
                  <c:v>0.4991676000000001</c:v>
                </c:pt>
                <c:pt idx="8">
                  <c:v>0.47381760000000012</c:v>
                </c:pt>
                <c:pt idx="9">
                  <c:v>0.44924759999999997</c:v>
                </c:pt>
                <c:pt idx="10">
                  <c:v>0.4254576000000001</c:v>
                </c:pt>
                <c:pt idx="11">
                  <c:v>0.40244760000000002</c:v>
                </c:pt>
                <c:pt idx="12">
                  <c:v>0.38021760000000016</c:v>
                </c:pt>
                <c:pt idx="13">
                  <c:v>0.35876760000000002</c:v>
                </c:pt>
                <c:pt idx="14">
                  <c:v>0.33809760000000011</c:v>
                </c:pt>
                <c:pt idx="15">
                  <c:v>0.31820760000000009</c:v>
                </c:pt>
                <c:pt idx="16">
                  <c:v>0.29909760000000002</c:v>
                </c:pt>
                <c:pt idx="17">
                  <c:v>0.28076760000000001</c:v>
                </c:pt>
                <c:pt idx="18">
                  <c:v>0.2632176</c:v>
                </c:pt>
                <c:pt idx="19">
                  <c:v>0.24644760000000007</c:v>
                </c:pt>
                <c:pt idx="20">
                  <c:v>0.23045759999999998</c:v>
                </c:pt>
                <c:pt idx="21">
                  <c:v>0.21524760000000004</c:v>
                </c:pt>
                <c:pt idx="22">
                  <c:v>0.20081759999999999</c:v>
                </c:pt>
                <c:pt idx="23">
                  <c:v>0.18716759999999999</c:v>
                </c:pt>
                <c:pt idx="24">
                  <c:v>0.17429760000000005</c:v>
                </c:pt>
                <c:pt idx="25">
                  <c:v>0.16220760000000004</c:v>
                </c:pt>
                <c:pt idx="26">
                  <c:v>0.15089760000000008</c:v>
                </c:pt>
                <c:pt idx="27">
                  <c:v>0.14036760000000004</c:v>
                </c:pt>
                <c:pt idx="28">
                  <c:v>0.1306176</c:v>
                </c:pt>
                <c:pt idx="29">
                  <c:v>0.12164760000000002</c:v>
                </c:pt>
                <c:pt idx="30">
                  <c:v>0.11345760000000001</c:v>
                </c:pt>
                <c:pt idx="31">
                  <c:v>0.10604760000000002</c:v>
                </c:pt>
                <c:pt idx="32">
                  <c:v>9.9417600000000009E-2</c:v>
                </c:pt>
                <c:pt idx="33">
                  <c:v>9.3567600000000098E-2</c:v>
                </c:pt>
                <c:pt idx="34">
                  <c:v>8.8497600000000037E-2</c:v>
                </c:pt>
                <c:pt idx="35">
                  <c:v>8.4207600000000035E-2</c:v>
                </c:pt>
                <c:pt idx="36">
                  <c:v>8.069760000000005E-2</c:v>
                </c:pt>
                <c:pt idx="37">
                  <c:v>7.7967600000000067E-2</c:v>
                </c:pt>
                <c:pt idx="38">
                  <c:v>7.601760000000006E-2</c:v>
                </c:pt>
                <c:pt idx="39">
                  <c:v>7.4847600000000056E-2</c:v>
                </c:pt>
                <c:pt idx="40">
                  <c:v>7.4457600000000068E-2</c:v>
                </c:pt>
                <c:pt idx="41">
                  <c:v>7.4847600000000056E-2</c:v>
                </c:pt>
                <c:pt idx="42">
                  <c:v>7.601760000000006E-2</c:v>
                </c:pt>
                <c:pt idx="43">
                  <c:v>7.7967600000000067E-2</c:v>
                </c:pt>
                <c:pt idx="44">
                  <c:v>8.069760000000005E-2</c:v>
                </c:pt>
                <c:pt idx="45">
                  <c:v>8.4207600000000035E-2</c:v>
                </c:pt>
                <c:pt idx="46">
                  <c:v>8.8497600000000037E-2</c:v>
                </c:pt>
                <c:pt idx="47">
                  <c:v>9.3567600000000098E-2</c:v>
                </c:pt>
                <c:pt idx="48">
                  <c:v>9.9417600000000009E-2</c:v>
                </c:pt>
                <c:pt idx="49">
                  <c:v>0.10604760000000002</c:v>
                </c:pt>
                <c:pt idx="50">
                  <c:v>0.11345760000000001</c:v>
                </c:pt>
                <c:pt idx="51">
                  <c:v>0.12164760000000002</c:v>
                </c:pt>
                <c:pt idx="52">
                  <c:v>0.1306176</c:v>
                </c:pt>
                <c:pt idx="53">
                  <c:v>0.14036760000000004</c:v>
                </c:pt>
                <c:pt idx="54">
                  <c:v>0.15089760000000008</c:v>
                </c:pt>
              </c:numCache>
            </c:numRef>
          </c:yVal>
          <c:smooth val="1"/>
        </c:ser>
        <c:ser>
          <c:idx val="5"/>
          <c:order val="5"/>
          <c:tx>
            <c:strRef>
              <c:f>Feuil1!$V$1</c:f>
              <c:strCache>
                <c:ptCount val="1"/>
                <c:pt idx="0">
                  <c:v>prediction growing/finishing by Mixed</c:v>
                </c:pt>
              </c:strCache>
            </c:strRef>
          </c:tx>
          <c:spPr>
            <a:ln w="38100">
              <a:solidFill>
                <a:srgbClr val="0000FF"/>
              </a:solidFill>
              <a:prstDash val="sysDash"/>
            </a:ln>
          </c:spPr>
          <c:marker>
            <c:symbol val="none"/>
          </c:marker>
          <c:xVal>
            <c:numRef>
              <c:f>Feuil1!$S$2:$S$66</c:f>
              <c:numCache>
                <c:formatCode>General</c:formatCode>
                <c:ptCount val="65"/>
                <c:pt idx="0">
                  <c:v>-40</c:v>
                </c:pt>
                <c:pt idx="1">
                  <c:v>-39</c:v>
                </c:pt>
                <c:pt idx="2">
                  <c:v>-38</c:v>
                </c:pt>
                <c:pt idx="3">
                  <c:v>-37</c:v>
                </c:pt>
                <c:pt idx="4">
                  <c:v>-36</c:v>
                </c:pt>
                <c:pt idx="5">
                  <c:v>-35</c:v>
                </c:pt>
                <c:pt idx="6">
                  <c:v>-34</c:v>
                </c:pt>
                <c:pt idx="7">
                  <c:v>-33</c:v>
                </c:pt>
                <c:pt idx="8">
                  <c:v>-32</c:v>
                </c:pt>
                <c:pt idx="9">
                  <c:v>-31</c:v>
                </c:pt>
                <c:pt idx="10">
                  <c:v>-30</c:v>
                </c:pt>
                <c:pt idx="11">
                  <c:v>-29</c:v>
                </c:pt>
                <c:pt idx="12">
                  <c:v>-28</c:v>
                </c:pt>
                <c:pt idx="13">
                  <c:v>-27</c:v>
                </c:pt>
                <c:pt idx="14">
                  <c:v>-26</c:v>
                </c:pt>
                <c:pt idx="15">
                  <c:v>-25</c:v>
                </c:pt>
                <c:pt idx="16">
                  <c:v>-24</c:v>
                </c:pt>
                <c:pt idx="17">
                  <c:v>-23</c:v>
                </c:pt>
                <c:pt idx="18">
                  <c:v>-22</c:v>
                </c:pt>
                <c:pt idx="19">
                  <c:v>-21</c:v>
                </c:pt>
                <c:pt idx="20">
                  <c:v>-20</c:v>
                </c:pt>
                <c:pt idx="21">
                  <c:v>-19</c:v>
                </c:pt>
                <c:pt idx="22">
                  <c:v>-18</c:v>
                </c:pt>
                <c:pt idx="23">
                  <c:v>-17</c:v>
                </c:pt>
                <c:pt idx="24">
                  <c:v>-16</c:v>
                </c:pt>
                <c:pt idx="25">
                  <c:v>-15</c:v>
                </c:pt>
                <c:pt idx="26">
                  <c:v>-14</c:v>
                </c:pt>
                <c:pt idx="27">
                  <c:v>-13</c:v>
                </c:pt>
                <c:pt idx="28">
                  <c:v>-12</c:v>
                </c:pt>
                <c:pt idx="29">
                  <c:v>-11</c:v>
                </c:pt>
                <c:pt idx="30">
                  <c:v>-10</c:v>
                </c:pt>
                <c:pt idx="31">
                  <c:v>-9</c:v>
                </c:pt>
                <c:pt idx="32">
                  <c:v>-8</c:v>
                </c:pt>
                <c:pt idx="33">
                  <c:v>-7</c:v>
                </c:pt>
                <c:pt idx="34">
                  <c:v>-6</c:v>
                </c:pt>
                <c:pt idx="35">
                  <c:v>-5</c:v>
                </c:pt>
                <c:pt idx="36">
                  <c:v>-4</c:v>
                </c:pt>
                <c:pt idx="37">
                  <c:v>-3</c:v>
                </c:pt>
                <c:pt idx="38">
                  <c:v>-2</c:v>
                </c:pt>
                <c:pt idx="39">
                  <c:v>-1</c:v>
                </c:pt>
                <c:pt idx="40">
                  <c:v>0</c:v>
                </c:pt>
                <c:pt idx="41">
                  <c:v>1</c:v>
                </c:pt>
                <c:pt idx="42">
                  <c:v>2</c:v>
                </c:pt>
                <c:pt idx="43">
                  <c:v>3</c:v>
                </c:pt>
                <c:pt idx="44">
                  <c:v>4</c:v>
                </c:pt>
                <c:pt idx="45">
                  <c:v>5</c:v>
                </c:pt>
                <c:pt idx="46">
                  <c:v>6</c:v>
                </c:pt>
                <c:pt idx="47">
                  <c:v>7</c:v>
                </c:pt>
                <c:pt idx="48">
                  <c:v>8</c:v>
                </c:pt>
                <c:pt idx="49">
                  <c:v>9</c:v>
                </c:pt>
                <c:pt idx="50">
                  <c:v>10</c:v>
                </c:pt>
                <c:pt idx="51">
                  <c:v>11</c:v>
                </c:pt>
                <c:pt idx="52">
                  <c:v>12</c:v>
                </c:pt>
                <c:pt idx="53">
                  <c:v>13</c:v>
                </c:pt>
                <c:pt idx="54">
                  <c:v>14</c:v>
                </c:pt>
                <c:pt idx="55">
                  <c:v>15</c:v>
                </c:pt>
                <c:pt idx="56">
                  <c:v>16</c:v>
                </c:pt>
                <c:pt idx="57">
                  <c:v>17</c:v>
                </c:pt>
                <c:pt idx="58">
                  <c:v>18</c:v>
                </c:pt>
                <c:pt idx="59">
                  <c:v>19</c:v>
                </c:pt>
                <c:pt idx="60">
                  <c:v>20</c:v>
                </c:pt>
                <c:pt idx="61">
                  <c:v>21</c:v>
                </c:pt>
                <c:pt idx="62">
                  <c:v>22</c:v>
                </c:pt>
                <c:pt idx="63">
                  <c:v>23</c:v>
                </c:pt>
                <c:pt idx="64">
                  <c:v>24</c:v>
                </c:pt>
              </c:numCache>
            </c:numRef>
          </c:xVal>
          <c:yVal>
            <c:numRef>
              <c:f>Feuil1!$V$2:$V$66</c:f>
              <c:numCache>
                <c:formatCode>General</c:formatCode>
                <c:ptCount val="65"/>
                <c:pt idx="40">
                  <c:v>0.16180800000000004</c:v>
                </c:pt>
                <c:pt idx="41">
                  <c:v>0.16194800000000009</c:v>
                </c:pt>
                <c:pt idx="42">
                  <c:v>0.16236800000000004</c:v>
                </c:pt>
                <c:pt idx="43">
                  <c:v>0.1630680000000001</c:v>
                </c:pt>
                <c:pt idx="44">
                  <c:v>0.16404800000000008</c:v>
                </c:pt>
                <c:pt idx="45">
                  <c:v>0.16530800000000004</c:v>
                </c:pt>
                <c:pt idx="46">
                  <c:v>0.16684800000000008</c:v>
                </c:pt>
                <c:pt idx="47">
                  <c:v>0.16866800000000004</c:v>
                </c:pt>
                <c:pt idx="48">
                  <c:v>0.17076800000000006</c:v>
                </c:pt>
                <c:pt idx="49">
                  <c:v>0.17314800000000005</c:v>
                </c:pt>
                <c:pt idx="50">
                  <c:v>0.17580799999999999</c:v>
                </c:pt>
                <c:pt idx="51">
                  <c:v>0.17874800000000007</c:v>
                </c:pt>
                <c:pt idx="52">
                  <c:v>0.18196800000000007</c:v>
                </c:pt>
                <c:pt idx="53">
                  <c:v>0.18546800000000008</c:v>
                </c:pt>
                <c:pt idx="54">
                  <c:v>0.18924800000000011</c:v>
                </c:pt>
                <c:pt idx="55">
                  <c:v>0.19330800000000001</c:v>
                </c:pt>
                <c:pt idx="56">
                  <c:v>0.19764800000000005</c:v>
                </c:pt>
                <c:pt idx="57">
                  <c:v>0.20226800000000006</c:v>
                </c:pt>
                <c:pt idx="58">
                  <c:v>0.20716799999999999</c:v>
                </c:pt>
                <c:pt idx="59">
                  <c:v>0.21234800000000004</c:v>
                </c:pt>
                <c:pt idx="60">
                  <c:v>0.21780800000000003</c:v>
                </c:pt>
                <c:pt idx="61">
                  <c:v>0.22354800000000005</c:v>
                </c:pt>
                <c:pt idx="62">
                  <c:v>0.22956800000000005</c:v>
                </c:pt>
                <c:pt idx="63">
                  <c:v>0.23586799999999999</c:v>
                </c:pt>
                <c:pt idx="64">
                  <c:v>0.24244800000000008</c:v>
                </c:pt>
              </c:numCache>
            </c:numRef>
          </c:yVal>
          <c:smooth val="1"/>
        </c:ser>
        <c:axId val="102889344"/>
        <c:axId val="103028224"/>
      </c:scatterChart>
      <c:valAx>
        <c:axId val="102889344"/>
        <c:scaling>
          <c:orientation val="minMax"/>
          <c:max val="30"/>
          <c:min val="-40"/>
        </c:scaling>
        <c:axPos val="b"/>
        <c:title>
          <c:tx>
            <c:rich>
              <a:bodyPr/>
              <a:lstStyle/>
              <a:p>
                <a:pPr>
                  <a:defRPr sz="1100"/>
                </a:pPr>
                <a:r>
                  <a:rPr lang="fr-FR" sz="1100"/>
                  <a:t>Energy balance (kcal/kg BW per day)</a:t>
                </a:r>
              </a:p>
            </c:rich>
          </c:tx>
          <c:layout>
            <c:manualLayout>
              <c:xMode val="edge"/>
              <c:yMode val="edge"/>
              <c:x val="0.43129173645470359"/>
              <c:y val="0.81681687958341609"/>
            </c:manualLayout>
          </c:layout>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03028224"/>
        <c:crosses val="autoZero"/>
        <c:crossBetween val="midCat"/>
        <c:majorUnit val="5"/>
        <c:minorUnit val="5"/>
      </c:valAx>
      <c:valAx>
        <c:axId val="10302822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02889344"/>
        <c:crosses val="autoZero"/>
        <c:crossBetween val="midCat"/>
      </c:valAx>
      <c:spPr>
        <a:solidFill>
          <a:srgbClr val="FFFFFF"/>
        </a:solidFill>
        <a:ln w="12700">
          <a:solidFill>
            <a:srgbClr val="808080"/>
          </a:solidFill>
          <a:prstDash val="solid"/>
        </a:ln>
      </c:spPr>
    </c:plotArea>
    <c:legend>
      <c:legendPos val="b"/>
      <c:layout>
        <c:manualLayout>
          <c:xMode val="edge"/>
          <c:yMode val="edge"/>
          <c:x val="1.8337408312958447E-2"/>
          <c:y val="0.88100686498855851"/>
          <c:w val="0.96332518337408335"/>
          <c:h val="0.10297482837528607"/>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GB"/>
  <c:chart>
    <c:plotArea>
      <c:layout>
        <c:manualLayout>
          <c:layoutTarget val="inner"/>
          <c:xMode val="edge"/>
          <c:yMode val="edge"/>
          <c:x val="4.2735042735042736E-2"/>
          <c:y val="0.10273996572346264"/>
          <c:w val="0.93773005586325719"/>
          <c:h val="0.678083703632687"/>
        </c:manualLayout>
      </c:layout>
      <c:scatterChart>
        <c:scatterStyle val="smoothMarker"/>
        <c:ser>
          <c:idx val="0"/>
          <c:order val="0"/>
          <c:tx>
            <c:strRef>
              <c:f>Feuil1!$J$1</c:f>
              <c:strCache>
                <c:ptCount val="1"/>
                <c:pt idx="0">
                  <c:v>NHF observed non productive</c:v>
                </c:pt>
              </c:strCache>
            </c:strRef>
          </c:tx>
          <c:spPr>
            <a:ln w="28575">
              <a:noFill/>
            </a:ln>
          </c:spPr>
          <c:marker>
            <c:symbol val="square"/>
            <c:size val="5"/>
            <c:spPr>
              <a:solidFill>
                <a:srgbClr val="008000"/>
              </a:solidFill>
              <a:ln>
                <a:solidFill>
                  <a:srgbClr val="008000"/>
                </a:solidFill>
                <a:prstDash val="solid"/>
              </a:ln>
            </c:spPr>
          </c:marker>
          <c:xVal>
            <c:numRef>
              <c:f>Feuil1!$L$2:$L$55</c:f>
              <c:numCache>
                <c:formatCode>General</c:formatCode>
                <c:ptCount val="54"/>
                <c:pt idx="0">
                  <c:v>0.12620000000000001</c:v>
                </c:pt>
                <c:pt idx="1">
                  <c:v>0.12620000000000001</c:v>
                </c:pt>
                <c:pt idx="2">
                  <c:v>-16.96299999999999</c:v>
                </c:pt>
                <c:pt idx="3">
                  <c:v>-16.293800000000001</c:v>
                </c:pt>
                <c:pt idx="4">
                  <c:v>-12.270800000000001</c:v>
                </c:pt>
                <c:pt idx="5">
                  <c:v>-3.2063000000000001</c:v>
                </c:pt>
                <c:pt idx="6">
                  <c:v>0.17990000000000006</c:v>
                </c:pt>
                <c:pt idx="7">
                  <c:v>1.3731</c:v>
                </c:pt>
                <c:pt idx="8">
                  <c:v>6.1513999999999998</c:v>
                </c:pt>
                <c:pt idx="9">
                  <c:v>3.712299999999999</c:v>
                </c:pt>
                <c:pt idx="10">
                  <c:v>18.560199999999984</c:v>
                </c:pt>
                <c:pt idx="11">
                  <c:v>16.672899999999991</c:v>
                </c:pt>
                <c:pt idx="12">
                  <c:v>17.471299999999992</c:v>
                </c:pt>
                <c:pt idx="13">
                  <c:v>14.6722</c:v>
                </c:pt>
                <c:pt idx="14">
                  <c:v>16.352699999999988</c:v>
                </c:pt>
                <c:pt idx="15">
                  <c:v>13.487300000000001</c:v>
                </c:pt>
                <c:pt idx="16">
                  <c:v>3.9434999999999998</c:v>
                </c:pt>
                <c:pt idx="17">
                  <c:v>14.012600000000004</c:v>
                </c:pt>
                <c:pt idx="18">
                  <c:v>-15.2887</c:v>
                </c:pt>
                <c:pt idx="19">
                  <c:v>-9.1159000000000034</c:v>
                </c:pt>
                <c:pt idx="20">
                  <c:v>6.6356999999999999</c:v>
                </c:pt>
                <c:pt idx="21">
                  <c:v>4.5354000000000001</c:v>
                </c:pt>
                <c:pt idx="22">
                  <c:v>4.2931999999999997</c:v>
                </c:pt>
                <c:pt idx="23">
                  <c:v>15.430200000000001</c:v>
                </c:pt>
                <c:pt idx="24">
                  <c:v>3.1561999999999997</c:v>
                </c:pt>
                <c:pt idx="25">
                  <c:v>0.65510000000000024</c:v>
                </c:pt>
                <c:pt idx="26">
                  <c:v>-11.982600000000003</c:v>
                </c:pt>
                <c:pt idx="27">
                  <c:v>-23.956499999999984</c:v>
                </c:pt>
                <c:pt idx="28">
                  <c:v>4.4365000000000014</c:v>
                </c:pt>
                <c:pt idx="29">
                  <c:v>-36.236200000000011</c:v>
                </c:pt>
                <c:pt idx="30">
                  <c:v>2.825299999999999</c:v>
                </c:pt>
                <c:pt idx="31">
                  <c:v>2.4845000000000002</c:v>
                </c:pt>
                <c:pt idx="32">
                  <c:v>15.110200000000001</c:v>
                </c:pt>
                <c:pt idx="33">
                  <c:v>14.732200000000001</c:v>
                </c:pt>
                <c:pt idx="34">
                  <c:v>18.165500000000002</c:v>
                </c:pt>
                <c:pt idx="35">
                  <c:v>15.6729</c:v>
                </c:pt>
                <c:pt idx="36">
                  <c:v>15.667200000000001</c:v>
                </c:pt>
                <c:pt idx="37">
                  <c:v>18.42029999999999</c:v>
                </c:pt>
                <c:pt idx="38">
                  <c:v>-5.6747999999999985</c:v>
                </c:pt>
                <c:pt idx="39">
                  <c:v>-20.341200000000001</c:v>
                </c:pt>
                <c:pt idx="40">
                  <c:v>11.1936</c:v>
                </c:pt>
                <c:pt idx="41">
                  <c:v>7.4691000000000001</c:v>
                </c:pt>
                <c:pt idx="42">
                  <c:v>8.6869000000000014</c:v>
                </c:pt>
                <c:pt idx="43">
                  <c:v>4.2866000000000017</c:v>
                </c:pt>
                <c:pt idx="44">
                  <c:v>3.0259</c:v>
                </c:pt>
                <c:pt idx="45">
                  <c:v>-14.7689</c:v>
                </c:pt>
                <c:pt idx="46">
                  <c:v>-12.902000000000003</c:v>
                </c:pt>
                <c:pt idx="47">
                  <c:v>-7.0587999999999997</c:v>
                </c:pt>
                <c:pt idx="48">
                  <c:v>5.4815000000000014</c:v>
                </c:pt>
                <c:pt idx="49">
                  <c:v>17.325299999999988</c:v>
                </c:pt>
                <c:pt idx="50">
                  <c:v>4.6068999999999996</c:v>
                </c:pt>
                <c:pt idx="51">
                  <c:v>19.665800000000001</c:v>
                </c:pt>
                <c:pt idx="52">
                  <c:v>3.9359999999999991</c:v>
                </c:pt>
                <c:pt idx="53">
                  <c:v>7.0747</c:v>
                </c:pt>
              </c:numCache>
            </c:numRef>
          </c:xVal>
          <c:yVal>
            <c:numRef>
              <c:f>Feuil1!$J$2:$J$55</c:f>
              <c:numCache>
                <c:formatCode>General</c:formatCode>
                <c:ptCount val="54"/>
                <c:pt idx="6">
                  <c:v>7.5000000000000011E-2</c:v>
                </c:pt>
                <c:pt idx="7">
                  <c:v>0.10199999999999998</c:v>
                </c:pt>
                <c:pt idx="16">
                  <c:v>0.3600000000000001</c:v>
                </c:pt>
                <c:pt idx="17">
                  <c:v>0.52600000000000002</c:v>
                </c:pt>
                <c:pt idx="18">
                  <c:v>0.19400000000000001</c:v>
                </c:pt>
                <c:pt idx="19">
                  <c:v>0.17200000000000001</c:v>
                </c:pt>
                <c:pt idx="20">
                  <c:v>0.24300000000000005</c:v>
                </c:pt>
                <c:pt idx="21">
                  <c:v>0.17200000000000001</c:v>
                </c:pt>
                <c:pt idx="22">
                  <c:v>0.15000000000000005</c:v>
                </c:pt>
                <c:pt idx="23">
                  <c:v>0.29400000000000009</c:v>
                </c:pt>
                <c:pt idx="26">
                  <c:v>0.27600000000000002</c:v>
                </c:pt>
                <c:pt idx="27">
                  <c:v>0.39500000000000013</c:v>
                </c:pt>
                <c:pt idx="28">
                  <c:v>4.3000000000000003E-2</c:v>
                </c:pt>
                <c:pt idx="29">
                  <c:v>0.34100000000000008</c:v>
                </c:pt>
                <c:pt idx="38">
                  <c:v>0.13200000000000001</c:v>
                </c:pt>
                <c:pt idx="39">
                  <c:v>0.16400000000000001</c:v>
                </c:pt>
                <c:pt idx="40">
                  <c:v>0.17</c:v>
                </c:pt>
                <c:pt idx="41">
                  <c:v>0.161</c:v>
                </c:pt>
                <c:pt idx="42">
                  <c:v>0.11600000000000002</c:v>
                </c:pt>
                <c:pt idx="43">
                  <c:v>0.15200000000000005</c:v>
                </c:pt>
                <c:pt idx="44">
                  <c:v>0.19500000000000001</c:v>
                </c:pt>
                <c:pt idx="45">
                  <c:v>0.12300000000000003</c:v>
                </c:pt>
              </c:numCache>
            </c:numRef>
          </c:yVal>
          <c:smooth val="1"/>
        </c:ser>
        <c:ser>
          <c:idx val="1"/>
          <c:order val="1"/>
          <c:tx>
            <c:strRef>
              <c:f>Feuil1!$K$1</c:f>
              <c:strCache>
                <c:ptCount val="1"/>
                <c:pt idx="0">
                  <c:v>NHF observed growing/finishing</c:v>
                </c:pt>
              </c:strCache>
            </c:strRef>
          </c:tx>
          <c:spPr>
            <a:ln w="28575">
              <a:noFill/>
            </a:ln>
          </c:spPr>
          <c:marker>
            <c:symbol val="square"/>
            <c:size val="5"/>
            <c:spPr>
              <a:solidFill>
                <a:srgbClr val="0000FF"/>
              </a:solidFill>
              <a:ln>
                <a:solidFill>
                  <a:srgbClr val="0000FF"/>
                </a:solidFill>
                <a:prstDash val="solid"/>
              </a:ln>
            </c:spPr>
          </c:marker>
          <c:xVal>
            <c:numRef>
              <c:f>Feuil1!$L$2:$L$55</c:f>
              <c:numCache>
                <c:formatCode>General</c:formatCode>
                <c:ptCount val="54"/>
                <c:pt idx="0">
                  <c:v>0.12620000000000001</c:v>
                </c:pt>
                <c:pt idx="1">
                  <c:v>0.12620000000000001</c:v>
                </c:pt>
                <c:pt idx="2">
                  <c:v>-16.96299999999999</c:v>
                </c:pt>
                <c:pt idx="3">
                  <c:v>-16.293800000000001</c:v>
                </c:pt>
                <c:pt idx="4">
                  <c:v>-12.270800000000001</c:v>
                </c:pt>
                <c:pt idx="5">
                  <c:v>-3.2063000000000001</c:v>
                </c:pt>
                <c:pt idx="6">
                  <c:v>0.17990000000000006</c:v>
                </c:pt>
                <c:pt idx="7">
                  <c:v>1.3731</c:v>
                </c:pt>
                <c:pt idx="8">
                  <c:v>6.1513999999999998</c:v>
                </c:pt>
                <c:pt idx="9">
                  <c:v>3.712299999999999</c:v>
                </c:pt>
                <c:pt idx="10">
                  <c:v>18.560199999999984</c:v>
                </c:pt>
                <c:pt idx="11">
                  <c:v>16.672899999999991</c:v>
                </c:pt>
                <c:pt idx="12">
                  <c:v>17.471299999999992</c:v>
                </c:pt>
                <c:pt idx="13">
                  <c:v>14.6722</c:v>
                </c:pt>
                <c:pt idx="14">
                  <c:v>16.352699999999988</c:v>
                </c:pt>
                <c:pt idx="15">
                  <c:v>13.487300000000001</c:v>
                </c:pt>
                <c:pt idx="16">
                  <c:v>3.9434999999999998</c:v>
                </c:pt>
                <c:pt idx="17">
                  <c:v>14.012600000000004</c:v>
                </c:pt>
                <c:pt idx="18">
                  <c:v>-15.2887</c:v>
                </c:pt>
                <c:pt idx="19">
                  <c:v>-9.1159000000000034</c:v>
                </c:pt>
                <c:pt idx="20">
                  <c:v>6.6356999999999999</c:v>
                </c:pt>
                <c:pt idx="21">
                  <c:v>4.5354000000000001</c:v>
                </c:pt>
                <c:pt idx="22">
                  <c:v>4.2931999999999997</c:v>
                </c:pt>
                <c:pt idx="23">
                  <c:v>15.430200000000001</c:v>
                </c:pt>
                <c:pt idx="24">
                  <c:v>3.1561999999999997</c:v>
                </c:pt>
                <c:pt idx="25">
                  <c:v>0.65510000000000024</c:v>
                </c:pt>
                <c:pt idx="26">
                  <c:v>-11.982600000000003</c:v>
                </c:pt>
                <c:pt idx="27">
                  <c:v>-23.956499999999984</c:v>
                </c:pt>
                <c:pt idx="28">
                  <c:v>4.4365000000000014</c:v>
                </c:pt>
                <c:pt idx="29">
                  <c:v>-36.236200000000011</c:v>
                </c:pt>
                <c:pt idx="30">
                  <c:v>2.825299999999999</c:v>
                </c:pt>
                <c:pt idx="31">
                  <c:v>2.4845000000000002</c:v>
                </c:pt>
                <c:pt idx="32">
                  <c:v>15.110200000000001</c:v>
                </c:pt>
                <c:pt idx="33">
                  <c:v>14.732200000000001</c:v>
                </c:pt>
                <c:pt idx="34">
                  <c:v>18.165500000000002</c:v>
                </c:pt>
                <c:pt idx="35">
                  <c:v>15.6729</c:v>
                </c:pt>
                <c:pt idx="36">
                  <c:v>15.667200000000001</c:v>
                </c:pt>
                <c:pt idx="37">
                  <c:v>18.42029999999999</c:v>
                </c:pt>
                <c:pt idx="38">
                  <c:v>-5.6747999999999985</c:v>
                </c:pt>
                <c:pt idx="39">
                  <c:v>-20.341200000000001</c:v>
                </c:pt>
                <c:pt idx="40">
                  <c:v>11.1936</c:v>
                </c:pt>
                <c:pt idx="41">
                  <c:v>7.4691000000000001</c:v>
                </c:pt>
                <c:pt idx="42">
                  <c:v>8.6869000000000014</c:v>
                </c:pt>
                <c:pt idx="43">
                  <c:v>4.2866000000000017</c:v>
                </c:pt>
                <c:pt idx="44">
                  <c:v>3.0259</c:v>
                </c:pt>
                <c:pt idx="45">
                  <c:v>-14.7689</c:v>
                </c:pt>
                <c:pt idx="46">
                  <c:v>-12.902000000000003</c:v>
                </c:pt>
                <c:pt idx="47">
                  <c:v>-7.0587999999999997</c:v>
                </c:pt>
                <c:pt idx="48">
                  <c:v>5.4815000000000014</c:v>
                </c:pt>
                <c:pt idx="49">
                  <c:v>17.325299999999988</c:v>
                </c:pt>
                <c:pt idx="50">
                  <c:v>4.6068999999999996</c:v>
                </c:pt>
                <c:pt idx="51">
                  <c:v>19.665800000000001</c:v>
                </c:pt>
                <c:pt idx="52">
                  <c:v>3.9359999999999991</c:v>
                </c:pt>
                <c:pt idx="53">
                  <c:v>7.0747</c:v>
                </c:pt>
              </c:numCache>
            </c:numRef>
          </c:xVal>
          <c:yVal>
            <c:numRef>
              <c:f>Feuil1!$K$2:$K$55</c:f>
              <c:numCache>
                <c:formatCode>General</c:formatCode>
                <c:ptCount val="54"/>
                <c:pt idx="10">
                  <c:v>0.22900000000000001</c:v>
                </c:pt>
                <c:pt idx="11">
                  <c:v>0.27600000000000002</c:v>
                </c:pt>
                <c:pt idx="12">
                  <c:v>0.28800000000000009</c:v>
                </c:pt>
                <c:pt idx="13">
                  <c:v>0.16900000000000001</c:v>
                </c:pt>
                <c:pt idx="14">
                  <c:v>0.39600000000000013</c:v>
                </c:pt>
                <c:pt idx="15">
                  <c:v>0.27200000000000002</c:v>
                </c:pt>
                <c:pt idx="24">
                  <c:v>0.10900000000000003</c:v>
                </c:pt>
                <c:pt idx="25">
                  <c:v>9.9000000000000046E-2</c:v>
                </c:pt>
                <c:pt idx="30">
                  <c:v>0.19</c:v>
                </c:pt>
                <c:pt idx="31">
                  <c:v>0.14500000000000005</c:v>
                </c:pt>
                <c:pt idx="32">
                  <c:v>0.28400000000000009</c:v>
                </c:pt>
                <c:pt idx="33">
                  <c:v>0.3000000000000001</c:v>
                </c:pt>
                <c:pt idx="34">
                  <c:v>0.19500000000000001</c:v>
                </c:pt>
                <c:pt idx="35">
                  <c:v>0.23400000000000001</c:v>
                </c:pt>
                <c:pt idx="36">
                  <c:v>0.23400000000000001</c:v>
                </c:pt>
                <c:pt idx="37">
                  <c:v>0.23700000000000004</c:v>
                </c:pt>
                <c:pt idx="48">
                  <c:v>0.23500000000000001</c:v>
                </c:pt>
                <c:pt idx="49">
                  <c:v>0.36700000000000016</c:v>
                </c:pt>
                <c:pt idx="50">
                  <c:v>0.15900000000000006</c:v>
                </c:pt>
                <c:pt idx="51">
                  <c:v>0.28900000000000009</c:v>
                </c:pt>
                <c:pt idx="52">
                  <c:v>0.253</c:v>
                </c:pt>
                <c:pt idx="53">
                  <c:v>0.251</c:v>
                </c:pt>
              </c:numCache>
            </c:numRef>
          </c:yVal>
          <c:smooth val="1"/>
        </c:ser>
        <c:ser>
          <c:idx val="2"/>
          <c:order val="2"/>
          <c:tx>
            <c:strRef>
              <c:f>Feuil1!$I$1</c:f>
              <c:strCache>
                <c:ptCount val="1"/>
                <c:pt idx="0">
                  <c:v>NHF observed lactation</c:v>
                </c:pt>
              </c:strCache>
            </c:strRef>
          </c:tx>
          <c:spPr>
            <a:ln w="28575">
              <a:noFill/>
            </a:ln>
          </c:spPr>
          <c:marker>
            <c:symbol val="square"/>
            <c:size val="5"/>
            <c:spPr>
              <a:solidFill>
                <a:srgbClr val="FF0000"/>
              </a:solidFill>
              <a:ln>
                <a:solidFill>
                  <a:srgbClr val="FF0000"/>
                </a:solidFill>
                <a:prstDash val="solid"/>
              </a:ln>
            </c:spPr>
          </c:marker>
          <c:xVal>
            <c:numRef>
              <c:f>Feuil1!$L$2:$L$55</c:f>
              <c:numCache>
                <c:formatCode>General</c:formatCode>
                <c:ptCount val="54"/>
                <c:pt idx="0">
                  <c:v>0.12620000000000001</c:v>
                </c:pt>
                <c:pt idx="1">
                  <c:v>0.12620000000000001</c:v>
                </c:pt>
                <c:pt idx="2">
                  <c:v>-16.96299999999999</c:v>
                </c:pt>
                <c:pt idx="3">
                  <c:v>-16.293800000000001</c:v>
                </c:pt>
                <c:pt idx="4">
                  <c:v>-12.270800000000001</c:v>
                </c:pt>
                <c:pt idx="5">
                  <c:v>-3.2063000000000001</c:v>
                </c:pt>
                <c:pt idx="6">
                  <c:v>0.17990000000000006</c:v>
                </c:pt>
                <c:pt idx="7">
                  <c:v>1.3731</c:v>
                </c:pt>
                <c:pt idx="8">
                  <c:v>6.1513999999999998</c:v>
                </c:pt>
                <c:pt idx="9">
                  <c:v>3.712299999999999</c:v>
                </c:pt>
                <c:pt idx="10">
                  <c:v>18.560199999999984</c:v>
                </c:pt>
                <c:pt idx="11">
                  <c:v>16.672899999999991</c:v>
                </c:pt>
                <c:pt idx="12">
                  <c:v>17.471299999999992</c:v>
                </c:pt>
                <c:pt idx="13">
                  <c:v>14.6722</c:v>
                </c:pt>
                <c:pt idx="14">
                  <c:v>16.352699999999988</c:v>
                </c:pt>
                <c:pt idx="15">
                  <c:v>13.487300000000001</c:v>
                </c:pt>
                <c:pt idx="16">
                  <c:v>3.9434999999999998</c:v>
                </c:pt>
                <c:pt idx="17">
                  <c:v>14.012600000000004</c:v>
                </c:pt>
                <c:pt idx="18">
                  <c:v>-15.2887</c:v>
                </c:pt>
                <c:pt idx="19">
                  <c:v>-9.1159000000000034</c:v>
                </c:pt>
                <c:pt idx="20">
                  <c:v>6.6356999999999999</c:v>
                </c:pt>
                <c:pt idx="21">
                  <c:v>4.5354000000000001</c:v>
                </c:pt>
                <c:pt idx="22">
                  <c:v>4.2931999999999997</c:v>
                </c:pt>
                <c:pt idx="23">
                  <c:v>15.430200000000001</c:v>
                </c:pt>
                <c:pt idx="24">
                  <c:v>3.1561999999999997</c:v>
                </c:pt>
                <c:pt idx="25">
                  <c:v>0.65510000000000024</c:v>
                </c:pt>
                <c:pt idx="26">
                  <c:v>-11.982600000000003</c:v>
                </c:pt>
                <c:pt idx="27">
                  <c:v>-23.956499999999984</c:v>
                </c:pt>
                <c:pt idx="28">
                  <c:v>4.4365000000000014</c:v>
                </c:pt>
                <c:pt idx="29">
                  <c:v>-36.236200000000011</c:v>
                </c:pt>
                <c:pt idx="30">
                  <c:v>2.825299999999999</c:v>
                </c:pt>
                <c:pt idx="31">
                  <c:v>2.4845000000000002</c:v>
                </c:pt>
                <c:pt idx="32">
                  <c:v>15.110200000000001</c:v>
                </c:pt>
                <c:pt idx="33">
                  <c:v>14.732200000000001</c:v>
                </c:pt>
                <c:pt idx="34">
                  <c:v>18.165500000000002</c:v>
                </c:pt>
                <c:pt idx="35">
                  <c:v>15.6729</c:v>
                </c:pt>
                <c:pt idx="36">
                  <c:v>15.667200000000001</c:v>
                </c:pt>
                <c:pt idx="37">
                  <c:v>18.42029999999999</c:v>
                </c:pt>
                <c:pt idx="38">
                  <c:v>-5.6747999999999985</c:v>
                </c:pt>
                <c:pt idx="39">
                  <c:v>-20.341200000000001</c:v>
                </c:pt>
                <c:pt idx="40">
                  <c:v>11.1936</c:v>
                </c:pt>
                <c:pt idx="41">
                  <c:v>7.4691000000000001</c:v>
                </c:pt>
                <c:pt idx="42">
                  <c:v>8.6869000000000014</c:v>
                </c:pt>
                <c:pt idx="43">
                  <c:v>4.2866000000000017</c:v>
                </c:pt>
                <c:pt idx="44">
                  <c:v>3.0259</c:v>
                </c:pt>
                <c:pt idx="45">
                  <c:v>-14.7689</c:v>
                </c:pt>
                <c:pt idx="46">
                  <c:v>-12.902000000000003</c:v>
                </c:pt>
                <c:pt idx="47">
                  <c:v>-7.0587999999999997</c:v>
                </c:pt>
                <c:pt idx="48">
                  <c:v>5.4815000000000014</c:v>
                </c:pt>
                <c:pt idx="49">
                  <c:v>17.325299999999988</c:v>
                </c:pt>
                <c:pt idx="50">
                  <c:v>4.6068999999999996</c:v>
                </c:pt>
                <c:pt idx="51">
                  <c:v>19.665800000000001</c:v>
                </c:pt>
                <c:pt idx="52">
                  <c:v>3.9359999999999991</c:v>
                </c:pt>
                <c:pt idx="53">
                  <c:v>7.0747</c:v>
                </c:pt>
              </c:numCache>
            </c:numRef>
          </c:xVal>
          <c:yVal>
            <c:numRef>
              <c:f>Feuil1!$I$2:$I$55</c:f>
              <c:numCache>
                <c:formatCode>General</c:formatCode>
                <c:ptCount val="54"/>
                <c:pt idx="0">
                  <c:v>0.221</c:v>
                </c:pt>
                <c:pt idx="1">
                  <c:v>0.251</c:v>
                </c:pt>
                <c:pt idx="2">
                  <c:v>0.67900000000000038</c:v>
                </c:pt>
                <c:pt idx="3">
                  <c:v>0.61800000000000022</c:v>
                </c:pt>
                <c:pt idx="4">
                  <c:v>0.65600000000000025</c:v>
                </c:pt>
                <c:pt idx="5">
                  <c:v>0.40200000000000002</c:v>
                </c:pt>
                <c:pt idx="8">
                  <c:v>0.15900000000000006</c:v>
                </c:pt>
                <c:pt idx="9">
                  <c:v>0.14300000000000004</c:v>
                </c:pt>
                <c:pt idx="46">
                  <c:v>0.62500000000000022</c:v>
                </c:pt>
                <c:pt idx="47">
                  <c:v>0.47800000000000009</c:v>
                </c:pt>
              </c:numCache>
            </c:numRef>
          </c:yVal>
          <c:smooth val="1"/>
        </c:ser>
        <c:axId val="102457344"/>
        <c:axId val="102459264"/>
      </c:scatterChart>
      <c:valAx>
        <c:axId val="102457344"/>
        <c:scaling>
          <c:orientation val="minMax"/>
          <c:max val="30"/>
          <c:min val="-40"/>
        </c:scaling>
        <c:axPos val="b"/>
        <c:title>
          <c:tx>
            <c:rich>
              <a:bodyPr/>
              <a:lstStyle/>
              <a:p>
                <a:pPr>
                  <a:defRPr sz="600"/>
                </a:pPr>
                <a:r>
                  <a:rPr lang="fr-FR" sz="1100" b="0" i="0" baseline="0">
                    <a:effectLst/>
                  </a:rPr>
                  <a:t>Energy balance (kcal/kg BW per day)</a:t>
                </a:r>
                <a:endParaRPr lang="fr-FR" sz="600">
                  <a:effectLst/>
                </a:endParaRPr>
              </a:p>
            </c:rich>
          </c:tx>
          <c:layout>
            <c:manualLayout>
              <c:xMode val="edge"/>
              <c:yMode val="edge"/>
              <c:x val="0.43051746736786145"/>
              <c:y val="0.84082886899411591"/>
            </c:manualLayout>
          </c:layout>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02459264"/>
        <c:crosses val="autoZero"/>
        <c:crossBetween val="midCat"/>
        <c:majorUnit val="5"/>
        <c:minorUnit val="5"/>
      </c:valAx>
      <c:valAx>
        <c:axId val="1024592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02457344"/>
        <c:crosses val="autoZero"/>
        <c:crossBetween val="midCat"/>
      </c:valAx>
      <c:spPr>
        <a:noFill/>
        <a:ln w="25400">
          <a:noFill/>
        </a:ln>
      </c:spPr>
    </c:plotArea>
    <c:legend>
      <c:legendPos val="b"/>
      <c:layout>
        <c:manualLayout>
          <c:xMode val="edge"/>
          <c:yMode val="edge"/>
          <c:x val="0.17216137744364488"/>
          <c:y val="0.92922581608923782"/>
          <c:w val="0.65689944017504265"/>
          <c:h val="5.4794642717792885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0.41687</cdr:x>
      <cdr:y>0.00229</cdr:y>
    </cdr:from>
    <cdr:to>
      <cdr:x>0.74328</cdr:x>
      <cdr:y>0.09153</cdr:y>
    </cdr:to>
    <cdr:sp macro="" textlink="">
      <cdr:nvSpPr>
        <cdr:cNvPr id="2" name="ZoneTexte 1"/>
        <cdr:cNvSpPr txBox="1"/>
      </cdr:nvSpPr>
      <cdr:spPr>
        <a:xfrm xmlns:a="http://schemas.openxmlformats.org/drawingml/2006/main">
          <a:off x="3248024" y="9525"/>
          <a:ext cx="2543175" cy="371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100">
              <a:latin typeface="Arial" pitchFamily="34" charset="0"/>
              <a:cs typeface="Arial" pitchFamily="34" charset="0"/>
            </a:rPr>
            <a:t>NHF - BHBA (mmol/kg BW per hour)</a:t>
          </a:r>
        </a:p>
      </cdr:txBody>
    </cdr:sp>
  </cdr:relSizeAnchor>
</c:userShapes>
</file>

<file path=word/drawings/drawing2.xml><?xml version="1.0" encoding="utf-8"?>
<c:userShapes xmlns:c="http://schemas.openxmlformats.org/drawingml/2006/chart">
  <cdr:relSizeAnchor xmlns:cdr="http://schemas.openxmlformats.org/drawingml/2006/chartDrawing">
    <cdr:from>
      <cdr:x>0.23565</cdr:x>
      <cdr:y>0.25342</cdr:y>
    </cdr:from>
    <cdr:to>
      <cdr:x>0.35287</cdr:x>
      <cdr:y>0.4726</cdr:y>
    </cdr:to>
    <cdr:sp macro="" textlink="">
      <cdr:nvSpPr>
        <cdr:cNvPr id="2" name="ZoneTexte 1"/>
        <cdr:cNvSpPr txBox="1"/>
      </cdr:nvSpPr>
      <cdr:spPr>
        <a:xfrm xmlns:a="http://schemas.openxmlformats.org/drawingml/2006/main">
          <a:off x="1838325" y="10572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0.38706</cdr:x>
      <cdr:y>0.01142</cdr:y>
    </cdr:from>
    <cdr:to>
      <cdr:x>0.75946</cdr:x>
      <cdr:y>0.07534</cdr:y>
    </cdr:to>
    <cdr:sp macro="" textlink="">
      <cdr:nvSpPr>
        <cdr:cNvPr id="3" name="ZoneTexte 2"/>
        <cdr:cNvSpPr txBox="1"/>
      </cdr:nvSpPr>
      <cdr:spPr>
        <a:xfrm xmlns:a="http://schemas.openxmlformats.org/drawingml/2006/main">
          <a:off x="3019424" y="47625"/>
          <a:ext cx="290512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fr-FR" sz="1100">
              <a:effectLst/>
              <a:latin typeface="Arial" pitchFamily="34" charset="0"/>
              <a:ea typeface="+mn-ea"/>
              <a:cs typeface="Arial" pitchFamily="34" charset="0"/>
            </a:rPr>
            <a:t>NHF - BHBA (mmol/kg BW per hour)</a:t>
          </a:r>
          <a:endParaRPr lang="fr-FR" sz="1100">
            <a:effectLst/>
            <a:latin typeface="Arial" pitchFamily="34" charset="0"/>
            <a:cs typeface="Arial" pitchFamily="34" charset="0"/>
          </a:endParaRPr>
        </a:p>
        <a:p xmlns:a="http://schemas.openxmlformats.org/drawingml/2006/main">
          <a:endParaRPr lang="fr-FR" sz="1100">
            <a:latin typeface="Arial" pitchFamily="34" charset="0"/>
            <a:cs typeface="Arial" pitchFamily="34"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1779</Words>
  <Characters>10146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iortigues</dc:creator>
  <cp:keywords/>
  <dc:description/>
  <cp:lastModifiedBy>Nadine Miraux</cp:lastModifiedBy>
  <cp:revision>8</cp:revision>
  <cp:lastPrinted>2013-08-19T14:52:00Z</cp:lastPrinted>
  <dcterms:created xsi:type="dcterms:W3CDTF">2014-05-05T14:58:00Z</dcterms:created>
  <dcterms:modified xsi:type="dcterms:W3CDTF">2014-10-10T12:18:00Z</dcterms:modified>
</cp:coreProperties>
</file>