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8" w:rsidRPr="009639DD" w:rsidRDefault="00024CD8" w:rsidP="00024CD8">
      <w:pPr>
        <w:spacing w:line="48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0C25BC" w:rsidRPr="004A398F" w:rsidRDefault="009639DD" w:rsidP="009639DD">
      <w:pPr>
        <w:tabs>
          <w:tab w:val="center" w:pos="4513"/>
        </w:tabs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b/>
          <w:color w:val="000000" w:themeColor="text1"/>
          <w:sz w:val="24"/>
          <w:szCs w:val="24"/>
        </w:rPr>
        <w:t>Supplementary Material S1</w:t>
      </w:r>
      <w:r w:rsidR="007B1993" w:rsidRPr="004A398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24CD8" w:rsidRPr="004A398F" w:rsidRDefault="00CD0004" w:rsidP="009639DD">
      <w:pPr>
        <w:tabs>
          <w:tab w:val="center" w:pos="4513"/>
        </w:tabs>
        <w:autoSpaceDE w:val="0"/>
        <w:autoSpaceDN w:val="0"/>
        <w:adjustRightInd w:val="0"/>
        <w:spacing w:after="240" w:line="480" w:lineRule="auto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b/>
          <w:color w:val="000000" w:themeColor="text1"/>
          <w:sz w:val="24"/>
          <w:szCs w:val="24"/>
        </w:rPr>
        <w:t>Models for S</w:t>
      </w:r>
      <w:r w:rsidR="00024CD8" w:rsidRPr="004A398F">
        <w:rPr>
          <w:rFonts w:ascii="Arial" w:hAnsi="Arial" w:cs="Arial"/>
          <w:b/>
          <w:color w:val="000000" w:themeColor="text1"/>
          <w:sz w:val="24"/>
          <w:szCs w:val="24"/>
        </w:rPr>
        <w:t>tatistical analysis</w:t>
      </w:r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The model for DMY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was defined as:</w:t>
      </w:r>
    </w:p>
    <w:p w:rsidR="00024CD8" w:rsidRPr="004A398F" w:rsidRDefault="0055345F" w:rsidP="00024CD8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ijktrv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OGL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EC×PO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EC×OGL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l=0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1,l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</m:t>
                  </m:r>
                </m:sup>
              </m:sSubSup>
            </m:e>
          </m:nary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l=0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2,l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LS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r,t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</m:t>
                  </m:r>
                </m:sup>
              </m:sSubSup>
            </m:e>
          </m:nary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l=0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1,l,r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t,r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</m:t>
                  </m:r>
                </m:sup>
              </m:sSubSup>
            </m:e>
          </m:nary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l=0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2,l,rj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t,rj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</m:t>
                  </m:r>
                </m:sup>
              </m:sSubSup>
            </m:e>
          </m:nary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ijktrv</m:t>
              </m:r>
            </m:sub>
          </m:sSub>
        </m:oMath>
      </m:oMathPara>
    </w:p>
    <w:p w:rsidR="00230BDF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Where: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ijktr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is daily milk yield </w:t>
      </w:r>
      <w:r w:rsidR="0070269E" w:rsidRPr="004A398F"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="0070269E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spellEnd"/>
      <w:r w:rsidR="009A5FB7" w:rsidRPr="004A398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environmental conditions,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="008E3381" w:rsidRPr="004A398F">
        <w:rPr>
          <w:rFonts w:ascii="Arial" w:hAnsi="Arial" w:cs="Arial"/>
          <w:i/>
          <w:color w:val="000000" w:themeColor="text1"/>
          <w:sz w:val="24"/>
          <w:szCs w:val="24"/>
        </w:rPr>
        <w:t>j</w:t>
      </w:r>
      <w:r w:rsidR="008E3381" w:rsidRPr="004A398F">
        <w:rPr>
          <w:rFonts w:ascii="Arial" w:hAnsi="Arial" w:cs="Arial"/>
          <w:i/>
          <w:color w:val="000000" w:themeColor="text1"/>
          <w:sz w:val="24"/>
          <w:szCs w:val="24"/>
          <w:vertAlign w:val="superscript"/>
        </w:rPr>
        <w:t>th</w:t>
      </w:r>
      <w:proofErr w:type="spellEnd"/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parity order class,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="008E3381"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="008E3381" w:rsidRPr="004A398F">
        <w:rPr>
          <w:rFonts w:ascii="Arial" w:hAnsi="Arial" w:cs="Arial"/>
          <w:i/>
          <w:color w:val="000000" w:themeColor="text1"/>
          <w:sz w:val="24"/>
          <w:szCs w:val="24"/>
          <w:vertAlign w:val="superscript"/>
        </w:rPr>
        <w:t>th</w:t>
      </w:r>
      <w:proofErr w:type="spellEnd"/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gestation-lactation overlapping class, produced by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8E3381" w:rsidRPr="004A398F">
        <w:rPr>
          <w:rFonts w:ascii="Arial" w:hAnsi="Arial" w:cs="Arial"/>
          <w:i/>
          <w:color w:val="000000" w:themeColor="text1"/>
          <w:sz w:val="24"/>
          <w:szCs w:val="24"/>
          <w:vertAlign w:val="superscript"/>
        </w:rPr>
        <w:t>th</w:t>
      </w:r>
      <w:proofErr w:type="spellEnd"/>
      <w:r w:rsidR="008E3381"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 doe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in the </w:t>
      </w:r>
      <w:proofErr w:type="spellStart"/>
      <w:r w:rsidR="00897A0B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897A0B" w:rsidRPr="004A398F">
        <w:rPr>
          <w:rFonts w:ascii="Arial" w:hAnsi="Arial" w:cs="Arial"/>
          <w:i/>
          <w:color w:val="000000" w:themeColor="text1"/>
          <w:sz w:val="24"/>
          <w:szCs w:val="24"/>
          <w:vertAlign w:val="superscript"/>
        </w:rPr>
        <w:t>th</w:t>
      </w:r>
      <w:proofErr w:type="spellEnd"/>
      <w:r w:rsidR="00897A0B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lactation</w:t>
      </w:r>
      <w:r w:rsidR="00904C0C" w:rsidRPr="004A398F">
        <w:rPr>
          <w:rFonts w:ascii="Arial" w:hAnsi="Arial" w:cs="Arial"/>
          <w:color w:val="000000" w:themeColor="text1"/>
          <w:sz w:val="24"/>
          <w:szCs w:val="24"/>
        </w:rPr>
        <w:t xml:space="preserve"> day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LS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r,t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suckling kits. µ is an overall intercept;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EC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fixed effect of environmental conditions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=1 comfort;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=2 stress);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PO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j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fixed effect of the parity order class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j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(3 levels: 1, 2 and ≥3); OGL</w:t>
      </w:r>
      <w:r w:rsidRPr="004A398F">
        <w:rPr>
          <w:rFonts w:ascii="Arial" w:hAnsi="Arial" w:cs="Arial"/>
          <w:color w:val="000000" w:themeColor="text1"/>
          <w:sz w:val="24"/>
          <w:szCs w:val="24"/>
          <w:vertAlign w:val="subscript"/>
        </w:rPr>
        <w:t>k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fixed effect of gestation-lactation overlapping class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k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(2 levels: overlapping and not overlapping);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EC×PO</m:t>
                </m:r>
              </m:e>
            </m:d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EC×OGL</m:t>
                </m:r>
              </m:e>
            </m:d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ik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are interaction terms between the respective factors;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l=0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1,l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</m:t>
                </m:r>
              </m:sup>
            </m:sSubSup>
          </m:e>
        </m:nary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is a fixed quadratic polynomial regression on days in milk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F66244" w:rsidRPr="004A398F">
        <w:rPr>
          <w:rFonts w:ascii="Arial" w:hAnsi="Arial" w:cs="Arial"/>
          <w:color w:val="000000" w:themeColor="text1"/>
          <w:sz w:val="24"/>
          <w:szCs w:val="24"/>
        </w:rPr>
        <w:t xml:space="preserve">at time </w:t>
      </w:r>
      <w:r w:rsidR="00F66244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F66244" w:rsidRPr="004A398F">
        <w:rPr>
          <w:rFonts w:ascii="Arial" w:hAnsi="Arial" w:cs="Arial"/>
          <w:color w:val="000000" w:themeColor="text1"/>
          <w:sz w:val="24"/>
          <w:szCs w:val="24"/>
        </w:rPr>
        <w:t>;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l=0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2,l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LS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</m:t>
                </m:r>
              </m:sup>
            </m:sSubSup>
          </m:e>
        </m:nary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a fixed quadratic polynomial regression on number of sucking kits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LS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r,t</m:t>
            </m:r>
          </m:sub>
        </m:sSub>
      </m:oMath>
      <w:r w:rsidR="00F66244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4A2" w:rsidRPr="004A398F">
        <w:rPr>
          <w:rFonts w:ascii="Arial" w:hAnsi="Arial" w:cs="Arial"/>
          <w:color w:val="000000" w:themeColor="text1"/>
          <w:sz w:val="24"/>
          <w:szCs w:val="24"/>
        </w:rPr>
        <w:t xml:space="preserve">of the doe </w:t>
      </w:r>
      <w:r w:rsidR="00BC24A2" w:rsidRPr="004A398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BC24A2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6244" w:rsidRPr="004A398F">
        <w:rPr>
          <w:rFonts w:ascii="Arial" w:hAnsi="Arial" w:cs="Arial"/>
          <w:color w:val="000000" w:themeColor="text1"/>
          <w:sz w:val="24"/>
          <w:szCs w:val="24"/>
        </w:rPr>
        <w:t xml:space="preserve">at time </w:t>
      </w:r>
      <w:r w:rsidR="00F66244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l=0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1,l,r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t,r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</m:t>
                </m:r>
              </m:sup>
            </m:sSubSup>
          </m:e>
        </m:nary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is a random quadratic polynomial on days in milk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61694E" w:rsidRPr="004A398F">
        <w:rPr>
          <w:rFonts w:ascii="Arial" w:hAnsi="Arial" w:cs="Arial"/>
          <w:color w:val="000000" w:themeColor="text1"/>
          <w:sz w:val="24"/>
          <w:szCs w:val="24"/>
        </w:rPr>
        <w:t xml:space="preserve"> at time </w:t>
      </w:r>
      <w:r w:rsidR="0061694E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nested within doe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r;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this term capture the permanent effect associate to female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897A0B" w:rsidRPr="004A398F">
        <w:rPr>
          <w:rFonts w:ascii="Arial" w:hAnsi="Arial" w:cs="Arial"/>
          <w:color w:val="000000" w:themeColor="text1"/>
          <w:sz w:val="24"/>
          <w:szCs w:val="24"/>
        </w:rPr>
        <w:t xml:space="preserve">, which is common to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all its lactations;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l=0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2,l,rj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t,rj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</m:t>
                </m:r>
              </m:sup>
            </m:sSubSup>
          </m:e>
        </m:nary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is a random quadratic polynomial on days in milk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BC24A2" w:rsidRPr="004A398F">
        <w:rPr>
          <w:rFonts w:ascii="Arial" w:hAnsi="Arial" w:cs="Arial"/>
          <w:color w:val="000000" w:themeColor="text1"/>
          <w:sz w:val="24"/>
          <w:szCs w:val="24"/>
        </w:rPr>
        <w:t xml:space="preserve"> at time </w:t>
      </w:r>
      <w:r w:rsidR="00BC24A2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resulting from the combination between doe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r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and parity order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j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; thus this effect capture the permanent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environmental effect of lactation, which is common to all records of a doe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>within each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lactation;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ijktrv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>is the random residual</w:t>
      </w:r>
      <w:r w:rsidR="00ED5CD8" w:rsidRPr="004A398F">
        <w:rPr>
          <w:rFonts w:ascii="Arial" w:hAnsi="Arial" w:cs="Arial"/>
          <w:color w:val="000000" w:themeColor="text1"/>
          <w:sz w:val="24"/>
          <w:szCs w:val="24"/>
        </w:rPr>
        <w:t xml:space="preserve"> term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3381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 second model 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</w:rPr>
        <w:t xml:space="preserve">for DMY included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the interaction between environmental conditions and the quadratic 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 xml:space="preserve">fixed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polynomial regression on days in milk</w:t>
      </w:r>
      <w:r w:rsidR="008E3381" w:rsidRPr="004A398F">
        <w:rPr>
          <w:rFonts w:ascii="Arial" w:hAnsi="Arial" w:cs="Arial"/>
          <w:color w:val="000000" w:themeColor="text1"/>
          <w:sz w:val="24"/>
          <w:szCs w:val="24"/>
        </w:rPr>
        <w:t>, this model was considered to assess for differences between environmental conditions in the shape of the lactation curve.</w:t>
      </w:r>
      <w:r w:rsidR="009A5FB7" w:rsidRPr="004A398F" w:rsidDel="009A5F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The model for each of the major </w:t>
      </w:r>
      <w:r w:rsidR="00A7558A" w:rsidRPr="004A398F">
        <w:rPr>
          <w:rFonts w:ascii="Arial" w:hAnsi="Arial" w:cs="Arial"/>
          <w:color w:val="000000" w:themeColor="text1"/>
          <w:sz w:val="24"/>
          <w:szCs w:val="24"/>
        </w:rPr>
        <w:t xml:space="preserve">components of milk (DM, CP and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E)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was defined as:</w:t>
      </w:r>
    </w:p>
    <w:p w:rsidR="00024CD8" w:rsidRPr="004A398F" w:rsidRDefault="0055345F" w:rsidP="00024CD8">
      <w:pPr>
        <w:spacing w:line="480" w:lineRule="auto"/>
        <w:rPr>
          <w:rFonts w:ascii="Arial" w:hAnsi="Arial" w:cs="Arial"/>
          <w:b/>
          <w:color w:val="000000" w:themeColor="text1"/>
          <w:position w:val="-14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EC×PO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</m:t>
              </m:r>
            </m:sub>
          </m:sSub>
        </m:oMath>
      </m:oMathPara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was the content of 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</w:rPr>
        <w:t>DM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</w:rPr>
        <w:t>CP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9A5FB7" w:rsidRPr="004A398F">
        <w:rPr>
          <w:rFonts w:ascii="Arial" w:hAnsi="Arial" w:cs="Arial"/>
          <w:color w:val="000000" w:themeColor="text1"/>
          <w:sz w:val="24"/>
          <w:szCs w:val="24"/>
        </w:rPr>
        <w:t>E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in the milk </w:t>
      </w:r>
      <w:r w:rsidR="0070269E" w:rsidRPr="004A398F">
        <w:rPr>
          <w:rFonts w:ascii="Arial" w:hAnsi="Arial" w:cs="Arial"/>
          <w:color w:val="000000" w:themeColor="text1"/>
          <w:sz w:val="24"/>
          <w:szCs w:val="24"/>
        </w:rPr>
        <w:t xml:space="preserve">sample </w:t>
      </w:r>
      <w:r w:rsidR="0070269E"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="0070269E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at parity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j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under environmental conditions </w:t>
      </w:r>
      <w:proofErr w:type="spellStart"/>
      <w:r w:rsidR="0061694E" w:rsidRPr="004A398F">
        <w:rPr>
          <w:i/>
          <w:color w:val="000000" w:themeColor="text1"/>
          <w:sz w:val="24"/>
          <w:szCs w:val="24"/>
        </w:rPr>
        <w:t>i</w:t>
      </w:r>
      <w:proofErr w:type="spellEnd"/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random residual</w:t>
      </w:r>
      <w:r w:rsidR="00ED5CD8" w:rsidRPr="004A398F">
        <w:rPr>
          <w:rFonts w:ascii="Arial" w:hAnsi="Arial" w:cs="Arial"/>
          <w:color w:val="000000" w:themeColor="text1"/>
          <w:sz w:val="24"/>
          <w:szCs w:val="24"/>
        </w:rPr>
        <w:t xml:space="preserve"> term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. All the effects were defined in the same way as for DMY.</w:t>
      </w:r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The model used for the analysis of ADF</w:t>
      </w:r>
      <w:r w:rsidR="00206046" w:rsidRPr="004A398F">
        <w:rPr>
          <w:rFonts w:ascii="Arial" w:hAnsi="Arial" w:cs="Arial"/>
          <w:color w:val="000000" w:themeColor="text1"/>
          <w:sz w:val="24"/>
          <w:szCs w:val="24"/>
        </w:rPr>
        <w:t>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and AD</w:t>
      </w:r>
      <w:r w:rsidR="00206046" w:rsidRPr="004A398F">
        <w:rPr>
          <w:rFonts w:ascii="Arial" w:hAnsi="Arial" w:cs="Arial"/>
          <w:color w:val="000000" w:themeColor="text1"/>
          <w:sz w:val="24"/>
          <w:szCs w:val="24"/>
        </w:rPr>
        <w:t>WI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was defined as:</w:t>
      </w:r>
    </w:p>
    <w:p w:rsidR="00024CD8" w:rsidRPr="004A398F" w:rsidRDefault="0055345F" w:rsidP="00024CD8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ijkotrsv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OGL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EC×PO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+β×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LS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o,t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Wk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ijkotrsv</m:t>
              </m:r>
            </m:sub>
          </m:sSub>
        </m:oMath>
      </m:oMathPara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Where: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ijkotrsv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was </w:t>
      </w:r>
      <w:r w:rsidR="00206046" w:rsidRPr="004A398F">
        <w:rPr>
          <w:rFonts w:ascii="Arial" w:hAnsi="Arial" w:cs="Arial"/>
          <w:color w:val="000000" w:themeColor="text1"/>
          <w:sz w:val="24"/>
          <w:szCs w:val="24"/>
        </w:rPr>
        <w:t>ADFI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206046" w:rsidRPr="004A398F">
        <w:rPr>
          <w:rFonts w:ascii="Arial" w:hAnsi="Arial" w:cs="Arial"/>
          <w:color w:val="000000" w:themeColor="text1"/>
          <w:sz w:val="24"/>
          <w:szCs w:val="24"/>
        </w:rPr>
        <w:t>ADWI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69E" w:rsidRPr="004A398F"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="0070269E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of doe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at week </w:t>
      </w:r>
      <w:r w:rsidR="00DD71D6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, which was 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parity order class </w:t>
      </w:r>
      <w:r w:rsidR="00DD71D6" w:rsidRPr="004A398F">
        <w:rPr>
          <w:rFonts w:ascii="Arial" w:hAnsi="Arial" w:cs="Arial"/>
          <w:i/>
          <w:color w:val="000000" w:themeColor="text1"/>
          <w:sz w:val="24"/>
          <w:szCs w:val="24"/>
        </w:rPr>
        <w:t>j,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 and gestation-lactation overlapping class </w:t>
      </w:r>
      <w:r w:rsidR="00DD71D6"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="0070269E"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lactation 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 xml:space="preserve">class </w:t>
      </w:r>
      <w:r w:rsidR="00961A68" w:rsidRPr="004A398F">
        <w:rPr>
          <w:rFonts w:ascii="Arial" w:hAnsi="Arial" w:cs="Arial"/>
          <w:i/>
          <w:color w:val="000000" w:themeColor="text1"/>
          <w:sz w:val="24"/>
          <w:szCs w:val="24"/>
        </w:rPr>
        <w:t>s,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 had </w:t>
      </w:r>
      <w:r w:rsidR="00961A68" w:rsidRPr="004A398F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 suckli</w:t>
      </w:r>
      <w:bookmarkStart w:id="0" w:name="_GoBack"/>
      <w:bookmarkEnd w:id="0"/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ng kits at lactation week </w:t>
      </w:r>
      <w:r w:rsidR="00961A68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>was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under environmental conditions </w:t>
      </w:r>
      <w:proofErr w:type="spellStart"/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proofErr w:type="spellEnd"/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LS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o,t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>was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 the number of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sucking kits</w:t>
      </w:r>
      <w:r w:rsidR="00961A68" w:rsidRPr="004A398F">
        <w:rPr>
          <w:rFonts w:ascii="Arial" w:hAnsi="Arial" w:cs="Arial"/>
          <w:color w:val="000000" w:themeColor="text1"/>
          <w:sz w:val="24"/>
          <w:szCs w:val="24"/>
        </w:rPr>
        <w:t xml:space="preserve"> at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558A" w:rsidRPr="004A398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week of lactation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2A3437"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Wk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>)</w:t>
      </w:r>
      <w:r w:rsidR="00A7558A" w:rsidRPr="004A398F">
        <w:rPr>
          <w:rFonts w:ascii="Arial" w:hAnsi="Arial" w:cs="Arial"/>
          <w:color w:val="000000" w:themeColor="text1"/>
          <w:sz w:val="24"/>
          <w:szCs w:val="24"/>
        </w:rPr>
        <w:t>,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β</m:t>
        </m:r>
      </m:oMath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 xml:space="preserve"> was the partial regression coefficient of ADFI or ADWI on number of sucking kits;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r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was the random permanent effect of</w:t>
      </w:r>
      <w:r w:rsidR="002A3437" w:rsidRPr="004A398F">
        <w:rPr>
          <w:rFonts w:ascii="Arial" w:hAnsi="Arial" w:cs="Arial"/>
          <w:color w:val="000000" w:themeColor="text1"/>
          <w:sz w:val="24"/>
          <w:szCs w:val="24"/>
        </w:rPr>
        <w:t xml:space="preserve"> doe;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was the random permanent effect of lactation</w:t>
      </w:r>
      <w:r w:rsidR="00A7558A" w:rsidRPr="004A398F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ijkotrsv</m:t>
            </m:r>
          </m:sub>
        </m:sSub>
      </m:oMath>
      <w:r w:rsidR="00A7558A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random residual term.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>All the other effects were defined as for DMY.</w:t>
      </w:r>
    </w:p>
    <w:p w:rsidR="00780E73" w:rsidRPr="004A398F" w:rsidRDefault="00780E73" w:rsidP="00780E73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The model used for the analysis of DW was defined as:</w:t>
      </w:r>
    </w:p>
    <w:p w:rsidR="00780E73" w:rsidRPr="004A398F" w:rsidRDefault="0055345F" w:rsidP="00780E73">
      <w:pPr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DW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iktrv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OGL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+β×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l=0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l,r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t,r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l</m:t>
                  </m:r>
                </m:sup>
              </m:sSubSup>
            </m:e>
          </m:nary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iktrv</m:t>
              </m:r>
            </m:sub>
          </m:sSub>
        </m:oMath>
      </m:oMathPara>
    </w:p>
    <w:p w:rsidR="00780E73" w:rsidRPr="004A398F" w:rsidRDefault="00A7558A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where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DW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iktrv</m:t>
            </m:r>
          </m:sub>
        </m:sSub>
      </m:oMath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individual body weight </w:t>
      </w:r>
      <w:r w:rsidR="00056457" w:rsidRPr="004A398F"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="00056457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of a doe </w:t>
      </w:r>
      <w:r w:rsidR="00780E73" w:rsidRPr="004A398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at time </w:t>
      </w:r>
      <w:r w:rsidR="00DD71D6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DD71D6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under environmental conditions </w:t>
      </w:r>
      <w:r w:rsidR="00780E73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, gestation-lactation overlapping class </w:t>
      </w:r>
      <w:r w:rsidR="00780E73"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="00780E73" w:rsidRPr="004A398F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;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covariate doe age </w:t>
      </w:r>
      <w:r w:rsidR="00EA2B5E" w:rsidRPr="004A398F">
        <w:rPr>
          <w:rFonts w:ascii="Arial" w:hAnsi="Arial" w:cs="Arial"/>
          <w:color w:val="000000" w:themeColor="text1"/>
          <w:sz w:val="24"/>
          <w:szCs w:val="24"/>
        </w:rPr>
        <w:t xml:space="preserve">at time </w:t>
      </w:r>
      <w:r w:rsidR="00EA2B5E" w:rsidRPr="004A398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A37479" w:rsidRPr="004A398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l=0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l,r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t,r</m:t>
                </m:r>
              </m:sub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l</m:t>
                </m:r>
              </m:sup>
            </m:sSubSup>
          </m:e>
        </m:nary>
      </m:oMath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is a random linear regression on </w:t>
      </w:r>
      <w:r w:rsidR="00EA2B5E" w:rsidRPr="004A398F">
        <w:rPr>
          <w:rFonts w:ascii="Arial" w:hAnsi="Arial" w:cs="Arial"/>
          <w:color w:val="000000" w:themeColor="text1"/>
          <w:sz w:val="24"/>
          <w:szCs w:val="24"/>
        </w:rPr>
        <w:t xml:space="preserve">doe 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age </w:t>
      </w:r>
      <w:proofErr w:type="spellStart"/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>T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  <w:vertAlign w:val="subscript"/>
        </w:rPr>
        <w:t>t,r</w:t>
      </w:r>
      <w:proofErr w:type="spellEnd"/>
      <w:r w:rsidR="00780E73" w:rsidRPr="004A398F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 nested within doe </w:t>
      </w:r>
      <w:r w:rsidR="00780E73" w:rsidRPr="004A398F">
        <w:rPr>
          <w:rFonts w:ascii="Arial" w:hAnsi="Arial" w:cs="Arial"/>
          <w:i/>
          <w:color w:val="000000" w:themeColor="text1"/>
          <w:sz w:val="24"/>
          <w:szCs w:val="24"/>
        </w:rPr>
        <w:t xml:space="preserve">r; 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 xml:space="preserve">this term capture the specific pattern of growth for each doe.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iktrv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</m:t>
        </m:r>
      </m:oMath>
      <w:r w:rsidR="00ED5CD8" w:rsidRPr="004A398F">
        <w:rPr>
          <w:rFonts w:ascii="Arial" w:hAnsi="Arial" w:cs="Arial"/>
          <w:color w:val="000000" w:themeColor="text1"/>
          <w:sz w:val="24"/>
          <w:szCs w:val="24"/>
        </w:rPr>
        <w:t xml:space="preserve">is the random residual term. </w:t>
      </w:r>
      <w:r w:rsidR="00A37479" w:rsidRPr="004A398F">
        <w:rPr>
          <w:rFonts w:ascii="Arial" w:hAnsi="Arial" w:cs="Arial"/>
          <w:color w:val="000000" w:themeColor="text1"/>
          <w:sz w:val="24"/>
          <w:szCs w:val="24"/>
        </w:rPr>
        <w:t xml:space="preserve">The interaction between EC and the linear effect of doe age was initially considered in the model but finally discarded, as it was a non-significant effect. </w:t>
      </w:r>
      <w:r w:rsidR="00780E73" w:rsidRPr="004A398F">
        <w:rPr>
          <w:rFonts w:ascii="Arial" w:hAnsi="Arial" w:cs="Arial"/>
          <w:color w:val="000000" w:themeColor="text1"/>
          <w:sz w:val="24"/>
          <w:szCs w:val="24"/>
        </w:rPr>
        <w:t>All the other effects were defined as for DMY.</w:t>
      </w:r>
    </w:p>
    <w:p w:rsidR="00024CD8" w:rsidRPr="004A398F" w:rsidRDefault="00024CD8" w:rsidP="00024CD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The model used for the analysis of IWW was defined as:</w:t>
      </w:r>
    </w:p>
    <w:p w:rsidR="00024CD8" w:rsidRPr="004A398F" w:rsidRDefault="0055345F" w:rsidP="00024CD8">
      <w:pPr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IWW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ijkosv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OGL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EC×PO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+β×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LS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co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ijkosv</m:t>
              </m:r>
            </m:sub>
          </m:sSub>
        </m:oMath>
      </m:oMathPara>
    </w:p>
    <w:p w:rsidR="00024CD8" w:rsidRPr="004A398F" w:rsidRDefault="00ED5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where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IWW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ijkosv</m:t>
            </m:r>
          </m:sub>
        </m:sSub>
      </m:oMath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individual weaning weight of a kit </w:t>
      </w:r>
      <w:r w:rsidR="00FA7304" w:rsidRPr="004A398F"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under environmental conditions </w:t>
      </w:r>
      <w:r w:rsidR="00024CD8"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, parity order class </w:t>
      </w:r>
      <w:r w:rsidR="00024CD8" w:rsidRPr="004A398F">
        <w:rPr>
          <w:rFonts w:ascii="Arial" w:hAnsi="Arial" w:cs="Arial"/>
          <w:i/>
          <w:color w:val="000000" w:themeColor="text1"/>
          <w:sz w:val="24"/>
          <w:szCs w:val="24"/>
        </w:rPr>
        <w:t>j,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gestation-lactation overlapping class </w:t>
      </w:r>
      <w:r w:rsidR="00024CD8"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, born in a litter </w:t>
      </w:r>
      <w:r w:rsidR="00024CD8" w:rsidRPr="004A398F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with </w:t>
      </w:r>
      <w:r w:rsidR="00024CD8" w:rsidRPr="004A398F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kits born alive;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sub>
        </m:sSub>
      </m:oMath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random permanent environmental effect of common litter.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ijkosv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random residual term. </w:t>
      </w:r>
      <w:r w:rsidR="00024CD8" w:rsidRPr="004A398F">
        <w:rPr>
          <w:rFonts w:ascii="Arial" w:hAnsi="Arial" w:cs="Arial"/>
          <w:color w:val="000000" w:themeColor="text1"/>
          <w:sz w:val="24"/>
          <w:szCs w:val="24"/>
        </w:rPr>
        <w:t>All the other effects were defined as for DMY.</w:t>
      </w:r>
    </w:p>
    <w:p w:rsidR="00024CD8" w:rsidRPr="004A398F" w:rsidRDefault="00024CD8" w:rsidP="00024CD8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>The model used for the analysis of SR was defined as:</w:t>
      </w:r>
    </w:p>
    <w:p w:rsidR="00024CD8" w:rsidRPr="004A398F" w:rsidRDefault="0055345F" w:rsidP="00024CD8">
      <w:pPr>
        <w:spacing w:line="480" w:lineRule="auto"/>
        <w:rPr>
          <w:rFonts w:ascii="Arial" w:hAnsi="Arial" w:cs="Arial"/>
          <w:b/>
          <w:color w:val="000000" w:themeColor="text1"/>
          <w:position w:val="-14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SR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ijkrv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=μ+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EC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PO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OGL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EC×PO</m:t>
                  </m:r>
                </m:e>
              </m:d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ijkrv</m:t>
              </m:r>
            </m:sub>
          </m:sSub>
        </m:oMath>
      </m:oMathPara>
    </w:p>
    <w:p w:rsidR="00FC10D6" w:rsidRDefault="00024CD8" w:rsidP="00024CD8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Where: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SR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ijkrv</m:t>
            </m:r>
          </m:sub>
        </m:sSub>
      </m:oMath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is survival rate of a litter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under environmental conditions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parity order class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j,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 gestation-lactation overlapping class </w:t>
      </w:r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k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, of the doe </w:t>
      </w:r>
      <w:proofErr w:type="spellStart"/>
      <w:r w:rsidRPr="004A398F">
        <w:rPr>
          <w:rFonts w:ascii="Arial" w:hAnsi="Arial" w:cs="Arial"/>
          <w:i/>
          <w:color w:val="000000" w:themeColor="text1"/>
          <w:sz w:val="24"/>
          <w:szCs w:val="24"/>
        </w:rPr>
        <w:t>f</w:t>
      </w:r>
      <w:r w:rsidRPr="004A398F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r</w:t>
      </w:r>
      <w:proofErr w:type="spellEnd"/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ijkrv</m:t>
            </m:r>
          </m:sub>
        </m:sSub>
      </m:oMath>
      <w:r w:rsidR="00ED5CD8" w:rsidRPr="004A398F">
        <w:rPr>
          <w:rFonts w:ascii="Arial" w:hAnsi="Arial" w:cs="Arial"/>
          <w:color w:val="000000" w:themeColor="text1"/>
          <w:sz w:val="24"/>
          <w:szCs w:val="24"/>
        </w:rPr>
        <w:t xml:space="preserve"> is the random residual term. </w:t>
      </w:r>
      <w:r w:rsidRPr="004A398F">
        <w:rPr>
          <w:rFonts w:ascii="Arial" w:hAnsi="Arial" w:cs="Arial"/>
          <w:color w:val="000000" w:themeColor="text1"/>
          <w:sz w:val="24"/>
          <w:szCs w:val="24"/>
        </w:rPr>
        <w:t xml:space="preserve">All the </w:t>
      </w:r>
      <w:r w:rsidR="00ED5CD8" w:rsidRPr="004A398F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r w:rsidR="000C25BC" w:rsidRPr="004A398F">
        <w:rPr>
          <w:rFonts w:ascii="Arial" w:hAnsi="Arial" w:cs="Arial"/>
          <w:color w:val="000000" w:themeColor="text1"/>
          <w:sz w:val="24"/>
          <w:szCs w:val="24"/>
        </w:rPr>
        <w:t>effects were defined as for DM.</w:t>
      </w:r>
    </w:p>
    <w:sectPr w:rsidR="00FC10D6" w:rsidSect="000C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425"/>
  <w:characterSpacingControl w:val="doNotCompress"/>
  <w:compat/>
  <w:rsids>
    <w:rsidRoot w:val="00024CD8"/>
    <w:rsid w:val="00024CD8"/>
    <w:rsid w:val="000339A8"/>
    <w:rsid w:val="00056457"/>
    <w:rsid w:val="000C25BC"/>
    <w:rsid w:val="0015282C"/>
    <w:rsid w:val="001863A8"/>
    <w:rsid w:val="001A23F7"/>
    <w:rsid w:val="001C056B"/>
    <w:rsid w:val="001C69D4"/>
    <w:rsid w:val="00206046"/>
    <w:rsid w:val="002078AC"/>
    <w:rsid w:val="00230BDF"/>
    <w:rsid w:val="00247E24"/>
    <w:rsid w:val="002A3437"/>
    <w:rsid w:val="002F1C48"/>
    <w:rsid w:val="00355927"/>
    <w:rsid w:val="003F1695"/>
    <w:rsid w:val="0042010C"/>
    <w:rsid w:val="0042139F"/>
    <w:rsid w:val="00477D45"/>
    <w:rsid w:val="00480D16"/>
    <w:rsid w:val="0048414A"/>
    <w:rsid w:val="004A398F"/>
    <w:rsid w:val="004C16C0"/>
    <w:rsid w:val="0055345F"/>
    <w:rsid w:val="00575730"/>
    <w:rsid w:val="005E0ABF"/>
    <w:rsid w:val="0061694E"/>
    <w:rsid w:val="00700193"/>
    <w:rsid w:val="0070269E"/>
    <w:rsid w:val="007043B8"/>
    <w:rsid w:val="00780E73"/>
    <w:rsid w:val="007B1993"/>
    <w:rsid w:val="00897A0B"/>
    <w:rsid w:val="008E3381"/>
    <w:rsid w:val="00904C0C"/>
    <w:rsid w:val="00961A68"/>
    <w:rsid w:val="009639DD"/>
    <w:rsid w:val="009A33D1"/>
    <w:rsid w:val="009A5FB7"/>
    <w:rsid w:val="00A37479"/>
    <w:rsid w:val="00A7558A"/>
    <w:rsid w:val="00A9424A"/>
    <w:rsid w:val="00B2316D"/>
    <w:rsid w:val="00B52553"/>
    <w:rsid w:val="00BC24A2"/>
    <w:rsid w:val="00CD0004"/>
    <w:rsid w:val="00DD71D6"/>
    <w:rsid w:val="00E12886"/>
    <w:rsid w:val="00E63A76"/>
    <w:rsid w:val="00E71875"/>
    <w:rsid w:val="00E82762"/>
    <w:rsid w:val="00EA2B5E"/>
    <w:rsid w:val="00ED5CD8"/>
    <w:rsid w:val="00F64F1A"/>
    <w:rsid w:val="00F66244"/>
    <w:rsid w:val="00F93CFF"/>
    <w:rsid w:val="00FA7304"/>
    <w:rsid w:val="00FC10D6"/>
    <w:rsid w:val="00FC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D8"/>
    <w:rPr>
      <w:rFonts w:ascii="Times New Roman" w:eastAsia="Calibri" w:hAnsi="Times New Roman" w:cs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D8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47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A5F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F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FB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FB7"/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D8"/>
    <w:rPr>
      <w:rFonts w:ascii="Times New Roman" w:eastAsia="Calibri" w:hAnsi="Times New Roman" w:cs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CD8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47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5F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F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FB7"/>
    <w:rPr>
      <w:rFonts w:ascii="Times New Roman" w:eastAsia="Calibri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F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FB7"/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Royal Veterinary College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Piles, Maria</dc:creator>
  <cp:lastModifiedBy>Nadine Miraux</cp:lastModifiedBy>
  <cp:revision>3</cp:revision>
  <cp:lastPrinted>2014-10-29T10:23:00Z</cp:lastPrinted>
  <dcterms:created xsi:type="dcterms:W3CDTF">2014-10-29T12:43:00Z</dcterms:created>
  <dcterms:modified xsi:type="dcterms:W3CDTF">2014-12-18T12:42:00Z</dcterms:modified>
</cp:coreProperties>
</file>