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3C" w:rsidRDefault="00166A3C" w:rsidP="00AF2CCC">
      <w:pPr>
        <w:spacing w:line="48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>Supplementa</w:t>
      </w:r>
      <w:r w:rsidR="004957E9">
        <w:rPr>
          <w:rFonts w:ascii="Arial" w:eastAsia="Calibri" w:hAnsi="Arial" w:cs="Arial"/>
          <w:b/>
          <w:sz w:val="24"/>
          <w:szCs w:val="24"/>
        </w:rPr>
        <w:t>ry</w:t>
      </w:r>
      <w:r>
        <w:rPr>
          <w:rFonts w:ascii="Arial" w:eastAsia="Calibri" w:hAnsi="Arial" w:cs="Arial"/>
          <w:b/>
          <w:sz w:val="24"/>
          <w:szCs w:val="24"/>
        </w:rPr>
        <w:t xml:space="preserve"> Material S2</w:t>
      </w:r>
      <w:r w:rsidRPr="00E840F0">
        <w:rPr>
          <w:rFonts w:ascii="Arial" w:eastAsia="Calibri" w:hAnsi="Arial" w:cs="Arial"/>
          <w:b/>
          <w:sz w:val="24"/>
          <w:szCs w:val="24"/>
        </w:rPr>
        <w:t>.</w:t>
      </w:r>
      <w:proofErr w:type="gramEnd"/>
      <w:r w:rsidRPr="00E840F0">
        <w:rPr>
          <w:rFonts w:ascii="Arial" w:eastAsia="Calibri" w:hAnsi="Arial" w:cs="Arial"/>
          <w:sz w:val="24"/>
          <w:szCs w:val="24"/>
        </w:rPr>
        <w:t xml:space="preserve"> </w:t>
      </w:r>
    </w:p>
    <w:p w:rsidR="00166A3C" w:rsidRDefault="00166A3C" w:rsidP="00166A3C">
      <w:pPr>
        <w:spacing w:line="48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840F0">
        <w:rPr>
          <w:rFonts w:ascii="Arial" w:eastAsia="Times New Roman" w:hAnsi="Arial" w:cs="Arial"/>
          <w:sz w:val="24"/>
          <w:szCs w:val="24"/>
          <w:lang w:eastAsia="nl-NL"/>
        </w:rPr>
        <w:t>New spline function for criterion 1: absence of hunger</w:t>
      </w:r>
    </w:p>
    <w:p w:rsidR="00166A3C" w:rsidRPr="00E840F0" w:rsidRDefault="00166A3C" w:rsidP="00166A3C">
      <w:pPr>
        <w:spacing w:line="48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Data as shown in table 1.2 in 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nl-NL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separate"/>
      </w:r>
      <w:hyperlink w:anchor="_ENREF_1" w:tooltip="Botreau, 2009 #1596" w:history="1"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Botreau</w:t>
        </w:r>
        <w:r w:rsidRPr="00AA5DB1">
          <w:rPr>
            <w:rFonts w:ascii="Arial" w:eastAsia="Times New Roman" w:hAnsi="Arial" w:cs="Arial"/>
            <w:i/>
            <w:noProof/>
            <w:sz w:val="24"/>
            <w:szCs w:val="24"/>
            <w:lang w:eastAsia="nl-NL"/>
          </w:rPr>
          <w:t xml:space="preserve"> et al.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 xml:space="preserve"> (2009</w:t>
        </w:r>
      </w:hyperlink>
      <w:r>
        <w:rPr>
          <w:rFonts w:ascii="Arial" w:eastAsia="Times New Roman" w:hAnsi="Arial" w:cs="Arial"/>
          <w:noProof/>
          <w:sz w:val="24"/>
          <w:szCs w:val="24"/>
          <w:lang w:eastAsia="nl-NL"/>
        </w:rPr>
        <w:t>)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do not match with Figure 1.1. in 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nl-NL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separate"/>
      </w:r>
      <w:hyperlink w:anchor="_ENREF_1" w:tooltip="Botreau, 2009 #1596" w:history="1"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Botreau</w:t>
        </w:r>
        <w:r w:rsidRPr="00AA5DB1">
          <w:rPr>
            <w:rFonts w:ascii="Arial" w:eastAsia="Times New Roman" w:hAnsi="Arial" w:cs="Arial"/>
            <w:i/>
            <w:noProof/>
            <w:sz w:val="24"/>
            <w:szCs w:val="24"/>
            <w:lang w:eastAsia="nl-NL"/>
          </w:rPr>
          <w:t xml:space="preserve"> et al.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 xml:space="preserve"> </w:t>
        </w:r>
        <w:r w:rsidR="008273D8"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(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2009</w:t>
        </w:r>
      </w:hyperlink>
      <w:r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  <w:r w:rsidR="000661E6">
        <w:rPr>
          <w:rFonts w:ascii="Arial" w:eastAsia="Times New Roman" w:hAnsi="Arial" w:cs="Arial"/>
          <w:sz w:val="24"/>
          <w:szCs w:val="24"/>
          <w:lang w:eastAsia="nl-NL"/>
        </w:rPr>
        <w:t>)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The first four index scores in table 1.2 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nl-NL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nl-NL"/>
        </w:rPr>
        <w:t>(</w:t>
      </w:r>
      <w:hyperlink w:anchor="_ENREF_1" w:tooltip="Botreau, 2009 #1596" w:history="1"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Botreau</w:t>
        </w:r>
        <w:r w:rsidRPr="00AA5DB1">
          <w:rPr>
            <w:rFonts w:ascii="Arial" w:eastAsia="Times New Roman" w:hAnsi="Arial" w:cs="Arial"/>
            <w:i/>
            <w:noProof/>
            <w:sz w:val="24"/>
            <w:szCs w:val="24"/>
            <w:lang w:eastAsia="nl-NL"/>
          </w:rPr>
          <w:t xml:space="preserve"> et al.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, 2009</w:t>
        </w:r>
      </w:hyperlink>
      <w:r>
        <w:rPr>
          <w:rFonts w:ascii="Arial" w:eastAsia="Times New Roman" w:hAnsi="Arial" w:cs="Arial"/>
          <w:noProof/>
          <w:sz w:val="24"/>
          <w:szCs w:val="24"/>
          <w:lang w:eastAsia="nl-NL"/>
        </w:rPr>
        <w:t>)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were placed incorrectly in figure 1.1 in 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nl-NL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separate"/>
      </w:r>
      <w:hyperlink w:anchor="_ENREF_1" w:tooltip="Botreau, 2009 #1596" w:history="1"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Botreau</w:t>
        </w:r>
        <w:r w:rsidRPr="00AA5DB1">
          <w:rPr>
            <w:rFonts w:ascii="Arial" w:eastAsia="Times New Roman" w:hAnsi="Arial" w:cs="Arial"/>
            <w:i/>
            <w:noProof/>
            <w:sz w:val="24"/>
            <w:szCs w:val="24"/>
            <w:lang w:eastAsia="nl-NL"/>
          </w:rPr>
          <w:t xml:space="preserve"> et al.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 xml:space="preserve"> (2009</w:t>
        </w:r>
      </w:hyperlink>
      <w:r>
        <w:rPr>
          <w:rFonts w:ascii="Arial" w:eastAsia="Times New Roman" w:hAnsi="Arial" w:cs="Arial"/>
          <w:noProof/>
          <w:sz w:val="24"/>
          <w:szCs w:val="24"/>
          <w:lang w:eastAsia="nl-NL"/>
        </w:rPr>
        <w:t>)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. Therefore, the data in 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nl-NL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separate"/>
      </w:r>
      <w:hyperlink w:anchor="_ENREF_1" w:tooltip="Botreau, 2009 #1596" w:history="1"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>Botreau</w:t>
        </w:r>
        <w:r w:rsidRPr="00AA5DB1">
          <w:rPr>
            <w:rFonts w:ascii="Arial" w:eastAsia="Times New Roman" w:hAnsi="Arial" w:cs="Arial"/>
            <w:i/>
            <w:noProof/>
            <w:sz w:val="24"/>
            <w:szCs w:val="24"/>
            <w:lang w:eastAsia="nl-NL"/>
          </w:rPr>
          <w:t xml:space="preserve"> et al.</w:t>
        </w:r>
        <w:r>
          <w:rPr>
            <w:rFonts w:ascii="Arial" w:eastAsia="Times New Roman" w:hAnsi="Arial" w:cs="Arial"/>
            <w:noProof/>
            <w:sz w:val="24"/>
            <w:szCs w:val="24"/>
            <w:lang w:eastAsia="nl-NL"/>
          </w:rPr>
          <w:t xml:space="preserve"> (2009</w:t>
        </w:r>
      </w:hyperlink>
      <w:r>
        <w:rPr>
          <w:rFonts w:ascii="Arial" w:eastAsia="Times New Roman" w:hAnsi="Arial" w:cs="Arial"/>
          <w:noProof/>
          <w:sz w:val="24"/>
          <w:szCs w:val="24"/>
          <w:lang w:eastAsia="nl-NL"/>
        </w:rPr>
        <w:t>)</w:t>
      </w:r>
      <w:r>
        <w:rPr>
          <w:rFonts w:ascii="Arial" w:eastAsia="Times New Roman" w:hAnsi="Arial" w:cs="Arial"/>
          <w:sz w:val="24"/>
          <w:szCs w:val="24"/>
          <w:lang w:eastAsia="nl-NL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were used to calculate a new and correct spline function as presented below. </w:t>
      </w:r>
    </w:p>
    <w:p w:rsidR="00166A3C" w:rsidRPr="00E840F0" w:rsidRDefault="00166A3C" w:rsidP="00166A3C">
      <w:pPr>
        <w:spacing w:line="480" w:lineRule="auto"/>
        <w:rPr>
          <w:rFonts w:ascii="Arial" w:eastAsia="Calibri" w:hAnsi="Arial" w:cs="Arial"/>
          <w:noProof/>
          <w:sz w:val="24"/>
          <w:szCs w:val="24"/>
          <w:lang w:eastAsia="en-GB"/>
        </w:rPr>
      </w:pPr>
      <w:r w:rsidRPr="00E840F0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 wp14:anchorId="13756499" wp14:editId="19A1010D">
            <wp:extent cx="4905375" cy="490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30" cy="490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3C" w:rsidRPr="00AA5DB1" w:rsidRDefault="00166A3C" w:rsidP="00166A3C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Figure 1</w:t>
      </w:r>
      <w:r w:rsidRPr="00E840F0">
        <w:rPr>
          <w:rFonts w:ascii="Arial" w:eastAsia="Calibri" w:hAnsi="Arial" w:cs="Arial"/>
          <w:sz w:val="24"/>
          <w:szCs w:val="24"/>
        </w:rPr>
        <w:t xml:space="preserve"> Spline function for criterion 1, absence of hunger, based on</w:t>
      </w:r>
      <w:r w:rsidR="000661E6">
        <w:rPr>
          <w:rFonts w:ascii="Arial" w:eastAsia="Calibri" w:hAnsi="Arial" w:cs="Arial"/>
          <w:sz w:val="24"/>
          <w:szCs w:val="24"/>
        </w:rPr>
        <w:t xml:space="preserve"> data in</w:t>
      </w:r>
      <w:r w:rsidRPr="00E840F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>
        <w:rPr>
          <w:rFonts w:ascii="Arial" w:eastAsia="Calibri" w:hAnsi="Arial" w:cs="Arial"/>
          <w:sz w:val="24"/>
          <w:szCs w:val="24"/>
        </w:rPr>
        <w:fldChar w:fldCharType="separate"/>
      </w:r>
      <w:hyperlink w:anchor="_ENREF_1" w:tooltip="Botreau, 2009 #1596" w:history="1">
        <w:r>
          <w:rPr>
            <w:rFonts w:ascii="Arial" w:eastAsia="Calibri" w:hAnsi="Arial" w:cs="Arial"/>
            <w:noProof/>
            <w:sz w:val="24"/>
            <w:szCs w:val="24"/>
          </w:rPr>
          <w:t>Botreau</w:t>
        </w:r>
        <w:r w:rsidRPr="00AA5DB1">
          <w:rPr>
            <w:rFonts w:ascii="Arial" w:eastAsia="Calibri" w:hAnsi="Arial" w:cs="Arial"/>
            <w:i/>
            <w:noProof/>
            <w:sz w:val="24"/>
            <w:szCs w:val="24"/>
          </w:rPr>
          <w:t xml:space="preserve"> et al.</w:t>
        </w:r>
        <w:r>
          <w:rPr>
            <w:rFonts w:ascii="Arial" w:eastAsia="Calibri" w:hAnsi="Arial" w:cs="Arial"/>
            <w:noProof/>
            <w:sz w:val="24"/>
            <w:szCs w:val="24"/>
          </w:rPr>
          <w:t xml:space="preserve"> </w:t>
        </w:r>
        <w:r w:rsidR="000661E6">
          <w:rPr>
            <w:rFonts w:ascii="Arial" w:eastAsia="Calibri" w:hAnsi="Arial" w:cs="Arial"/>
            <w:noProof/>
            <w:sz w:val="24"/>
            <w:szCs w:val="24"/>
          </w:rPr>
          <w:t>(</w:t>
        </w:r>
        <w:r>
          <w:rPr>
            <w:rFonts w:ascii="Arial" w:eastAsia="Calibri" w:hAnsi="Arial" w:cs="Arial"/>
            <w:noProof/>
            <w:sz w:val="24"/>
            <w:szCs w:val="24"/>
          </w:rPr>
          <w:t>2009</w:t>
        </w:r>
      </w:hyperlink>
      <w:r>
        <w:rPr>
          <w:rFonts w:ascii="Arial" w:eastAsia="Calibri" w:hAnsi="Arial" w:cs="Arial"/>
          <w:sz w:val="24"/>
          <w:szCs w:val="24"/>
        </w:rPr>
        <w:fldChar w:fldCharType="end"/>
      </w:r>
      <w:r w:rsidR="000661E6">
        <w:rPr>
          <w:rFonts w:ascii="Arial" w:eastAsia="Calibri" w:hAnsi="Arial" w:cs="Arial"/>
          <w:sz w:val="24"/>
          <w:szCs w:val="24"/>
        </w:rPr>
        <w:t>)</w:t>
      </w:r>
      <w:r w:rsidRPr="00E840F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166A3C" w:rsidRPr="007756D3" w:rsidRDefault="00166A3C" w:rsidP="00AF2CCC">
      <w:pPr>
        <w:spacing w:line="480" w:lineRule="auto"/>
        <w:rPr>
          <w:rFonts w:ascii="Arial" w:eastAsia="Calibri" w:hAnsi="Arial" w:cs="Arial"/>
          <w:b/>
          <w:i/>
          <w:sz w:val="24"/>
          <w:szCs w:val="24"/>
        </w:rPr>
      </w:pPr>
      <w:r w:rsidRPr="007756D3">
        <w:rPr>
          <w:rFonts w:ascii="Arial" w:eastAsia="Calibri" w:hAnsi="Arial" w:cs="Arial"/>
          <w:b/>
          <w:i/>
          <w:sz w:val="24"/>
          <w:szCs w:val="24"/>
        </w:rPr>
        <w:lastRenderedPageBreak/>
        <w:t xml:space="preserve">Table 1 </w:t>
      </w:r>
      <w:r w:rsidRPr="000661E6">
        <w:rPr>
          <w:rFonts w:ascii="Arial" w:eastAsia="Calibri" w:hAnsi="Arial" w:cs="Arial"/>
          <w:sz w:val="22"/>
        </w:rPr>
        <w:t xml:space="preserve">Coefficients and values of spline function for criterion 1 according to the expert consultation in </w:t>
      </w:r>
      <w:r w:rsidRPr="000661E6">
        <w:rPr>
          <w:rFonts w:ascii="Arial" w:eastAsia="Calibri" w:hAnsi="Arial" w:cs="Arial"/>
          <w:sz w:val="22"/>
        </w:rPr>
        <w:fldChar w:fldCharType="begin"/>
      </w:r>
      <w:r w:rsidRPr="000661E6">
        <w:rPr>
          <w:rFonts w:ascii="Arial" w:eastAsia="Calibri" w:hAnsi="Arial" w:cs="Arial"/>
          <w:sz w:val="22"/>
        </w:rPr>
        <w:instrText xml:space="preserve"> ADDIN EN.CITE &lt;EndNote&gt;&lt;Cite&gt;&lt;Author&gt;Botreau&lt;/Author&gt;&lt;Year&gt;2009&lt;/Year&gt;&lt;RecNum&gt;1596&lt;/RecNum&gt;&lt;DisplayText&gt;(Botreau&lt;style face="italic"&gt; et al.&lt;/style&gt;, 2009)&lt;/DisplayText&gt;&lt;record&gt;&lt;rec-number&gt;1596&lt;/rec-number&gt;&lt;foreign-keys&gt;&lt;key app="EN" db-id="a0ef9ap5mztt9herdsqxtsxhx2et52ev5wr2"&gt;1596&lt;/key&gt;&lt;/foreign-keys&gt;&lt;ref-type name="Report"&gt;27&lt;/ref-type&gt;&lt;contributors&gt;&lt;authors&gt;&lt;author&gt;Botreau, R. &lt;/author&gt;&lt;author&gt;Buist, W.&lt;/author&gt;&lt;author&gt;Butterworth, A. &lt;/author&gt;&lt;author&gt;Perny, P.&lt;/author&gt;&lt;author&gt;Veissier, I.&lt;/author&gt;&lt;/authors&gt;&lt;tertiary-authors&gt;&lt;author&gt;Welfare Quality&lt;/author&gt;&lt;/tertiary-authors&gt;&lt;/contributors&gt;&lt;titles&gt;&lt;title&gt;Reports on the construction of welfare criteria for different livestock species. Part 3 – Subcriteria construction for Broilers on farm&lt;/title&gt;&lt;/titles&gt;&lt;volume&gt;Deliverable 2.8c, subtask 2.3.1.2&lt;/volume&gt;&lt;dates&gt;&lt;year&gt;2009&lt;/year&gt;&lt;/dates&gt;&lt;pub-location&gt;Lelystad, The Netherlands&lt;/pub-location&gt;&lt;publisher&gt; &lt;/publisher&gt;&lt;urls&gt;&lt;/urls&gt;&lt;/record&gt;&lt;/Cite&gt;&lt;/EndNote&gt;</w:instrText>
      </w:r>
      <w:r w:rsidRPr="000661E6">
        <w:rPr>
          <w:rFonts w:ascii="Arial" w:eastAsia="Calibri" w:hAnsi="Arial" w:cs="Arial"/>
          <w:sz w:val="22"/>
        </w:rPr>
        <w:fldChar w:fldCharType="separate"/>
      </w:r>
      <w:hyperlink w:anchor="_ENREF_1" w:tooltip="Botreau, 2009 #1596" w:history="1">
        <w:r w:rsidR="000661E6">
          <w:rPr>
            <w:rFonts w:ascii="Arial" w:eastAsia="Calibri" w:hAnsi="Arial" w:cs="Arial"/>
            <w:noProof/>
            <w:sz w:val="22"/>
          </w:rPr>
          <w:t>Botreau et al.</w:t>
        </w:r>
        <w:r w:rsidRPr="000661E6">
          <w:rPr>
            <w:rFonts w:ascii="Arial" w:eastAsia="Calibri" w:hAnsi="Arial" w:cs="Arial"/>
            <w:noProof/>
            <w:sz w:val="22"/>
          </w:rPr>
          <w:t xml:space="preserve"> </w:t>
        </w:r>
        <w:r w:rsidR="000661E6">
          <w:rPr>
            <w:rFonts w:ascii="Arial" w:eastAsia="Calibri" w:hAnsi="Arial" w:cs="Arial"/>
            <w:noProof/>
            <w:sz w:val="22"/>
          </w:rPr>
          <w:t>(</w:t>
        </w:r>
        <w:r w:rsidRPr="000661E6">
          <w:rPr>
            <w:rFonts w:ascii="Arial" w:eastAsia="Calibri" w:hAnsi="Arial" w:cs="Arial"/>
            <w:noProof/>
            <w:sz w:val="22"/>
          </w:rPr>
          <w:t>2009</w:t>
        </w:r>
      </w:hyperlink>
      <w:r w:rsidRPr="000661E6">
        <w:rPr>
          <w:rFonts w:ascii="Arial" w:eastAsia="Calibri" w:hAnsi="Arial" w:cs="Arial"/>
          <w:sz w:val="22"/>
        </w:rPr>
        <w:fldChar w:fldCharType="end"/>
      </w:r>
      <w:r w:rsidR="000661E6">
        <w:rPr>
          <w:rFonts w:ascii="Arial" w:eastAsia="Calibri" w:hAnsi="Arial" w:cs="Arial"/>
          <w:sz w:val="22"/>
        </w:rPr>
        <w:t>)</w:t>
      </w:r>
      <w:r w:rsidRPr="000661E6">
        <w:rPr>
          <w:rFonts w:ascii="Arial" w:eastAsia="Calibri" w:hAnsi="Arial" w:cs="Arial"/>
          <w:sz w:val="22"/>
        </w:rPr>
        <w:t xml:space="preserve"> and as shown in Figure 1 in this Supplementary Material S2.</w:t>
      </w:r>
      <w:r w:rsidRPr="000661E6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077"/>
        <w:gridCol w:w="2977"/>
      </w:tblGrid>
      <w:tr w:rsidR="00166A3C" w:rsidTr="006F6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 xml:space="preserve">Coefficients                       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Value</w:t>
            </w:r>
          </w:p>
        </w:tc>
      </w:tr>
      <w:tr w:rsidR="00166A3C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a1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0.0000000000</w:t>
            </w:r>
          </w:p>
        </w:tc>
      </w:tr>
      <w:tr w:rsidR="00166A3C" w:rsidTr="006F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b1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0.0000000000</w:t>
            </w:r>
          </w:p>
        </w:tc>
      </w:tr>
      <w:tr w:rsidR="00166A3C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c1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0.0093729150</w:t>
            </w:r>
          </w:p>
        </w:tc>
      </w:tr>
      <w:tr w:rsidR="00166A3C" w:rsidTr="006F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 xml:space="preserve">d1                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-0.0000541267</w:t>
            </w:r>
          </w:p>
        </w:tc>
      </w:tr>
      <w:tr w:rsidR="00166A3C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a2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-3865.4448840019</w:t>
            </w:r>
          </w:p>
        </w:tc>
      </w:tr>
      <w:tr w:rsidR="00166A3C" w:rsidTr="006F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b2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144.9541766846</w:t>
            </w:r>
          </w:p>
        </w:tc>
      </w:tr>
      <w:tr w:rsidR="00166A3C" w:rsidTr="006F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c2</w:t>
            </w:r>
          </w:p>
        </w:tc>
        <w:tc>
          <w:tcPr>
            <w:tcW w:w="2977" w:type="dxa"/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-1.8025542202</w:t>
            </w:r>
          </w:p>
        </w:tc>
      </w:tr>
      <w:tr w:rsidR="00166A3C" w:rsidTr="006F65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rPr>
                <w:rFonts w:ascii="Arial" w:eastAsia="Calibri" w:hAnsi="Arial" w:cs="Arial"/>
                <w:b w:val="0"/>
                <w:sz w:val="22"/>
              </w:rPr>
            </w:pPr>
            <w:r w:rsidRPr="007756D3">
              <w:rPr>
                <w:rFonts w:ascii="Arial" w:eastAsia="Calibri" w:hAnsi="Arial" w:cs="Arial"/>
                <w:b w:val="0"/>
                <w:sz w:val="22"/>
              </w:rPr>
              <w:t>d2</w:t>
            </w:r>
          </w:p>
        </w:tc>
        <w:tc>
          <w:tcPr>
            <w:tcW w:w="297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166A3C" w:rsidRPr="007756D3" w:rsidRDefault="00166A3C" w:rsidP="006F65F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</w:rPr>
            </w:pPr>
            <w:r w:rsidRPr="007756D3">
              <w:rPr>
                <w:rFonts w:ascii="Arial" w:eastAsia="Calibri" w:hAnsi="Arial" w:cs="Arial"/>
                <w:sz w:val="22"/>
              </w:rPr>
              <w:t>0.0074955694</w:t>
            </w:r>
          </w:p>
        </w:tc>
      </w:tr>
    </w:tbl>
    <w:p w:rsidR="00166A3C" w:rsidRDefault="00166A3C" w:rsidP="00166A3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</w:p>
    <w:p w:rsidR="00166A3C" w:rsidRPr="00E840F0" w:rsidRDefault="00166A3C" w:rsidP="00166A3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A42C74">
        <w:rPr>
          <w:rFonts w:ascii="Arial" w:eastAsia="Calibri" w:hAnsi="Arial" w:cs="Arial"/>
          <w:sz w:val="24"/>
          <w:szCs w:val="24"/>
        </w:rPr>
        <w:t>The index is transformed into a score wi</w:t>
      </w:r>
      <w:r>
        <w:rPr>
          <w:rFonts w:ascii="Arial" w:eastAsia="Calibri" w:hAnsi="Arial" w:cs="Arial"/>
          <w:sz w:val="24"/>
          <w:szCs w:val="24"/>
        </w:rPr>
        <w:t>th l-spline functions (Figure 1</w:t>
      </w:r>
      <w:r w:rsidRPr="00A42C74">
        <w:rPr>
          <w:rFonts w:ascii="Arial" w:eastAsia="Calibri" w:hAnsi="Arial" w:cs="Arial"/>
          <w:sz w:val="24"/>
          <w:szCs w:val="24"/>
        </w:rPr>
        <w:t>) as follows:</w:t>
      </w:r>
    </w:p>
    <w:p w:rsidR="00166A3C" w:rsidRPr="00E840F0" w:rsidRDefault="00166A3C" w:rsidP="00166A3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E840F0">
        <w:rPr>
          <w:rFonts w:ascii="Arial" w:eastAsia="Calibri" w:hAnsi="Arial" w:cs="Arial"/>
          <w:sz w:val="24"/>
          <w:szCs w:val="24"/>
        </w:rPr>
        <w:t>Index = I</w:t>
      </w:r>
    </w:p>
    <w:p w:rsidR="00166A3C" w:rsidRPr="00E840F0" w:rsidRDefault="00166A3C" w:rsidP="00166A3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E840F0">
        <w:rPr>
          <w:rFonts w:ascii="Arial" w:eastAsia="Calibri" w:hAnsi="Arial" w:cs="Arial"/>
          <w:sz w:val="24"/>
          <w:szCs w:val="24"/>
        </w:rPr>
        <w:t>When I≤80               then Score = 0.0093729 x I</w:t>
      </w:r>
      <w:r w:rsidRPr="00E840F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E840F0">
        <w:rPr>
          <w:rFonts w:ascii="Arial" w:eastAsia="Calibri" w:hAnsi="Arial" w:cs="Arial"/>
          <w:sz w:val="24"/>
          <w:szCs w:val="24"/>
        </w:rPr>
        <w:t xml:space="preserve"> - 0.0000541267 x I</w:t>
      </w:r>
      <w:r w:rsidRPr="00E840F0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E840F0">
        <w:rPr>
          <w:rFonts w:ascii="Arial" w:eastAsia="Calibri" w:hAnsi="Arial" w:cs="Arial"/>
          <w:sz w:val="24"/>
          <w:szCs w:val="24"/>
        </w:rPr>
        <w:t xml:space="preserve">  </w:t>
      </w:r>
    </w:p>
    <w:p w:rsidR="00166A3C" w:rsidRDefault="00166A3C" w:rsidP="00166A3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 w:rsidRPr="00E840F0">
        <w:rPr>
          <w:rFonts w:ascii="Arial" w:eastAsia="Calibri" w:hAnsi="Arial" w:cs="Arial"/>
          <w:sz w:val="24"/>
          <w:szCs w:val="24"/>
        </w:rPr>
        <w:t>When I≥80               then Score = -3865.445 + (144.95418 x I) – (1.8025542 x I</w:t>
      </w:r>
      <w:r w:rsidRPr="00E840F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E840F0">
        <w:rPr>
          <w:rFonts w:ascii="Arial" w:eastAsia="Calibri" w:hAnsi="Arial" w:cs="Arial"/>
          <w:sz w:val="24"/>
          <w:szCs w:val="24"/>
        </w:rPr>
        <w:t>) + (0.0074955694 x I</w:t>
      </w:r>
      <w:r w:rsidRPr="00E840F0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E840F0">
        <w:rPr>
          <w:rFonts w:ascii="Arial" w:eastAsia="Calibri" w:hAnsi="Arial" w:cs="Arial"/>
          <w:sz w:val="24"/>
          <w:szCs w:val="24"/>
        </w:rPr>
        <w:t>)</w:t>
      </w:r>
    </w:p>
    <w:p w:rsidR="004217C2" w:rsidRDefault="00166A3C" w:rsidP="00166A3C">
      <w:pPr>
        <w:spacing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index as presented above replaces the index as presented in chap</w:t>
      </w:r>
      <w:r w:rsidR="000661E6">
        <w:rPr>
          <w:rFonts w:ascii="Arial" w:eastAsia="Calibri" w:hAnsi="Arial" w:cs="Arial"/>
          <w:sz w:val="24"/>
          <w:szCs w:val="24"/>
        </w:rPr>
        <w:t xml:space="preserve">ter 5.2.1.1. </w:t>
      </w:r>
      <w:proofErr w:type="gramStart"/>
      <w:r w:rsidR="000661E6">
        <w:rPr>
          <w:rFonts w:ascii="Arial" w:eastAsia="Calibri" w:hAnsi="Arial" w:cs="Arial"/>
          <w:sz w:val="24"/>
          <w:szCs w:val="24"/>
        </w:rPr>
        <w:t>in</w:t>
      </w:r>
      <w:proofErr w:type="gramEnd"/>
      <w:r w:rsidR="000661E6">
        <w:rPr>
          <w:rFonts w:ascii="Arial" w:eastAsia="Calibri" w:hAnsi="Arial" w:cs="Arial"/>
          <w:sz w:val="24"/>
          <w:szCs w:val="24"/>
        </w:rPr>
        <w:t xml:space="preserve"> Welfare Quality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661E6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2009</w:t>
      </w:r>
      <w:r w:rsidR="000661E6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.</w:t>
      </w:r>
    </w:p>
    <w:p w:rsidR="00C319AC" w:rsidRDefault="00C319AC" w:rsidP="00C319AC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</w:p>
    <w:p w:rsidR="00C319AC" w:rsidRDefault="00C319AC" w:rsidP="00C319AC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References</w:t>
      </w:r>
    </w:p>
    <w:p w:rsidR="00386F9B" w:rsidRDefault="00C319AC" w:rsidP="00386F9B">
      <w:pPr>
        <w:spacing w:after="0" w:line="48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AA5DB1">
        <w:rPr>
          <w:rFonts w:ascii="Arial" w:eastAsia="Calibri" w:hAnsi="Arial" w:cs="Arial"/>
          <w:sz w:val="24"/>
          <w:szCs w:val="24"/>
        </w:rPr>
        <w:fldChar w:fldCharType="begin"/>
      </w:r>
      <w:r w:rsidRPr="00AA5DB1">
        <w:rPr>
          <w:rFonts w:ascii="Arial" w:eastAsia="Calibri" w:hAnsi="Arial" w:cs="Arial"/>
          <w:sz w:val="24"/>
          <w:szCs w:val="24"/>
        </w:rPr>
        <w:instrText xml:space="preserve"> ADDIN EN.REFLIST </w:instrText>
      </w:r>
      <w:r w:rsidRPr="00AA5DB1">
        <w:rPr>
          <w:rFonts w:ascii="Arial" w:eastAsia="Calibri" w:hAnsi="Arial" w:cs="Arial"/>
          <w:sz w:val="24"/>
          <w:szCs w:val="24"/>
        </w:rPr>
        <w:fldChar w:fldCharType="separate"/>
      </w:r>
      <w:bookmarkStart w:id="1" w:name="_ENREF_1"/>
      <w:r w:rsidRPr="00A6042D">
        <w:rPr>
          <w:rFonts w:ascii="Arial" w:eastAsia="Calibri" w:hAnsi="Arial" w:cs="Arial"/>
          <w:noProof/>
          <w:sz w:val="22"/>
        </w:rPr>
        <w:t xml:space="preserve">Botreau R, Buist W, Butterworth A, Perny P and Veissier I 2009. Reports on the construction of welfare criteria for different livestock species. Part 3 – Subcriteria construction for Broilers on farm. </w:t>
      </w:r>
      <w:bookmarkEnd w:id="1"/>
      <w:r>
        <w:rPr>
          <w:rFonts w:ascii="Arial" w:eastAsia="Calibri" w:hAnsi="Arial" w:cs="Arial"/>
          <w:noProof/>
          <w:sz w:val="22"/>
        </w:rPr>
        <w:t>Deliverable 2.8c, subtask 2.3.1.2, Welfare Quality</w:t>
      </w:r>
      <w:r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>
        <w:rPr>
          <w:rFonts w:ascii="Arial" w:eastAsia="Calibri" w:hAnsi="Arial" w:cs="Arial"/>
          <w:noProof/>
          <w:sz w:val="22"/>
          <w:vertAlign w:val="superscript"/>
        </w:rPr>
        <w:t xml:space="preserve"> </w:t>
      </w:r>
      <w:r>
        <w:rPr>
          <w:rFonts w:ascii="Arial" w:eastAsia="Calibri" w:hAnsi="Arial" w:cs="Arial"/>
          <w:noProof/>
          <w:sz w:val="22"/>
        </w:rPr>
        <w:t xml:space="preserve">(EU Food-CT-2004-506508), Lelystad, The Netherlands. </w:t>
      </w:r>
      <w:bookmarkStart w:id="2" w:name="_ENREF_2"/>
    </w:p>
    <w:p w:rsidR="00C319AC" w:rsidRPr="00386F9B" w:rsidRDefault="00C319AC" w:rsidP="00386F9B">
      <w:pPr>
        <w:spacing w:after="0" w:line="48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A6042D">
        <w:rPr>
          <w:rFonts w:ascii="Arial" w:eastAsia="Calibri" w:hAnsi="Arial" w:cs="Arial"/>
          <w:noProof/>
          <w:sz w:val="22"/>
        </w:rPr>
        <w:lastRenderedPageBreak/>
        <w:t>Welfare Quality 2009. The Welfare Quality</w:t>
      </w:r>
      <w:r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Pr="00A6042D">
        <w:rPr>
          <w:rFonts w:ascii="Arial" w:eastAsia="Calibri" w:hAnsi="Arial" w:cs="Arial"/>
          <w:noProof/>
          <w:sz w:val="22"/>
        </w:rPr>
        <w:t xml:space="preserve"> assessment protocol for poultry (broilers, laying hens). The Welfare Quality</w:t>
      </w:r>
      <w:r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Pr="00A6042D">
        <w:rPr>
          <w:rFonts w:ascii="Arial" w:eastAsia="Calibri" w:hAnsi="Arial" w:cs="Arial"/>
          <w:noProof/>
          <w:sz w:val="22"/>
        </w:rPr>
        <w:t xml:space="preserve"> Consortium, Lelystad</w:t>
      </w:r>
      <w:bookmarkEnd w:id="2"/>
      <w:r>
        <w:rPr>
          <w:rFonts w:ascii="Arial" w:eastAsia="Calibri" w:hAnsi="Arial" w:cs="Arial"/>
          <w:noProof/>
          <w:sz w:val="22"/>
        </w:rPr>
        <w:t>, The Netherlands.</w:t>
      </w:r>
    </w:p>
    <w:p w:rsidR="00C319AC" w:rsidRDefault="00C319AC" w:rsidP="00C319AC">
      <w:pPr>
        <w:spacing w:line="480" w:lineRule="auto"/>
      </w:pPr>
      <w:r w:rsidRPr="00AA5DB1">
        <w:rPr>
          <w:rFonts w:ascii="Arial" w:eastAsia="Calibri" w:hAnsi="Arial" w:cs="Arial"/>
          <w:sz w:val="24"/>
          <w:szCs w:val="24"/>
        </w:rPr>
        <w:fldChar w:fldCharType="end"/>
      </w:r>
    </w:p>
    <w:sectPr w:rsidR="00C319AC" w:rsidSect="00166A3C">
      <w:footerReference w:type="default" r:id="rId8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3C" w:rsidRDefault="00166A3C" w:rsidP="00166A3C">
      <w:pPr>
        <w:spacing w:after="0" w:line="240" w:lineRule="auto"/>
      </w:pPr>
      <w:r>
        <w:separator/>
      </w:r>
    </w:p>
  </w:endnote>
  <w:endnote w:type="continuationSeparator" w:id="0">
    <w:p w:rsidR="00166A3C" w:rsidRDefault="00166A3C" w:rsidP="0016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1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A3C" w:rsidRDefault="00166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6A3C" w:rsidRDefault="00166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3C" w:rsidRDefault="00166A3C" w:rsidP="00166A3C">
      <w:pPr>
        <w:spacing w:after="0" w:line="240" w:lineRule="auto"/>
      </w:pPr>
      <w:r>
        <w:separator/>
      </w:r>
    </w:p>
  </w:footnote>
  <w:footnote w:type="continuationSeparator" w:id="0">
    <w:p w:rsidR="00166A3C" w:rsidRDefault="00166A3C" w:rsidP="00166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3C"/>
    <w:rsid w:val="000661E6"/>
    <w:rsid w:val="00166A3C"/>
    <w:rsid w:val="001B2CB8"/>
    <w:rsid w:val="00213785"/>
    <w:rsid w:val="00284267"/>
    <w:rsid w:val="00386F9B"/>
    <w:rsid w:val="003D6BAB"/>
    <w:rsid w:val="004217C2"/>
    <w:rsid w:val="00474705"/>
    <w:rsid w:val="004957E9"/>
    <w:rsid w:val="004E71A7"/>
    <w:rsid w:val="005964AE"/>
    <w:rsid w:val="00663605"/>
    <w:rsid w:val="006C1F66"/>
    <w:rsid w:val="008273D8"/>
    <w:rsid w:val="008357F1"/>
    <w:rsid w:val="008D4E3D"/>
    <w:rsid w:val="00A3212F"/>
    <w:rsid w:val="00AD62CA"/>
    <w:rsid w:val="00AF2CCC"/>
    <w:rsid w:val="00B95B25"/>
    <w:rsid w:val="00C319AC"/>
    <w:rsid w:val="00D4356C"/>
    <w:rsid w:val="00D7715F"/>
    <w:rsid w:val="00D8644E"/>
    <w:rsid w:val="00DA14D6"/>
    <w:rsid w:val="00E9671E"/>
    <w:rsid w:val="00EA1206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66A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6A3C"/>
  </w:style>
  <w:style w:type="paragraph" w:styleId="Header">
    <w:name w:val="header"/>
    <w:basedOn w:val="Normal"/>
    <w:link w:val="HeaderChar"/>
    <w:uiPriority w:val="99"/>
    <w:unhideWhenUsed/>
    <w:rsid w:val="001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3C"/>
  </w:style>
  <w:style w:type="paragraph" w:styleId="Footer">
    <w:name w:val="footer"/>
    <w:basedOn w:val="Normal"/>
    <w:link w:val="FooterChar"/>
    <w:uiPriority w:val="99"/>
    <w:unhideWhenUsed/>
    <w:rsid w:val="001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66A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66A3C"/>
  </w:style>
  <w:style w:type="paragraph" w:styleId="Header">
    <w:name w:val="header"/>
    <w:basedOn w:val="Normal"/>
    <w:link w:val="HeaderChar"/>
    <w:uiPriority w:val="99"/>
    <w:unhideWhenUsed/>
    <w:rsid w:val="001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3C"/>
  </w:style>
  <w:style w:type="paragraph" w:styleId="Footer">
    <w:name w:val="footer"/>
    <w:basedOn w:val="Normal"/>
    <w:link w:val="FooterChar"/>
    <w:uiPriority w:val="99"/>
    <w:unhideWhenUsed/>
    <w:rsid w:val="001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4</cp:revision>
  <dcterms:created xsi:type="dcterms:W3CDTF">2015-05-25T20:07:00Z</dcterms:created>
  <dcterms:modified xsi:type="dcterms:W3CDTF">2015-07-16T11:28:00Z</dcterms:modified>
</cp:coreProperties>
</file>