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32" w:rsidRDefault="00AB1032" w:rsidP="00AB1032">
      <w:pPr>
        <w:pStyle w:val="ANMTabtitle"/>
        <w:spacing w:line="240" w:lineRule="auto"/>
        <w:rPr>
          <w:rStyle w:val="ANMheading1Car"/>
          <w:i w:val="0"/>
        </w:rPr>
      </w:pPr>
      <w:bookmarkStart w:id="0" w:name="_GoBack"/>
      <w:bookmarkEnd w:id="0"/>
      <w:r>
        <w:rPr>
          <w:rStyle w:val="ANMheading1Car"/>
          <w:i w:val="0"/>
        </w:rPr>
        <w:t>Supplementary Tables</w:t>
      </w:r>
    </w:p>
    <w:p w:rsidR="00AB1032" w:rsidRPr="00AB1032" w:rsidRDefault="00AB1032" w:rsidP="00AB1032">
      <w:pPr>
        <w:pStyle w:val="ANMapapertitle"/>
        <w:spacing w:line="240" w:lineRule="auto"/>
        <w:rPr>
          <w:b w:val="0"/>
        </w:rPr>
      </w:pPr>
      <w:r w:rsidRPr="00AB1032">
        <w:rPr>
          <w:b w:val="0"/>
        </w:rPr>
        <w:t>Effects of the level of early productivity on the lifespan of ewes in contrasting flock environments</w:t>
      </w:r>
    </w:p>
    <w:p w:rsidR="00AB1032" w:rsidRPr="00AB1032" w:rsidRDefault="00AB1032" w:rsidP="00AB1032">
      <w:pPr>
        <w:pStyle w:val="ANMauthorname"/>
        <w:spacing w:line="240" w:lineRule="auto"/>
      </w:pPr>
      <w:r w:rsidRPr="00AB1032">
        <w:t xml:space="preserve">F. </w:t>
      </w:r>
      <w:proofErr w:type="spellStart"/>
      <w:r w:rsidRPr="00AB1032">
        <w:t>Douhard</w:t>
      </w:r>
      <w:proofErr w:type="spellEnd"/>
      <w:r w:rsidRPr="00AB1032">
        <w:t xml:space="preserve">, N. B. </w:t>
      </w:r>
      <w:proofErr w:type="spellStart"/>
      <w:r w:rsidRPr="00AB1032">
        <w:t>Jopson</w:t>
      </w:r>
      <w:proofErr w:type="spellEnd"/>
      <w:r w:rsidRPr="00AB1032">
        <w:t xml:space="preserve">, N. C. </w:t>
      </w:r>
      <w:proofErr w:type="spellStart"/>
      <w:r w:rsidRPr="00AB1032">
        <w:t>Friggens</w:t>
      </w:r>
      <w:proofErr w:type="spellEnd"/>
      <w:r w:rsidRPr="00AB1032">
        <w:t xml:space="preserve"> and P. R. </w:t>
      </w:r>
      <w:proofErr w:type="spellStart"/>
      <w:r w:rsidRPr="00AB1032">
        <w:t>Amer</w:t>
      </w:r>
      <w:proofErr w:type="spellEnd"/>
    </w:p>
    <w:p w:rsidR="00AB1032" w:rsidRPr="00AB1032" w:rsidRDefault="00AB1032" w:rsidP="00AB1032">
      <w:pPr>
        <w:spacing w:line="240" w:lineRule="auto"/>
        <w:rPr>
          <w:lang w:val="en-GB" w:eastAsia="fr-FR"/>
        </w:rPr>
      </w:pPr>
    </w:p>
    <w:p w:rsidR="00AB1032" w:rsidRDefault="00AB1032" w:rsidP="00AB1032">
      <w:pPr>
        <w:pStyle w:val="ANMTabtitle"/>
        <w:spacing w:line="240" w:lineRule="auto"/>
      </w:pPr>
      <w:r>
        <w:rPr>
          <w:rStyle w:val="ANMheading1Car"/>
          <w:i w:val="0"/>
        </w:rPr>
        <w:t>Table S1</w:t>
      </w:r>
      <w:r w:rsidRPr="00CA7476">
        <w:rPr>
          <w:rStyle w:val="ANMheading1Car"/>
          <w:i w:val="0"/>
        </w:rPr>
        <w:t xml:space="preserve"> </w:t>
      </w:r>
      <w:r w:rsidRPr="00CE6E05">
        <w:t xml:space="preserve">Parameters estimates of the logistic model relating ewes’ traits of </w:t>
      </w:r>
      <w:proofErr w:type="spellStart"/>
      <w:r w:rsidRPr="00CE6E05">
        <w:t>stayability</w:t>
      </w:r>
      <w:proofErr w:type="spellEnd"/>
      <w:r w:rsidRPr="00CE6E05">
        <w:t xml:space="preserve"> to their level of early prolificacy in contrasting flock environments, with the </w:t>
      </w:r>
      <w:r>
        <w:t>calculated optimal level of prolificacy</w:t>
      </w:r>
    </w:p>
    <w:tbl>
      <w:tblPr>
        <w:tblStyle w:val="TableGrid"/>
        <w:tblW w:w="0" w:type="auto"/>
        <w:jc w:val="center"/>
        <w:tblInd w:w="-873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984"/>
        <w:gridCol w:w="992"/>
        <w:gridCol w:w="567"/>
        <w:gridCol w:w="851"/>
        <w:gridCol w:w="567"/>
        <w:gridCol w:w="850"/>
        <w:gridCol w:w="567"/>
        <w:gridCol w:w="986"/>
      </w:tblGrid>
      <w:tr w:rsidR="00AB1032" w:rsidRPr="00CE6E05" w:rsidTr="00B9013B">
        <w:trPr>
          <w:cantSplit/>
          <w:trHeight w:val="212"/>
          <w:jc w:val="center"/>
        </w:trPr>
        <w:tc>
          <w:tcPr>
            <w:tcW w:w="1414" w:type="dxa"/>
            <w:vMerge w:val="restart"/>
            <w:vAlign w:val="center"/>
          </w:tcPr>
          <w:p w:rsidR="00AB1032" w:rsidRPr="00CE6E05" w:rsidRDefault="00AB1032" w:rsidP="00AB1032">
            <w:pPr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Stayability</w:t>
            </w:r>
            <w:r w:rsidRPr="00CE6E05">
              <w:rPr>
                <w:rFonts w:cs="Arial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AB1032" w:rsidRPr="00CE6E05" w:rsidRDefault="00AB1032" w:rsidP="00AB1032">
            <w:pPr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Flock environment</w:t>
            </w:r>
          </w:p>
        </w:tc>
        <w:tc>
          <w:tcPr>
            <w:tcW w:w="4394" w:type="dxa"/>
            <w:gridSpan w:val="6"/>
            <w:vAlign w:val="center"/>
          </w:tcPr>
          <w:p w:rsidR="00AB1032" w:rsidRPr="00615223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Parameters estimated</w:t>
            </w:r>
          </w:p>
        </w:tc>
        <w:tc>
          <w:tcPr>
            <w:tcW w:w="986" w:type="dxa"/>
            <w:vMerge w:val="restart"/>
            <w:vAlign w:val="center"/>
          </w:tcPr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vertAlign w:val="superscript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Optimal NLB</w:t>
            </w:r>
            <w:r w:rsidRPr="00CE6E05">
              <w:rPr>
                <w:rFonts w:cs="Arial"/>
                <w:sz w:val="22"/>
                <w:szCs w:val="22"/>
                <w:vertAlign w:val="subscript"/>
                <w:lang w:val="en-GB"/>
              </w:rPr>
              <w:t>2-3</w:t>
            </w:r>
            <w:r>
              <w:rPr>
                <w:rFonts w:cs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</w:tr>
      <w:tr w:rsidR="00AB1032" w:rsidRPr="00CE6E05" w:rsidTr="00B9013B">
        <w:trPr>
          <w:cantSplit/>
          <w:trHeight w:val="363"/>
          <w:jc w:val="center"/>
        </w:trPr>
        <w:tc>
          <w:tcPr>
            <w:tcW w:w="1414" w:type="dxa"/>
            <w:vMerge/>
            <w:vAlign w:val="center"/>
          </w:tcPr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vMerge/>
            <w:vAlign w:val="center"/>
          </w:tcPr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β</w:t>
            </w:r>
            <w:r w:rsidRPr="00CE6E05">
              <w:rPr>
                <w:rFonts w:cs="Arial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β</w:t>
            </w:r>
            <w:r w:rsidRPr="00CE6E05">
              <w:rPr>
                <w:rFonts w:cs="Arial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β</w:t>
            </w:r>
            <w:r w:rsidRPr="00CE6E05">
              <w:rPr>
                <w:rFonts w:cs="Arial"/>
                <w:sz w:val="22"/>
                <w:szCs w:val="22"/>
                <w:vertAlign w:val="subscript"/>
                <w:lang w:val="en-GB"/>
              </w:rPr>
              <w:t>0</w:t>
            </w:r>
          </w:p>
        </w:tc>
        <w:tc>
          <w:tcPr>
            <w:tcW w:w="986" w:type="dxa"/>
            <w:vMerge/>
            <w:vAlign w:val="center"/>
          </w:tcPr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AB1032" w:rsidRPr="00CE6E05" w:rsidTr="00B9013B">
        <w:trPr>
          <w:cantSplit/>
          <w:trHeight w:val="363"/>
          <w:jc w:val="center"/>
        </w:trPr>
        <w:tc>
          <w:tcPr>
            <w:tcW w:w="1414" w:type="dxa"/>
            <w:vMerge/>
            <w:vAlign w:val="center"/>
          </w:tcPr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vMerge/>
            <w:vAlign w:val="center"/>
          </w:tcPr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value</w:t>
            </w:r>
          </w:p>
        </w:tc>
        <w:tc>
          <w:tcPr>
            <w:tcW w:w="567" w:type="dxa"/>
            <w:vAlign w:val="center"/>
          </w:tcPr>
          <w:p w:rsidR="00AB1032" w:rsidRPr="005C45E3" w:rsidRDefault="00AB1032" w:rsidP="00AB1032">
            <w:pPr>
              <w:jc w:val="center"/>
              <w:rPr>
                <w:rFonts w:cs="Arial"/>
                <w:i/>
                <w:sz w:val="22"/>
                <w:szCs w:val="22"/>
                <w:lang w:val="en-GB"/>
              </w:rPr>
            </w:pPr>
            <w:r w:rsidRPr="005C45E3">
              <w:rPr>
                <w:rFonts w:cs="Arial"/>
                <w:i/>
                <w:sz w:val="22"/>
                <w:szCs w:val="22"/>
                <w:lang w:val="en-GB"/>
              </w:rPr>
              <w:t>P</w:t>
            </w:r>
          </w:p>
        </w:tc>
        <w:tc>
          <w:tcPr>
            <w:tcW w:w="851" w:type="dxa"/>
            <w:vAlign w:val="center"/>
          </w:tcPr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value</w:t>
            </w:r>
          </w:p>
        </w:tc>
        <w:tc>
          <w:tcPr>
            <w:tcW w:w="567" w:type="dxa"/>
            <w:vAlign w:val="center"/>
          </w:tcPr>
          <w:p w:rsidR="00AB1032" w:rsidRPr="005C45E3" w:rsidRDefault="00AB1032" w:rsidP="00AB1032">
            <w:pPr>
              <w:jc w:val="center"/>
              <w:rPr>
                <w:rFonts w:cs="Arial"/>
                <w:i/>
                <w:sz w:val="22"/>
                <w:szCs w:val="22"/>
                <w:lang w:val="en-GB"/>
              </w:rPr>
            </w:pPr>
            <w:r w:rsidRPr="005C45E3">
              <w:rPr>
                <w:rFonts w:cs="Arial"/>
                <w:i/>
                <w:sz w:val="22"/>
                <w:szCs w:val="22"/>
                <w:lang w:val="en-GB"/>
              </w:rPr>
              <w:t>P</w:t>
            </w:r>
          </w:p>
        </w:tc>
        <w:tc>
          <w:tcPr>
            <w:tcW w:w="850" w:type="dxa"/>
            <w:vAlign w:val="center"/>
          </w:tcPr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value</w:t>
            </w:r>
          </w:p>
        </w:tc>
        <w:tc>
          <w:tcPr>
            <w:tcW w:w="567" w:type="dxa"/>
            <w:vAlign w:val="center"/>
          </w:tcPr>
          <w:p w:rsidR="00AB1032" w:rsidRPr="005C45E3" w:rsidRDefault="00AB1032" w:rsidP="00AB1032">
            <w:pPr>
              <w:jc w:val="center"/>
              <w:rPr>
                <w:rFonts w:cs="Arial"/>
                <w:i/>
                <w:sz w:val="22"/>
                <w:szCs w:val="22"/>
                <w:lang w:val="en-GB"/>
              </w:rPr>
            </w:pPr>
            <w:r w:rsidRPr="005C45E3">
              <w:rPr>
                <w:rFonts w:cs="Arial"/>
                <w:i/>
                <w:sz w:val="22"/>
                <w:szCs w:val="22"/>
                <w:lang w:val="en-GB"/>
              </w:rPr>
              <w:t>P</w:t>
            </w:r>
          </w:p>
        </w:tc>
        <w:tc>
          <w:tcPr>
            <w:tcW w:w="986" w:type="dxa"/>
            <w:vMerge/>
            <w:vAlign w:val="center"/>
          </w:tcPr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AB1032" w:rsidRPr="00CE6E05" w:rsidTr="00B9013B">
        <w:trPr>
          <w:cantSplit/>
          <w:jc w:val="center"/>
        </w:trPr>
        <w:tc>
          <w:tcPr>
            <w:tcW w:w="1414" w:type="dxa"/>
            <w:vAlign w:val="center"/>
          </w:tcPr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4|3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5|3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6|3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7|3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8|3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</w:tcPr>
          <w:p w:rsidR="00AB1032" w:rsidRPr="00CE6E05" w:rsidRDefault="00AB1032" w:rsidP="00AB1032">
            <w:pPr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Moderate</w:t>
            </w:r>
          </w:p>
          <w:p w:rsidR="00AB1032" w:rsidRPr="00CE6E05" w:rsidRDefault="00AB1032" w:rsidP="00AB1032">
            <w:pPr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Harsh</w:t>
            </w:r>
          </w:p>
          <w:p w:rsidR="00AB1032" w:rsidRPr="00CE6E05" w:rsidRDefault="00AB1032" w:rsidP="00AB1032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Harsh – Moderate</w:t>
            </w:r>
          </w:p>
          <w:p w:rsidR="00AB1032" w:rsidRPr="00CE6E05" w:rsidRDefault="00AB1032" w:rsidP="00AB1032">
            <w:pPr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Moderate</w:t>
            </w:r>
          </w:p>
          <w:p w:rsidR="00AB1032" w:rsidRPr="00CE6E05" w:rsidRDefault="00AB1032" w:rsidP="00AB1032">
            <w:pPr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Harsh</w:t>
            </w:r>
          </w:p>
          <w:p w:rsidR="00AB1032" w:rsidRPr="00CE6E05" w:rsidRDefault="00AB1032" w:rsidP="00AB1032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Harsh – Moderate</w:t>
            </w:r>
          </w:p>
          <w:p w:rsidR="00AB1032" w:rsidRPr="00CE6E05" w:rsidRDefault="00AB1032" w:rsidP="00AB1032">
            <w:pPr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Moderate</w:t>
            </w:r>
          </w:p>
          <w:p w:rsidR="00AB1032" w:rsidRPr="00CE6E05" w:rsidRDefault="00AB1032" w:rsidP="00AB1032">
            <w:pPr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Harsh</w:t>
            </w:r>
          </w:p>
          <w:p w:rsidR="00AB1032" w:rsidRPr="00CE6E05" w:rsidRDefault="00AB1032" w:rsidP="00AB1032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Harsh – Moderate</w:t>
            </w:r>
          </w:p>
          <w:p w:rsidR="00AB1032" w:rsidRPr="00CE6E05" w:rsidRDefault="00AB1032" w:rsidP="00AB1032">
            <w:pPr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Moderate</w:t>
            </w:r>
          </w:p>
          <w:p w:rsidR="00AB1032" w:rsidRPr="00CE6E05" w:rsidRDefault="00AB1032" w:rsidP="00AB1032">
            <w:pPr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Harsh</w:t>
            </w:r>
          </w:p>
          <w:p w:rsidR="00AB1032" w:rsidRPr="00CE6E05" w:rsidRDefault="00AB1032" w:rsidP="00AB1032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Harsh – Moderate</w:t>
            </w:r>
          </w:p>
          <w:p w:rsidR="00AB1032" w:rsidRPr="00CE6E05" w:rsidRDefault="00AB1032" w:rsidP="00AB1032">
            <w:pPr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Moderate</w:t>
            </w:r>
          </w:p>
          <w:p w:rsidR="00AB1032" w:rsidRPr="00CE6E05" w:rsidRDefault="00AB1032" w:rsidP="00AB1032">
            <w:pPr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Harsh</w:t>
            </w:r>
          </w:p>
          <w:p w:rsidR="00AB1032" w:rsidRPr="00CE6E05" w:rsidRDefault="00AB1032" w:rsidP="00AB1032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Harsh – Moderate</w:t>
            </w:r>
          </w:p>
        </w:tc>
        <w:tc>
          <w:tcPr>
            <w:tcW w:w="992" w:type="dxa"/>
          </w:tcPr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− 0.36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− 0.14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+ 0.22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vertAlign w:val="superscript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− 0.32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− 0.12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+ 0.20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− 0.35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− 0.10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+ 0.25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− 0.38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− 0.08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+ 0.31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vertAlign w:val="superscript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− 0.52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− 0.16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+ 0.36</w:t>
            </w:r>
          </w:p>
        </w:tc>
        <w:tc>
          <w:tcPr>
            <w:tcW w:w="567" w:type="dxa"/>
          </w:tcPr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3.29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1.23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− 2.06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2.98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1.02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−1.96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3.28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0.76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− 2.51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3.63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0.61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− 3.02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vertAlign w:val="superscript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4.66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1.01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vertAlign w:val="superscript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−3.64</w:t>
            </w:r>
          </w:p>
        </w:tc>
        <w:tc>
          <w:tcPr>
            <w:tcW w:w="567" w:type="dxa"/>
          </w:tcPr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:rsidR="00AB1032" w:rsidRPr="005C45E3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− 5.76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− 1.22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+ 4.54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− 6.28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− 1.93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+ 4.35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− 7.58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− 2.02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+ 5.56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− 9.05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− 2.66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+ 6.38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vertAlign w:val="superscript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− 12.6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vertAlign w:val="superscript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− 5.89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+ 6.67</w:t>
            </w:r>
          </w:p>
        </w:tc>
        <w:tc>
          <w:tcPr>
            <w:tcW w:w="567" w:type="dxa"/>
          </w:tcPr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</w:t>
            </w:r>
          </w:p>
        </w:tc>
        <w:tc>
          <w:tcPr>
            <w:tcW w:w="986" w:type="dxa"/>
          </w:tcPr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4.5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4.2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+ 0.3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4.6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4.1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+ 0.5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4.7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3.9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+ 0.8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4.7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4.0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+ 0.7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4.5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3.2</w:t>
            </w:r>
          </w:p>
          <w:p w:rsidR="00AB1032" w:rsidRPr="00CE6E05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E6E05">
              <w:rPr>
                <w:rFonts w:cs="Arial"/>
                <w:sz w:val="22"/>
                <w:szCs w:val="22"/>
                <w:lang w:val="en-GB"/>
              </w:rPr>
              <w:t>+ 1.3</w:t>
            </w:r>
          </w:p>
        </w:tc>
      </w:tr>
    </w:tbl>
    <w:p w:rsidR="00AB1032" w:rsidRDefault="00AB1032" w:rsidP="00AB1032">
      <w:pPr>
        <w:pStyle w:val="ANMTabFootnote"/>
        <w:spacing w:line="240" w:lineRule="auto"/>
      </w:pPr>
      <w:proofErr w:type="gramStart"/>
      <w:r>
        <w:t>β</w:t>
      </w:r>
      <w:r>
        <w:rPr>
          <w:vertAlign w:val="subscript"/>
        </w:rPr>
        <w:t>2</w:t>
      </w:r>
      <w:proofErr w:type="gramEnd"/>
      <w:r w:rsidRPr="00615223">
        <w:t xml:space="preserve"> and </w:t>
      </w:r>
      <w:r>
        <w:t>β</w:t>
      </w:r>
      <w:r w:rsidRPr="00615223">
        <w:rPr>
          <w:vertAlign w:val="subscript"/>
        </w:rPr>
        <w:t>1</w:t>
      </w:r>
      <w:r>
        <w:t xml:space="preserve">  = curvilinear and linear</w:t>
      </w:r>
      <w:r w:rsidRPr="0025748A">
        <w:t xml:space="preserve"> </w:t>
      </w:r>
      <w:r>
        <w:t xml:space="preserve">effect respectively, of the </w:t>
      </w:r>
      <w:r w:rsidRPr="0025748A">
        <w:t xml:space="preserve">number of lamb born during the first two </w:t>
      </w:r>
      <w:r>
        <w:t>parities at two and three</w:t>
      </w:r>
      <w:r w:rsidRPr="0025748A">
        <w:t xml:space="preserve"> y</w:t>
      </w:r>
      <w:r>
        <w:t>ears</w:t>
      </w:r>
      <w:r w:rsidRPr="0025748A">
        <w:t xml:space="preserve"> old </w:t>
      </w:r>
      <w:r>
        <w:t>(NLB</w:t>
      </w:r>
      <w:r w:rsidRPr="00615223">
        <w:rPr>
          <w:vertAlign w:val="subscript"/>
        </w:rPr>
        <w:t>2-3</w:t>
      </w:r>
      <w:r>
        <w:t xml:space="preserve">) on ewe </w:t>
      </w:r>
      <w:proofErr w:type="spellStart"/>
      <w:r>
        <w:t>stayability</w:t>
      </w:r>
      <w:proofErr w:type="spellEnd"/>
      <w:r>
        <w:t xml:space="preserve"> traits </w:t>
      </w:r>
      <w:r w:rsidRPr="0025748A">
        <w:t>(logit-transformed)</w:t>
      </w:r>
      <w:r>
        <w:t xml:space="preserve">; </w:t>
      </w:r>
      <w:r w:rsidRPr="0025748A">
        <w:t>β</w:t>
      </w:r>
      <w:r w:rsidRPr="00615223">
        <w:rPr>
          <w:vertAlign w:val="subscript"/>
        </w:rPr>
        <w:t>0</w:t>
      </w:r>
      <w:r w:rsidRPr="0025748A">
        <w:t xml:space="preserve"> = </w:t>
      </w:r>
      <w:r>
        <w:t>sum of overall mean effect and</w:t>
      </w:r>
      <w:r w:rsidRPr="0025748A">
        <w:t xml:space="preserve"> flock environment effect</w:t>
      </w:r>
      <w:r>
        <w:t>.</w:t>
      </w:r>
    </w:p>
    <w:p w:rsidR="00AB1032" w:rsidRDefault="00AB1032" w:rsidP="00AB1032">
      <w:pPr>
        <w:pStyle w:val="ANMTabFootnote"/>
        <w:spacing w:line="240" w:lineRule="auto"/>
      </w:pPr>
      <w:r>
        <w:t>Level of statistical significance denoted by asterisk: * (</w:t>
      </w:r>
      <w:r w:rsidRPr="00A30832">
        <w:rPr>
          <w:i/>
        </w:rPr>
        <w:t>P</w:t>
      </w:r>
      <w:r>
        <w:t xml:space="preserve"> &lt; 0.05), ** (</w:t>
      </w:r>
      <w:r w:rsidRPr="00A30832">
        <w:rPr>
          <w:i/>
        </w:rPr>
        <w:t>P</w:t>
      </w:r>
      <w:r>
        <w:t xml:space="preserve"> &lt; 0.01), *** (</w:t>
      </w:r>
      <w:r w:rsidRPr="00A30832">
        <w:rPr>
          <w:i/>
        </w:rPr>
        <w:t>P</w:t>
      </w:r>
      <w:r>
        <w:t xml:space="preserve"> &lt; 0.001)</w:t>
      </w:r>
    </w:p>
    <w:p w:rsidR="00AB1032" w:rsidRDefault="00AB1032" w:rsidP="00AB1032">
      <w:pPr>
        <w:pStyle w:val="ANMTabFootnote"/>
        <w:spacing w:line="240" w:lineRule="auto"/>
      </w:pPr>
      <w:r w:rsidRPr="00CE6E05">
        <w:rPr>
          <w:vertAlign w:val="superscript"/>
        </w:rPr>
        <w:t>1</w:t>
      </w:r>
      <w:r w:rsidRPr="00615223">
        <w:t xml:space="preserve"> </w:t>
      </w:r>
      <w:proofErr w:type="spellStart"/>
      <w:r w:rsidRPr="00CE6E05">
        <w:t>Stayability</w:t>
      </w:r>
      <w:proofErr w:type="spellEnd"/>
      <w:r w:rsidRPr="00CE6E05">
        <w:t xml:space="preserve"> </w:t>
      </w:r>
      <w:proofErr w:type="spellStart"/>
      <w:r w:rsidRPr="00CE6E05">
        <w:rPr>
          <w:i/>
        </w:rPr>
        <w:t>i</w:t>
      </w:r>
      <w:r w:rsidRPr="00CE6E05">
        <w:t>|</w:t>
      </w:r>
      <w:r w:rsidRPr="00CE6E05">
        <w:rPr>
          <w:i/>
        </w:rPr>
        <w:t>j</w:t>
      </w:r>
      <w:proofErr w:type="spellEnd"/>
      <w:r w:rsidRPr="00CE6E05">
        <w:t xml:space="preserve"> describes the probability of a ewe to survive in the flock until </w:t>
      </w:r>
      <w:proofErr w:type="spellStart"/>
      <w:r w:rsidRPr="00CE6E05">
        <w:rPr>
          <w:i/>
        </w:rPr>
        <w:t>i</w:t>
      </w:r>
      <w:proofErr w:type="spellEnd"/>
      <w:r>
        <w:t xml:space="preserve"> years</w:t>
      </w:r>
      <w:r w:rsidRPr="00CE6E05">
        <w:t xml:space="preserve"> old, given that she already survived until </w:t>
      </w:r>
      <w:r w:rsidRPr="00CE6E05">
        <w:rPr>
          <w:i/>
        </w:rPr>
        <w:t>j</w:t>
      </w:r>
      <w:r>
        <w:t xml:space="preserve"> years old</w:t>
      </w:r>
    </w:p>
    <w:p w:rsidR="00AB1032" w:rsidRDefault="00AB1032" w:rsidP="00AB1032">
      <w:pPr>
        <w:pStyle w:val="ANMTabFootnote"/>
        <w:spacing w:line="240" w:lineRule="auto"/>
      </w:pPr>
      <w:r w:rsidRPr="00615223">
        <w:rPr>
          <w:vertAlign w:val="superscript"/>
        </w:rPr>
        <w:t>2</w:t>
      </w:r>
      <w:r>
        <w:t xml:space="preserve"> Extrema of the fitted model</w:t>
      </w:r>
      <w:r w:rsidRPr="00615223">
        <w:t xml:space="preserve"> calculated as Optimal NLB</w:t>
      </w:r>
      <w:r w:rsidRPr="00615223">
        <w:rPr>
          <w:vertAlign w:val="subscript"/>
        </w:rPr>
        <w:t>2-3</w:t>
      </w:r>
      <w:r w:rsidRPr="00615223">
        <w:t xml:space="preserve"> = – β</w:t>
      </w:r>
      <w:r w:rsidRPr="00615223">
        <w:rPr>
          <w:vertAlign w:val="subscript"/>
        </w:rPr>
        <w:t>1</w:t>
      </w:r>
      <w:proofErr w:type="gramStart"/>
      <w:r>
        <w:t>/</w:t>
      </w:r>
      <w:r w:rsidRPr="00615223">
        <w:t>(</w:t>
      </w:r>
      <w:proofErr w:type="gramEnd"/>
      <w:r w:rsidRPr="00615223">
        <w:t>2</w:t>
      </w:r>
      <w:r>
        <w:t xml:space="preserve"> </w:t>
      </w:r>
      <w:r>
        <w:rPr>
          <w:rFonts w:cs="Arial"/>
        </w:rPr>
        <w:t xml:space="preserve">× </w:t>
      </w:r>
      <w:r w:rsidRPr="00615223">
        <w:t>β</w:t>
      </w:r>
      <w:r w:rsidRPr="00615223">
        <w:rPr>
          <w:vertAlign w:val="subscript"/>
        </w:rPr>
        <w:t>2</w:t>
      </w:r>
      <w:r w:rsidRPr="00615223">
        <w:t>)</w:t>
      </w:r>
    </w:p>
    <w:p w:rsidR="00AB1032" w:rsidRDefault="00AB1032" w:rsidP="00AB1032">
      <w:pPr>
        <w:pStyle w:val="ANMauthorname"/>
        <w:spacing w:line="240" w:lineRule="auto"/>
        <w:rPr>
          <w:sz w:val="20"/>
        </w:rPr>
      </w:pPr>
      <w:r>
        <w:br w:type="page"/>
      </w:r>
    </w:p>
    <w:p w:rsidR="00AB1032" w:rsidRDefault="00AB1032" w:rsidP="00AB1032">
      <w:pPr>
        <w:pStyle w:val="ANMTabtitle"/>
        <w:spacing w:line="240" w:lineRule="auto"/>
      </w:pPr>
      <w:r>
        <w:rPr>
          <w:rStyle w:val="ANMheading1Car"/>
          <w:i w:val="0"/>
        </w:rPr>
        <w:lastRenderedPageBreak/>
        <w:t>Table S2</w:t>
      </w:r>
      <w:r w:rsidRPr="00CA7476">
        <w:rPr>
          <w:rStyle w:val="ANMheading1Car"/>
          <w:i w:val="0"/>
        </w:rPr>
        <w:t xml:space="preserve"> </w:t>
      </w:r>
      <w:r w:rsidRPr="00660200">
        <w:t xml:space="preserve">Parameters estimated using the logistic model relating ewes’ traits of marginal </w:t>
      </w:r>
      <w:proofErr w:type="spellStart"/>
      <w:r w:rsidRPr="00660200">
        <w:t>stayability</w:t>
      </w:r>
      <w:proofErr w:type="spellEnd"/>
      <w:r w:rsidRPr="00660200">
        <w:t xml:space="preserve"> to their level of early prolificacy in contrasting flock environments</w:t>
      </w:r>
    </w:p>
    <w:tbl>
      <w:tblPr>
        <w:tblStyle w:val="TableGrid"/>
        <w:tblW w:w="0" w:type="auto"/>
        <w:jc w:val="center"/>
        <w:tblInd w:w="-1834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2267"/>
        <w:gridCol w:w="1134"/>
        <w:gridCol w:w="567"/>
        <w:gridCol w:w="1040"/>
        <w:gridCol w:w="567"/>
        <w:gridCol w:w="851"/>
        <w:gridCol w:w="708"/>
      </w:tblGrid>
      <w:tr w:rsidR="00AB1032" w:rsidRPr="00660200" w:rsidTr="00B9013B">
        <w:trPr>
          <w:cantSplit/>
          <w:trHeight w:val="212"/>
          <w:jc w:val="center"/>
        </w:trPr>
        <w:tc>
          <w:tcPr>
            <w:tcW w:w="1753" w:type="dxa"/>
            <w:vMerge w:val="restart"/>
            <w:vAlign w:val="center"/>
          </w:tcPr>
          <w:p w:rsidR="00AB1032" w:rsidRPr="00660200" w:rsidRDefault="00AB1032" w:rsidP="00AB1032">
            <w:pPr>
              <w:rPr>
                <w:rFonts w:cs="Arial"/>
                <w:sz w:val="22"/>
                <w:szCs w:val="22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Stayability</w:t>
            </w:r>
            <w:r w:rsidRPr="00660200">
              <w:rPr>
                <w:rFonts w:cs="Arial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2267" w:type="dxa"/>
            <w:vMerge w:val="restart"/>
            <w:vAlign w:val="center"/>
          </w:tcPr>
          <w:p w:rsidR="00AB1032" w:rsidRPr="00660200" w:rsidRDefault="00AB1032" w:rsidP="00AB1032">
            <w:pPr>
              <w:rPr>
                <w:rFonts w:cs="Arial"/>
                <w:sz w:val="22"/>
                <w:szCs w:val="22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Flock environment</w:t>
            </w:r>
          </w:p>
        </w:tc>
        <w:tc>
          <w:tcPr>
            <w:tcW w:w="4867" w:type="dxa"/>
            <w:gridSpan w:val="6"/>
            <w:vAlign w:val="center"/>
          </w:tcPr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Parameters estimated</w:t>
            </w:r>
            <w:r w:rsidRPr="00660200">
              <w:rPr>
                <w:rFonts w:cs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</w:tr>
      <w:tr w:rsidR="00AB1032" w:rsidRPr="00660200" w:rsidTr="00B9013B">
        <w:trPr>
          <w:cantSplit/>
          <w:trHeight w:val="287"/>
          <w:jc w:val="center"/>
        </w:trPr>
        <w:tc>
          <w:tcPr>
            <w:tcW w:w="1753" w:type="dxa"/>
            <w:vMerge/>
            <w:vAlign w:val="center"/>
          </w:tcPr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  <w:vMerge/>
            <w:vAlign w:val="center"/>
          </w:tcPr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B1032" w:rsidRPr="00CC631D" w:rsidRDefault="00AB1032" w:rsidP="00AB1032">
            <w:pPr>
              <w:jc w:val="center"/>
              <w:rPr>
                <w:rFonts w:cs="Arial"/>
                <w:sz w:val="22"/>
                <w:szCs w:val="22"/>
                <w:vertAlign w:val="subscript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β</w:t>
            </w:r>
            <w:r w:rsidRPr="00660200">
              <w:rPr>
                <w:rFonts w:cs="Arial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1607" w:type="dxa"/>
            <w:gridSpan w:val="2"/>
            <w:vAlign w:val="center"/>
          </w:tcPr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β</w:t>
            </w:r>
            <w:r w:rsidRPr="00660200">
              <w:rPr>
                <w:rFonts w:cs="Arial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β</w:t>
            </w:r>
            <w:r w:rsidRPr="00660200">
              <w:rPr>
                <w:rFonts w:cs="Arial"/>
                <w:sz w:val="22"/>
                <w:szCs w:val="22"/>
                <w:vertAlign w:val="subscript"/>
                <w:lang w:val="en-GB"/>
              </w:rPr>
              <w:t>0</w:t>
            </w:r>
          </w:p>
        </w:tc>
      </w:tr>
      <w:tr w:rsidR="00AB1032" w:rsidRPr="00660200" w:rsidTr="00B9013B">
        <w:trPr>
          <w:cantSplit/>
          <w:trHeight w:val="237"/>
          <w:jc w:val="center"/>
        </w:trPr>
        <w:tc>
          <w:tcPr>
            <w:tcW w:w="1753" w:type="dxa"/>
            <w:vMerge/>
            <w:vAlign w:val="center"/>
          </w:tcPr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  <w:vMerge/>
            <w:vAlign w:val="center"/>
          </w:tcPr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value</w:t>
            </w:r>
            <w:r w:rsidRPr="001853A7">
              <w:rPr>
                <w:rFonts w:cs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567" w:type="dxa"/>
            <w:vAlign w:val="center"/>
          </w:tcPr>
          <w:p w:rsidR="00AB1032" w:rsidRPr="00CC631D" w:rsidRDefault="00AB1032" w:rsidP="00AB1032">
            <w:pPr>
              <w:jc w:val="center"/>
              <w:rPr>
                <w:rFonts w:cs="Arial"/>
                <w:i/>
                <w:sz w:val="22"/>
                <w:szCs w:val="22"/>
                <w:lang w:val="en-GB"/>
              </w:rPr>
            </w:pPr>
            <w:r w:rsidRPr="00CC631D">
              <w:rPr>
                <w:rFonts w:cs="Arial"/>
                <w:i/>
                <w:sz w:val="22"/>
                <w:szCs w:val="22"/>
                <w:lang w:val="en-GB"/>
              </w:rPr>
              <w:t>P</w:t>
            </w:r>
          </w:p>
        </w:tc>
        <w:tc>
          <w:tcPr>
            <w:tcW w:w="1040" w:type="dxa"/>
            <w:vAlign w:val="center"/>
          </w:tcPr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value</w:t>
            </w:r>
            <w:r w:rsidRPr="001853A7">
              <w:rPr>
                <w:rFonts w:cs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567" w:type="dxa"/>
            <w:vAlign w:val="center"/>
          </w:tcPr>
          <w:p w:rsidR="00AB1032" w:rsidRPr="00CC631D" w:rsidRDefault="00AB1032" w:rsidP="00AB1032">
            <w:pPr>
              <w:jc w:val="center"/>
              <w:rPr>
                <w:rFonts w:cs="Arial"/>
                <w:i/>
                <w:sz w:val="22"/>
                <w:szCs w:val="22"/>
                <w:lang w:val="en-GB"/>
              </w:rPr>
            </w:pPr>
            <w:r w:rsidRPr="00CC631D">
              <w:rPr>
                <w:rFonts w:cs="Arial"/>
                <w:i/>
                <w:sz w:val="22"/>
                <w:szCs w:val="22"/>
                <w:lang w:val="en-GB"/>
              </w:rPr>
              <w:t>P</w:t>
            </w:r>
          </w:p>
        </w:tc>
        <w:tc>
          <w:tcPr>
            <w:tcW w:w="851" w:type="dxa"/>
            <w:vAlign w:val="center"/>
          </w:tcPr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value</w:t>
            </w:r>
          </w:p>
        </w:tc>
        <w:tc>
          <w:tcPr>
            <w:tcW w:w="708" w:type="dxa"/>
            <w:vAlign w:val="center"/>
          </w:tcPr>
          <w:p w:rsidR="00AB1032" w:rsidRPr="00CC631D" w:rsidRDefault="00AB1032" w:rsidP="00AB1032">
            <w:pPr>
              <w:jc w:val="center"/>
              <w:rPr>
                <w:rFonts w:cs="Arial"/>
                <w:i/>
                <w:sz w:val="22"/>
                <w:szCs w:val="22"/>
                <w:lang w:val="en-GB"/>
              </w:rPr>
            </w:pPr>
            <w:r w:rsidRPr="00CC631D">
              <w:rPr>
                <w:rFonts w:cs="Arial"/>
                <w:i/>
                <w:sz w:val="22"/>
                <w:szCs w:val="22"/>
                <w:lang w:val="en-GB"/>
              </w:rPr>
              <w:t>P</w:t>
            </w:r>
          </w:p>
        </w:tc>
      </w:tr>
      <w:tr w:rsidR="00AB1032" w:rsidRPr="00660200" w:rsidTr="00B9013B">
        <w:trPr>
          <w:cantSplit/>
          <w:jc w:val="center"/>
        </w:trPr>
        <w:tc>
          <w:tcPr>
            <w:tcW w:w="1753" w:type="dxa"/>
            <w:vAlign w:val="center"/>
          </w:tcPr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5|4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6|5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7|6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8|7</w:t>
            </w:r>
          </w:p>
          <w:p w:rsidR="00AB1032" w:rsidRPr="00660200" w:rsidRDefault="00AB1032" w:rsidP="00AB1032">
            <w:pPr>
              <w:rPr>
                <w:rFonts w:cs="Arial"/>
                <w:sz w:val="22"/>
                <w:szCs w:val="22"/>
                <w:lang w:val="en-GB"/>
              </w:rPr>
            </w:pP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AB1032" w:rsidRPr="00660200" w:rsidRDefault="00AB1032" w:rsidP="00AB1032">
            <w:pPr>
              <w:rPr>
                <w:rFonts w:cs="Arial"/>
                <w:sz w:val="22"/>
                <w:szCs w:val="22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Moderate</w:t>
            </w:r>
          </w:p>
          <w:p w:rsidR="00AB1032" w:rsidRPr="00660200" w:rsidRDefault="00AB1032" w:rsidP="00AB1032">
            <w:pPr>
              <w:rPr>
                <w:rFonts w:cs="Arial"/>
                <w:sz w:val="22"/>
                <w:szCs w:val="22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Harsh</w:t>
            </w:r>
          </w:p>
          <w:p w:rsidR="00AB1032" w:rsidRPr="00660200" w:rsidRDefault="00AB1032" w:rsidP="00AB1032">
            <w:pPr>
              <w:rPr>
                <w:rFonts w:cs="Arial"/>
                <w:sz w:val="22"/>
                <w:szCs w:val="22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(Harsh – Moderate)</w:t>
            </w:r>
          </w:p>
          <w:p w:rsidR="00AB1032" w:rsidRPr="00660200" w:rsidRDefault="00AB1032" w:rsidP="00AB1032">
            <w:pPr>
              <w:rPr>
                <w:rFonts w:cs="Arial"/>
                <w:sz w:val="22"/>
                <w:szCs w:val="22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Moderate</w:t>
            </w:r>
          </w:p>
          <w:p w:rsidR="00AB1032" w:rsidRPr="00660200" w:rsidRDefault="00AB1032" w:rsidP="00AB1032">
            <w:pPr>
              <w:rPr>
                <w:rFonts w:cs="Arial"/>
                <w:sz w:val="22"/>
                <w:szCs w:val="22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Harsh</w:t>
            </w:r>
          </w:p>
          <w:p w:rsidR="00AB1032" w:rsidRPr="00660200" w:rsidRDefault="00AB1032" w:rsidP="00AB1032">
            <w:pPr>
              <w:rPr>
                <w:rFonts w:cs="Arial"/>
                <w:sz w:val="22"/>
                <w:szCs w:val="22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(Harsh – Moderate)</w:t>
            </w:r>
          </w:p>
          <w:p w:rsidR="00AB1032" w:rsidRPr="00660200" w:rsidRDefault="00AB1032" w:rsidP="00AB1032">
            <w:pPr>
              <w:rPr>
                <w:rFonts w:cs="Arial"/>
                <w:sz w:val="22"/>
                <w:szCs w:val="22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Moderate</w:t>
            </w:r>
          </w:p>
          <w:p w:rsidR="00AB1032" w:rsidRPr="00660200" w:rsidRDefault="00AB1032" w:rsidP="00AB1032">
            <w:pPr>
              <w:rPr>
                <w:rFonts w:cs="Arial"/>
                <w:sz w:val="22"/>
                <w:szCs w:val="22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Harsh</w:t>
            </w:r>
          </w:p>
          <w:p w:rsidR="00AB1032" w:rsidRPr="00660200" w:rsidRDefault="00AB1032" w:rsidP="00AB1032">
            <w:pPr>
              <w:rPr>
                <w:rFonts w:cs="Arial"/>
                <w:sz w:val="22"/>
                <w:szCs w:val="22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(Harsh – Moderate)</w:t>
            </w:r>
          </w:p>
          <w:p w:rsidR="00AB1032" w:rsidRPr="00660200" w:rsidRDefault="00AB1032" w:rsidP="00AB1032">
            <w:pPr>
              <w:rPr>
                <w:rFonts w:cs="Arial"/>
                <w:sz w:val="22"/>
                <w:szCs w:val="22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Moderate</w:t>
            </w:r>
          </w:p>
          <w:p w:rsidR="00AB1032" w:rsidRPr="00660200" w:rsidRDefault="00AB1032" w:rsidP="00AB1032">
            <w:pPr>
              <w:rPr>
                <w:rFonts w:cs="Arial"/>
                <w:sz w:val="22"/>
                <w:szCs w:val="22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Harsh</w:t>
            </w:r>
          </w:p>
          <w:p w:rsidR="00AB1032" w:rsidRPr="00660200" w:rsidRDefault="00AB1032" w:rsidP="00AB1032">
            <w:pPr>
              <w:rPr>
                <w:rFonts w:cs="Arial"/>
                <w:sz w:val="22"/>
                <w:szCs w:val="22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(Harsh – Moderate)</w:t>
            </w:r>
          </w:p>
        </w:tc>
        <w:tc>
          <w:tcPr>
            <w:tcW w:w="1134" w:type="dxa"/>
          </w:tcPr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– 0.10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– 0.10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0.00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–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–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–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–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–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–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–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–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–</w:t>
            </w:r>
          </w:p>
        </w:tc>
        <w:tc>
          <w:tcPr>
            <w:tcW w:w="567" w:type="dxa"/>
          </w:tcPr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**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**</w:t>
            </w:r>
          </w:p>
        </w:tc>
        <w:tc>
          <w:tcPr>
            <w:tcW w:w="1040" w:type="dxa"/>
          </w:tcPr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1.14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0.75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– 0.39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0.46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– 0.05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– 0.51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0.41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0.05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– 0.37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–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–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–</w:t>
            </w:r>
          </w:p>
        </w:tc>
        <w:tc>
          <w:tcPr>
            <w:tcW w:w="567" w:type="dxa"/>
          </w:tcPr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</w:t>
            </w:r>
          </w:p>
        </w:tc>
        <w:tc>
          <w:tcPr>
            <w:tcW w:w="851" w:type="dxa"/>
          </w:tcPr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– 2.48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– 1.14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+ 1.34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– 1.78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0.01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+ 1.79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– 1.73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– 0.83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+ 0.90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660200">
              <w:rPr>
                <w:rFonts w:cs="Arial"/>
                <w:sz w:val="22"/>
                <w:szCs w:val="22"/>
                <w:lang w:val="en-GB"/>
              </w:rPr>
              <w:t>0.52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– 1.18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– 1.70</w:t>
            </w:r>
          </w:p>
        </w:tc>
        <w:tc>
          <w:tcPr>
            <w:tcW w:w="708" w:type="dxa"/>
          </w:tcPr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</w:t>
            </w: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:rsidR="00AB1032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</w:t>
            </w:r>
          </w:p>
          <w:p w:rsidR="00AB1032" w:rsidRPr="00660200" w:rsidRDefault="00AB1032" w:rsidP="00AB103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</w:tc>
      </w:tr>
    </w:tbl>
    <w:p w:rsidR="00AB1032" w:rsidRDefault="00AB1032" w:rsidP="00AB1032">
      <w:pPr>
        <w:pStyle w:val="ANMTabFootnote"/>
        <w:spacing w:line="240" w:lineRule="auto"/>
      </w:pPr>
      <w:proofErr w:type="gramStart"/>
      <w:r>
        <w:t>β</w:t>
      </w:r>
      <w:r>
        <w:rPr>
          <w:vertAlign w:val="subscript"/>
        </w:rPr>
        <w:t>2</w:t>
      </w:r>
      <w:proofErr w:type="gramEnd"/>
      <w:r w:rsidRPr="00615223">
        <w:t xml:space="preserve"> and </w:t>
      </w:r>
      <w:r>
        <w:t>β</w:t>
      </w:r>
      <w:r w:rsidRPr="00615223">
        <w:rPr>
          <w:vertAlign w:val="subscript"/>
        </w:rPr>
        <w:t>1</w:t>
      </w:r>
      <w:r>
        <w:t xml:space="preserve">  = curvilinear and linear</w:t>
      </w:r>
      <w:r w:rsidRPr="0025748A">
        <w:t xml:space="preserve"> </w:t>
      </w:r>
      <w:r>
        <w:t xml:space="preserve">effect, respectively, of the </w:t>
      </w:r>
      <w:r w:rsidRPr="0025748A">
        <w:t xml:space="preserve">number of lamb born during the first two </w:t>
      </w:r>
      <w:r>
        <w:t>parities at two and three</w:t>
      </w:r>
      <w:r w:rsidRPr="0025748A">
        <w:t xml:space="preserve"> y</w:t>
      </w:r>
      <w:r>
        <w:t>ears</w:t>
      </w:r>
      <w:r w:rsidRPr="0025748A">
        <w:t xml:space="preserve"> old </w:t>
      </w:r>
      <w:r>
        <w:t>(NLB</w:t>
      </w:r>
      <w:r w:rsidRPr="00615223">
        <w:rPr>
          <w:vertAlign w:val="subscript"/>
        </w:rPr>
        <w:t>2-3</w:t>
      </w:r>
      <w:r>
        <w:t xml:space="preserve">) on ewe </w:t>
      </w:r>
      <w:proofErr w:type="spellStart"/>
      <w:r>
        <w:t>stayability</w:t>
      </w:r>
      <w:proofErr w:type="spellEnd"/>
      <w:r>
        <w:t xml:space="preserve"> traits </w:t>
      </w:r>
      <w:r w:rsidRPr="0025748A">
        <w:t>(logit-transformed)</w:t>
      </w:r>
      <w:r>
        <w:t xml:space="preserve">; </w:t>
      </w:r>
      <w:r w:rsidRPr="0025748A">
        <w:t>β</w:t>
      </w:r>
      <w:r w:rsidRPr="00615223">
        <w:rPr>
          <w:vertAlign w:val="subscript"/>
        </w:rPr>
        <w:t>0</w:t>
      </w:r>
      <w:r w:rsidRPr="0025748A">
        <w:t xml:space="preserve"> = </w:t>
      </w:r>
      <w:r>
        <w:t>sum of overall mean effect and</w:t>
      </w:r>
      <w:r w:rsidRPr="0025748A">
        <w:t xml:space="preserve"> flock environment effect</w:t>
      </w:r>
      <w:r>
        <w:t>.</w:t>
      </w:r>
    </w:p>
    <w:p w:rsidR="00AB1032" w:rsidRDefault="00AB1032" w:rsidP="00AB1032">
      <w:pPr>
        <w:pStyle w:val="ANMTabFootnote"/>
        <w:spacing w:line="240" w:lineRule="auto"/>
      </w:pPr>
      <w:r>
        <w:t>Level of statistical significance denoted by asterisk: * (</w:t>
      </w:r>
      <w:r w:rsidRPr="00A30832">
        <w:rPr>
          <w:i/>
        </w:rPr>
        <w:t>P</w:t>
      </w:r>
      <w:r>
        <w:t xml:space="preserve"> &lt; 0.05), ** (</w:t>
      </w:r>
      <w:r w:rsidRPr="00A30832">
        <w:rPr>
          <w:i/>
        </w:rPr>
        <w:t>P</w:t>
      </w:r>
      <w:r>
        <w:t xml:space="preserve"> &lt; 0.01), *** (</w:t>
      </w:r>
      <w:r w:rsidRPr="00A30832">
        <w:rPr>
          <w:i/>
        </w:rPr>
        <w:t>P</w:t>
      </w:r>
      <w:r>
        <w:t xml:space="preserve"> &lt; 0.001)</w:t>
      </w:r>
    </w:p>
    <w:p w:rsidR="00AB1032" w:rsidRDefault="00AB1032" w:rsidP="00AB1032">
      <w:pPr>
        <w:pStyle w:val="ANMTabFootnote"/>
        <w:spacing w:line="240" w:lineRule="auto"/>
      </w:pPr>
      <w:r w:rsidRPr="00CE6E05">
        <w:rPr>
          <w:vertAlign w:val="superscript"/>
        </w:rPr>
        <w:t>1</w:t>
      </w:r>
      <w:r w:rsidRPr="00615223">
        <w:t xml:space="preserve"> </w:t>
      </w:r>
      <w:proofErr w:type="spellStart"/>
      <w:r w:rsidRPr="00CE6E05">
        <w:t>Stayability</w:t>
      </w:r>
      <w:proofErr w:type="spellEnd"/>
      <w:r w:rsidRPr="00CE6E05">
        <w:t xml:space="preserve"> </w:t>
      </w:r>
      <w:proofErr w:type="spellStart"/>
      <w:r w:rsidRPr="00CE6E05">
        <w:rPr>
          <w:i/>
        </w:rPr>
        <w:t>i</w:t>
      </w:r>
      <w:r w:rsidRPr="00CE6E05">
        <w:t>|</w:t>
      </w:r>
      <w:r w:rsidRPr="00CE6E05">
        <w:rPr>
          <w:i/>
        </w:rPr>
        <w:t>j</w:t>
      </w:r>
      <w:proofErr w:type="spellEnd"/>
      <w:r w:rsidRPr="00CE6E05">
        <w:t xml:space="preserve"> describes the probability of a ewe to survive in the flock until </w:t>
      </w:r>
      <w:proofErr w:type="spellStart"/>
      <w:r w:rsidRPr="00CE6E05">
        <w:rPr>
          <w:i/>
        </w:rPr>
        <w:t>i</w:t>
      </w:r>
      <w:proofErr w:type="spellEnd"/>
      <w:r>
        <w:t xml:space="preserve"> years</w:t>
      </w:r>
      <w:r w:rsidRPr="00CE6E05">
        <w:t xml:space="preserve"> old, given that she already survived until </w:t>
      </w:r>
      <w:r w:rsidRPr="00CE6E05">
        <w:rPr>
          <w:i/>
        </w:rPr>
        <w:t>j</w:t>
      </w:r>
      <w:r>
        <w:t xml:space="preserve"> years old</w:t>
      </w:r>
    </w:p>
    <w:p w:rsidR="00F8253B" w:rsidRDefault="00AB1032" w:rsidP="00AB1032">
      <w:pPr>
        <w:spacing w:line="240" w:lineRule="auto"/>
        <w:rPr>
          <w:lang w:val="en-GB"/>
        </w:rPr>
        <w:sectPr w:rsidR="00F8253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B1032">
        <w:rPr>
          <w:lang w:val="en-GB"/>
        </w:rPr>
        <w:t>2 Symb</w:t>
      </w:r>
      <w:r>
        <w:rPr>
          <w:lang w:val="en-GB"/>
        </w:rPr>
        <w:t xml:space="preserve">ol “–” </w:t>
      </w:r>
      <w:r w:rsidRPr="00AB1032">
        <w:rPr>
          <w:lang w:val="en-GB"/>
        </w:rPr>
        <w:t>alone indicates when the term was not significant (P &lt; 0.05) and was removed from the model during the stepwise model selection procedure</w:t>
      </w:r>
    </w:p>
    <w:p w:rsidR="00F8253B" w:rsidRPr="006F7D2B" w:rsidRDefault="006F7D2B" w:rsidP="00A539CD">
      <w:pPr>
        <w:pStyle w:val="ANMTabtitle"/>
        <w:spacing w:line="240" w:lineRule="auto"/>
      </w:pPr>
      <w:r w:rsidRPr="00002176">
        <w:rPr>
          <w:rStyle w:val="ANMheading1Car"/>
          <w:rFonts w:eastAsiaTheme="minorHAnsi"/>
          <w:i w:val="0"/>
        </w:rPr>
        <w:lastRenderedPageBreak/>
        <w:t>Table S3</w:t>
      </w:r>
      <w:r w:rsidRPr="00CA7476">
        <w:rPr>
          <w:rStyle w:val="ANMheading1Car"/>
          <w:i w:val="0"/>
        </w:rPr>
        <w:t xml:space="preserve"> </w:t>
      </w:r>
      <w:r w:rsidR="00A539CD">
        <w:t xml:space="preserve">Effect of including an effect of breed on </w:t>
      </w:r>
      <w:r>
        <w:t>the main p</w:t>
      </w:r>
      <w:r w:rsidRPr="006F7D2B">
        <w:t xml:space="preserve">arameters </w:t>
      </w:r>
      <w:r w:rsidR="00A539CD">
        <w:t xml:space="preserve">of </w:t>
      </w:r>
      <w:r w:rsidRPr="006F7D2B">
        <w:t>the logistic model r</w:t>
      </w:r>
      <w:r w:rsidR="00A539CD">
        <w:t>elating ewes’ traits of overall</w:t>
      </w:r>
      <w:r w:rsidRPr="006F7D2B">
        <w:t xml:space="preserve"> </w:t>
      </w:r>
      <w:proofErr w:type="spellStart"/>
      <w:r w:rsidRPr="006F7D2B">
        <w:t>stayability</w:t>
      </w:r>
      <w:proofErr w:type="spellEnd"/>
      <w:r w:rsidRPr="006F7D2B">
        <w:t xml:space="preserve"> to their level</w:t>
      </w:r>
      <w:r w:rsidR="00A539CD">
        <w:t xml:space="preserve"> </w:t>
      </w:r>
      <w:r w:rsidR="00A539CD" w:rsidRPr="00660200">
        <w:t>of early prolificacy in contrasting flock environments</w:t>
      </w:r>
    </w:p>
    <w:tbl>
      <w:tblPr>
        <w:tblStyle w:val="TableGrid"/>
        <w:tblW w:w="0" w:type="auto"/>
        <w:tblBorders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3"/>
        <w:gridCol w:w="2267"/>
        <w:gridCol w:w="899"/>
        <w:gridCol w:w="859"/>
        <w:gridCol w:w="939"/>
        <w:gridCol w:w="904"/>
        <w:gridCol w:w="899"/>
        <w:gridCol w:w="899"/>
        <w:gridCol w:w="899"/>
        <w:gridCol w:w="899"/>
        <w:gridCol w:w="940"/>
        <w:gridCol w:w="941"/>
      </w:tblGrid>
      <w:tr w:rsidR="00F8253B" w:rsidRPr="002E22C3" w:rsidTr="006F7D2B">
        <w:trPr>
          <w:cantSplit/>
          <w:trHeight w:val="212"/>
        </w:trPr>
        <w:tc>
          <w:tcPr>
            <w:tcW w:w="1753" w:type="dxa"/>
            <w:vMerge w:val="restart"/>
            <w:vAlign w:val="center"/>
          </w:tcPr>
          <w:p w:rsidR="00F8253B" w:rsidRPr="002E22C3" w:rsidRDefault="00F8253B" w:rsidP="004F55E8">
            <w:pPr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Stayability</w:t>
            </w:r>
            <w:r w:rsidRPr="002E22C3">
              <w:rPr>
                <w:rFonts w:cs="Arial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2267" w:type="dxa"/>
            <w:vMerge w:val="restart"/>
            <w:vAlign w:val="center"/>
          </w:tcPr>
          <w:p w:rsidR="00F8253B" w:rsidRPr="002E22C3" w:rsidRDefault="00F8253B" w:rsidP="004F55E8">
            <w:pPr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Flock environment</w:t>
            </w:r>
          </w:p>
        </w:tc>
        <w:tc>
          <w:tcPr>
            <w:tcW w:w="4500" w:type="dxa"/>
            <w:gridSpan w:val="5"/>
            <w:vAlign w:val="center"/>
          </w:tcPr>
          <w:p w:rsidR="00F8253B" w:rsidRPr="002E22C3" w:rsidRDefault="00F8253B" w:rsidP="00A77B14">
            <w:pPr>
              <w:jc w:val="center"/>
              <w:rPr>
                <w:sz w:val="22"/>
                <w:szCs w:val="22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Without breed effect</w:t>
            </w:r>
            <w:r w:rsidR="00A539CD" w:rsidRPr="00A539CD">
              <w:rPr>
                <w:rFonts w:cs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4578" w:type="dxa"/>
            <w:gridSpan w:val="5"/>
            <w:shd w:val="clear" w:color="auto" w:fill="auto"/>
          </w:tcPr>
          <w:p w:rsidR="00F8253B" w:rsidRPr="002E22C3" w:rsidRDefault="00F8253B" w:rsidP="00A77B14">
            <w:pPr>
              <w:jc w:val="center"/>
              <w:rPr>
                <w:sz w:val="22"/>
                <w:szCs w:val="22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With breed effect</w:t>
            </w:r>
            <w:r w:rsidR="00A539CD" w:rsidRPr="00A539CD">
              <w:rPr>
                <w:rFonts w:cs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</w:tr>
      <w:tr w:rsidR="00A77B14" w:rsidRPr="002E22C3" w:rsidTr="006F7D2B">
        <w:trPr>
          <w:cantSplit/>
          <w:trHeight w:val="287"/>
        </w:trPr>
        <w:tc>
          <w:tcPr>
            <w:tcW w:w="1753" w:type="dxa"/>
            <w:vMerge/>
            <w:vAlign w:val="center"/>
          </w:tcPr>
          <w:p w:rsidR="00A77B14" w:rsidRPr="002E22C3" w:rsidRDefault="00A77B14" w:rsidP="004F55E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  <w:vMerge/>
            <w:vAlign w:val="center"/>
          </w:tcPr>
          <w:p w:rsidR="00A77B14" w:rsidRPr="002E22C3" w:rsidRDefault="00A77B14" w:rsidP="004F55E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A77B14" w:rsidRPr="002E22C3" w:rsidRDefault="00A77B14" w:rsidP="00826E50">
            <w:pPr>
              <w:jc w:val="center"/>
              <w:rPr>
                <w:rFonts w:cs="Arial"/>
                <w:sz w:val="22"/>
                <w:szCs w:val="22"/>
                <w:vertAlign w:val="subscript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β</w:t>
            </w:r>
            <w:r w:rsidRPr="002E22C3">
              <w:rPr>
                <w:rFonts w:cs="Arial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A77B14" w:rsidRPr="002E22C3" w:rsidRDefault="00A77B14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β</w:t>
            </w:r>
            <w:r w:rsidRPr="002E22C3">
              <w:rPr>
                <w:rFonts w:cs="Arial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A77B14" w:rsidRPr="002E22C3" w:rsidRDefault="00A77B14" w:rsidP="00826E50">
            <w:pPr>
              <w:jc w:val="center"/>
              <w:rPr>
                <w:rFonts w:cs="Arial"/>
                <w:sz w:val="22"/>
                <w:szCs w:val="22"/>
                <w:vertAlign w:val="subscript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Optimal NLB</w:t>
            </w:r>
            <w:r w:rsidRPr="002E22C3">
              <w:rPr>
                <w:rFonts w:cs="Arial"/>
                <w:sz w:val="22"/>
                <w:szCs w:val="22"/>
                <w:vertAlign w:val="subscript"/>
                <w:lang w:val="en-GB"/>
              </w:rPr>
              <w:t>2-3</w:t>
            </w:r>
            <w:r w:rsidR="00A539CD">
              <w:rPr>
                <w:rFonts w:cs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:rsidR="00A77B14" w:rsidRPr="002E22C3" w:rsidRDefault="00A77B14" w:rsidP="00826E50">
            <w:pPr>
              <w:jc w:val="center"/>
              <w:rPr>
                <w:rFonts w:cs="Arial"/>
                <w:sz w:val="22"/>
                <w:szCs w:val="22"/>
                <w:vertAlign w:val="subscript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β</w:t>
            </w:r>
            <w:r w:rsidRPr="002E22C3">
              <w:rPr>
                <w:rFonts w:cs="Arial"/>
                <w:sz w:val="22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A77B14" w:rsidRPr="002E22C3" w:rsidRDefault="00A77B14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β</w:t>
            </w:r>
            <w:r w:rsidRPr="002E22C3">
              <w:rPr>
                <w:rFonts w:cs="Arial"/>
                <w:sz w:val="22"/>
                <w:szCs w:val="22"/>
                <w:vertAlign w:val="subscript"/>
                <w:lang w:val="en-GB"/>
              </w:rPr>
              <w:t>1</w:t>
            </w:r>
          </w:p>
        </w:tc>
        <w:tc>
          <w:tcPr>
            <w:tcW w:w="941" w:type="dxa"/>
            <w:vMerge w:val="restart"/>
            <w:shd w:val="clear" w:color="auto" w:fill="auto"/>
            <w:vAlign w:val="center"/>
          </w:tcPr>
          <w:p w:rsidR="00A77B14" w:rsidRPr="002E22C3" w:rsidRDefault="00A77B14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Optimal NLB</w:t>
            </w:r>
            <w:r w:rsidRPr="002E22C3">
              <w:rPr>
                <w:rFonts w:cs="Arial"/>
                <w:sz w:val="22"/>
                <w:szCs w:val="22"/>
                <w:vertAlign w:val="subscript"/>
                <w:lang w:val="en-GB"/>
              </w:rPr>
              <w:t>2-3</w:t>
            </w:r>
            <w:r w:rsidR="00A539CD">
              <w:rPr>
                <w:rFonts w:cs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</w:tr>
      <w:tr w:rsidR="00A77B14" w:rsidRPr="002E22C3" w:rsidTr="006F7D2B">
        <w:trPr>
          <w:cantSplit/>
          <w:trHeight w:val="237"/>
        </w:trPr>
        <w:tc>
          <w:tcPr>
            <w:tcW w:w="1753" w:type="dxa"/>
            <w:vMerge/>
            <w:vAlign w:val="center"/>
          </w:tcPr>
          <w:p w:rsidR="00A77B14" w:rsidRPr="002E22C3" w:rsidRDefault="00A77B14" w:rsidP="004F55E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  <w:vMerge/>
            <w:vAlign w:val="center"/>
          </w:tcPr>
          <w:p w:rsidR="00A77B14" w:rsidRPr="002E22C3" w:rsidRDefault="00A77B14" w:rsidP="004F55E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vAlign w:val="center"/>
          </w:tcPr>
          <w:p w:rsidR="00A77B14" w:rsidRPr="002E22C3" w:rsidRDefault="00A77B14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value</w:t>
            </w:r>
            <w:r w:rsidRPr="002E22C3">
              <w:rPr>
                <w:rFonts w:cs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859" w:type="dxa"/>
            <w:vAlign w:val="center"/>
          </w:tcPr>
          <w:p w:rsidR="00A77B14" w:rsidRPr="002E22C3" w:rsidRDefault="00A77B14" w:rsidP="00826E50">
            <w:pPr>
              <w:jc w:val="center"/>
              <w:rPr>
                <w:rFonts w:cs="Arial"/>
                <w:i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i/>
                <w:sz w:val="22"/>
                <w:szCs w:val="22"/>
                <w:lang w:val="en-GB"/>
              </w:rPr>
              <w:t>P</w:t>
            </w:r>
          </w:p>
        </w:tc>
        <w:tc>
          <w:tcPr>
            <w:tcW w:w="939" w:type="dxa"/>
            <w:vAlign w:val="center"/>
          </w:tcPr>
          <w:p w:rsidR="00A77B14" w:rsidRPr="002E22C3" w:rsidRDefault="00A77B14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value</w:t>
            </w:r>
            <w:r w:rsidRPr="002E22C3">
              <w:rPr>
                <w:rFonts w:cs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904" w:type="dxa"/>
            <w:vAlign w:val="center"/>
          </w:tcPr>
          <w:p w:rsidR="00A77B14" w:rsidRPr="002E22C3" w:rsidRDefault="00A77B14" w:rsidP="00826E50">
            <w:pPr>
              <w:jc w:val="center"/>
              <w:rPr>
                <w:rFonts w:cs="Arial"/>
                <w:i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i/>
                <w:sz w:val="22"/>
                <w:szCs w:val="22"/>
                <w:lang w:val="en-GB"/>
              </w:rPr>
              <w:t>P</w:t>
            </w: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A77B14" w:rsidRPr="002E22C3" w:rsidRDefault="00A77B14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A77B14" w:rsidRPr="002E22C3" w:rsidRDefault="00A77B14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value</w:t>
            </w:r>
            <w:r w:rsidRPr="002E22C3">
              <w:rPr>
                <w:rFonts w:cs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A77B14" w:rsidRPr="002E22C3" w:rsidRDefault="00A77B14" w:rsidP="00826E50">
            <w:pPr>
              <w:jc w:val="center"/>
              <w:rPr>
                <w:rFonts w:cs="Arial"/>
                <w:i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i/>
                <w:sz w:val="22"/>
                <w:szCs w:val="22"/>
                <w:lang w:val="en-GB"/>
              </w:rPr>
              <w:t>P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A77B14" w:rsidRPr="002E22C3" w:rsidRDefault="00A77B14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value</w:t>
            </w:r>
            <w:r w:rsidRPr="002E22C3">
              <w:rPr>
                <w:rFonts w:cs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77B14" w:rsidRPr="002E22C3" w:rsidRDefault="00A77B14" w:rsidP="00826E50">
            <w:pPr>
              <w:jc w:val="center"/>
              <w:rPr>
                <w:rFonts w:cs="Arial"/>
                <w:i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i/>
                <w:sz w:val="22"/>
                <w:szCs w:val="22"/>
                <w:lang w:val="en-GB"/>
              </w:rPr>
              <w:t>P</w:t>
            </w:r>
          </w:p>
        </w:tc>
        <w:tc>
          <w:tcPr>
            <w:tcW w:w="941" w:type="dxa"/>
            <w:vMerge/>
            <w:shd w:val="clear" w:color="auto" w:fill="auto"/>
            <w:vAlign w:val="center"/>
          </w:tcPr>
          <w:p w:rsidR="00A77B14" w:rsidRPr="002E22C3" w:rsidRDefault="00A77B14" w:rsidP="00826E50">
            <w:pPr>
              <w:jc w:val="center"/>
              <w:rPr>
                <w:rFonts w:cs="Arial"/>
                <w:i/>
                <w:sz w:val="22"/>
                <w:szCs w:val="22"/>
                <w:lang w:val="en-GB"/>
              </w:rPr>
            </w:pPr>
          </w:p>
        </w:tc>
      </w:tr>
      <w:tr w:rsidR="00F8253B" w:rsidRPr="002E22C3" w:rsidTr="006F7D2B">
        <w:trPr>
          <w:cantSplit/>
        </w:trPr>
        <w:tc>
          <w:tcPr>
            <w:tcW w:w="1753" w:type="dxa"/>
            <w:vAlign w:val="center"/>
          </w:tcPr>
          <w:p w:rsidR="00A77B14" w:rsidRPr="002E22C3" w:rsidRDefault="00A77B14" w:rsidP="00A77B1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4|3</w:t>
            </w:r>
          </w:p>
          <w:p w:rsidR="00A77B14" w:rsidRPr="002E22C3" w:rsidRDefault="00A77B14" w:rsidP="00A77B1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:rsidR="00A77B14" w:rsidRPr="002E22C3" w:rsidRDefault="00A77B14" w:rsidP="00A77B1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:rsidR="00A77B14" w:rsidRPr="002E22C3" w:rsidRDefault="00A77B14" w:rsidP="00A77B1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5|3</w:t>
            </w:r>
          </w:p>
          <w:p w:rsidR="00A77B14" w:rsidRPr="002E22C3" w:rsidRDefault="00A77B14" w:rsidP="00A77B1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:rsidR="00A77B14" w:rsidRPr="002E22C3" w:rsidRDefault="00A77B14" w:rsidP="00A77B1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:rsidR="00A77B14" w:rsidRPr="002E22C3" w:rsidRDefault="00A77B14" w:rsidP="00A77B1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6|3</w:t>
            </w:r>
          </w:p>
          <w:p w:rsidR="00A77B14" w:rsidRPr="002E22C3" w:rsidRDefault="00A77B14" w:rsidP="00A77B1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:rsidR="00A77B14" w:rsidRPr="002E22C3" w:rsidRDefault="00A77B14" w:rsidP="00A77B1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:rsidR="00A77B14" w:rsidRPr="002E22C3" w:rsidRDefault="00A77B14" w:rsidP="00A77B1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7|3</w:t>
            </w:r>
          </w:p>
          <w:p w:rsidR="00A77B14" w:rsidRPr="002E22C3" w:rsidRDefault="00A77B14" w:rsidP="00A77B1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:rsidR="00A77B14" w:rsidRPr="002E22C3" w:rsidRDefault="00A77B14" w:rsidP="00A77B1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:rsidR="00F8253B" w:rsidRPr="002E22C3" w:rsidRDefault="00A77B14" w:rsidP="00A77B1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8|3</w:t>
            </w:r>
          </w:p>
          <w:p w:rsidR="00F8253B" w:rsidRPr="002E22C3" w:rsidRDefault="00F8253B" w:rsidP="004F55E8">
            <w:pPr>
              <w:rPr>
                <w:rFonts w:cs="Arial"/>
                <w:sz w:val="22"/>
                <w:szCs w:val="22"/>
                <w:lang w:val="en-GB"/>
              </w:rPr>
            </w:pPr>
          </w:p>
          <w:p w:rsidR="00F8253B" w:rsidRPr="002E22C3" w:rsidRDefault="00F8253B" w:rsidP="004F55E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:rsidR="00F8253B" w:rsidRPr="002E22C3" w:rsidRDefault="00F8253B" w:rsidP="004F55E8">
            <w:pPr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Moderate</w:t>
            </w:r>
          </w:p>
          <w:p w:rsidR="00F8253B" w:rsidRPr="002E22C3" w:rsidRDefault="00F8253B" w:rsidP="004F55E8">
            <w:pPr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Harsh</w:t>
            </w:r>
          </w:p>
          <w:p w:rsidR="00F8253B" w:rsidRPr="002E22C3" w:rsidRDefault="00F8253B" w:rsidP="004F55E8">
            <w:pPr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(Harsh – Moderate)</w:t>
            </w:r>
          </w:p>
          <w:p w:rsidR="00F8253B" w:rsidRPr="002E22C3" w:rsidRDefault="00F8253B" w:rsidP="004F55E8">
            <w:pPr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Moderate</w:t>
            </w:r>
          </w:p>
          <w:p w:rsidR="00F8253B" w:rsidRPr="002E22C3" w:rsidRDefault="00F8253B" w:rsidP="004F55E8">
            <w:pPr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Harsh</w:t>
            </w:r>
          </w:p>
          <w:p w:rsidR="00F8253B" w:rsidRPr="002E22C3" w:rsidRDefault="00F8253B" w:rsidP="004F55E8">
            <w:pPr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(Harsh – Moderate)</w:t>
            </w:r>
          </w:p>
          <w:p w:rsidR="00F8253B" w:rsidRPr="002E22C3" w:rsidRDefault="00F8253B" w:rsidP="004F55E8">
            <w:pPr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Moderate</w:t>
            </w:r>
          </w:p>
          <w:p w:rsidR="00F8253B" w:rsidRPr="002E22C3" w:rsidRDefault="00F8253B" w:rsidP="004F55E8">
            <w:pPr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Harsh</w:t>
            </w:r>
          </w:p>
          <w:p w:rsidR="00F8253B" w:rsidRPr="002E22C3" w:rsidRDefault="00F8253B" w:rsidP="004F55E8">
            <w:pPr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(Harsh – Moderate)</w:t>
            </w:r>
          </w:p>
          <w:p w:rsidR="00F8253B" w:rsidRPr="002E22C3" w:rsidRDefault="00F8253B" w:rsidP="004F55E8">
            <w:pPr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Moderate</w:t>
            </w:r>
          </w:p>
          <w:p w:rsidR="00F8253B" w:rsidRPr="002E22C3" w:rsidRDefault="00F8253B" w:rsidP="004F55E8">
            <w:pPr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Harsh</w:t>
            </w:r>
          </w:p>
          <w:p w:rsidR="00F8253B" w:rsidRPr="002E22C3" w:rsidRDefault="00F8253B" w:rsidP="004F55E8">
            <w:pPr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(Harsh – Moderate)</w:t>
            </w:r>
          </w:p>
          <w:p w:rsidR="00A77B14" w:rsidRPr="002E22C3" w:rsidRDefault="00A77B14" w:rsidP="00A77B14">
            <w:pPr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Moderate</w:t>
            </w:r>
          </w:p>
          <w:p w:rsidR="00A77B14" w:rsidRPr="002E22C3" w:rsidRDefault="00A77B14" w:rsidP="00A77B14">
            <w:pPr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Harsh</w:t>
            </w:r>
          </w:p>
          <w:p w:rsidR="00A77B14" w:rsidRPr="002E22C3" w:rsidRDefault="00A77B14" w:rsidP="00A77B14">
            <w:pPr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(Harsh – Moderate)</w:t>
            </w:r>
          </w:p>
        </w:tc>
        <w:tc>
          <w:tcPr>
            <w:tcW w:w="899" w:type="dxa"/>
          </w:tcPr>
          <w:p w:rsidR="00F8253B" w:rsidRPr="002E22C3" w:rsidRDefault="00A77B14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– 0.37</w:t>
            </w:r>
          </w:p>
          <w:p w:rsidR="00A77B14" w:rsidRPr="002E22C3" w:rsidRDefault="00A77B14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– 0.16</w:t>
            </w:r>
          </w:p>
          <w:p w:rsidR="00A77B14" w:rsidRDefault="00A77B14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+ 0.21</w:t>
            </w:r>
          </w:p>
          <w:p w:rsidR="009F00AA" w:rsidRDefault="009F00AA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– 0.33</w:t>
            </w:r>
          </w:p>
          <w:p w:rsidR="00C07E4A" w:rsidRDefault="00C07E4A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– 0.15</w:t>
            </w:r>
          </w:p>
          <w:p w:rsidR="00C07E4A" w:rsidRDefault="00C07E4A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+ 0.19</w:t>
            </w:r>
          </w:p>
          <w:p w:rsidR="002E22C3" w:rsidRDefault="00A21F45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– 0.38</w:t>
            </w:r>
          </w:p>
          <w:p w:rsidR="00A21F45" w:rsidRDefault="00A21F45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– 0.12</w:t>
            </w:r>
          </w:p>
          <w:p w:rsidR="00A21F45" w:rsidRDefault="00A21F45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+ 0.26</w:t>
            </w:r>
          </w:p>
          <w:p w:rsidR="00280B3B" w:rsidRDefault="00280B3B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– 0.45</w:t>
            </w:r>
          </w:p>
          <w:p w:rsidR="00280B3B" w:rsidRDefault="00280B3B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– 0.11</w:t>
            </w:r>
          </w:p>
          <w:p w:rsidR="00280B3B" w:rsidRDefault="00280B3B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+ 0.35</w:t>
            </w:r>
          </w:p>
          <w:p w:rsidR="00961158" w:rsidRDefault="00961158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– 0.52</w:t>
            </w:r>
          </w:p>
          <w:p w:rsidR="00961158" w:rsidRDefault="00961158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– 0.35</w:t>
            </w:r>
          </w:p>
          <w:p w:rsidR="00961158" w:rsidRPr="002E22C3" w:rsidRDefault="00961158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0.17</w:t>
            </w:r>
          </w:p>
        </w:tc>
        <w:tc>
          <w:tcPr>
            <w:tcW w:w="859" w:type="dxa"/>
          </w:tcPr>
          <w:p w:rsidR="00F8253B" w:rsidRPr="002E22C3" w:rsidRDefault="00A77B14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77B14" w:rsidRPr="002E22C3" w:rsidRDefault="009F00AA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77B14" w:rsidRDefault="00A77B14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9F00AA" w:rsidRDefault="009F00AA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C07E4A" w:rsidRDefault="00C07E4A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C07E4A" w:rsidRDefault="00C07E4A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</w:t>
            </w:r>
          </w:p>
          <w:p w:rsidR="00A21F45" w:rsidRDefault="00A21F45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21F45" w:rsidRDefault="006F7D2B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</w:t>
            </w:r>
          </w:p>
          <w:p w:rsidR="00A21F45" w:rsidRDefault="00A21F45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</w:t>
            </w:r>
          </w:p>
          <w:p w:rsidR="00280B3B" w:rsidRDefault="00280B3B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280B3B" w:rsidRDefault="00280B3B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:rsidR="00280B3B" w:rsidRDefault="00280B3B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</w:t>
            </w:r>
          </w:p>
          <w:p w:rsidR="00961158" w:rsidRDefault="00961158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</w:t>
            </w:r>
          </w:p>
          <w:p w:rsidR="00961158" w:rsidRPr="002E22C3" w:rsidRDefault="00961158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</w:t>
            </w:r>
          </w:p>
        </w:tc>
        <w:tc>
          <w:tcPr>
            <w:tcW w:w="939" w:type="dxa"/>
          </w:tcPr>
          <w:p w:rsidR="00826E50" w:rsidRPr="002E22C3" w:rsidRDefault="00826E50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3.33</w:t>
            </w:r>
          </w:p>
          <w:p w:rsidR="00826E50" w:rsidRPr="002E22C3" w:rsidRDefault="00826E50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1.31</w:t>
            </w:r>
          </w:p>
          <w:p w:rsidR="00826E50" w:rsidRDefault="00826E50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– 2.02</w:t>
            </w:r>
          </w:p>
          <w:p w:rsidR="009F00AA" w:rsidRDefault="009F00AA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3.08</w:t>
            </w:r>
          </w:p>
          <w:p w:rsidR="00C07E4A" w:rsidRDefault="00C07E4A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1.20</w:t>
            </w:r>
          </w:p>
          <w:p w:rsidR="00C07E4A" w:rsidRPr="002E22C3" w:rsidRDefault="00C07E4A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– 1.89</w:t>
            </w:r>
          </w:p>
          <w:p w:rsidR="009748BA" w:rsidRDefault="00A21F45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3.51</w:t>
            </w:r>
          </w:p>
          <w:p w:rsidR="00A21F45" w:rsidRDefault="00A21F45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0.96</w:t>
            </w:r>
          </w:p>
          <w:p w:rsidR="00A21F45" w:rsidRDefault="00A21F45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– 2.54</w:t>
            </w:r>
          </w:p>
          <w:p w:rsidR="00280B3B" w:rsidRDefault="00280B3B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4.14</w:t>
            </w:r>
          </w:p>
          <w:p w:rsidR="00280B3B" w:rsidRDefault="00280B3B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0.84</w:t>
            </w:r>
          </w:p>
          <w:p w:rsidR="00280B3B" w:rsidRPr="002E22C3" w:rsidRDefault="00280B3B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– 3.30</w:t>
            </w:r>
          </w:p>
          <w:p w:rsidR="009748BA" w:rsidRDefault="00961158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4.66</w:t>
            </w:r>
          </w:p>
          <w:p w:rsidR="00961158" w:rsidRDefault="00961158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2.22</w:t>
            </w:r>
          </w:p>
          <w:p w:rsidR="00961158" w:rsidRPr="002E22C3" w:rsidRDefault="00961158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– 2.44</w:t>
            </w:r>
          </w:p>
        </w:tc>
        <w:tc>
          <w:tcPr>
            <w:tcW w:w="904" w:type="dxa"/>
          </w:tcPr>
          <w:p w:rsidR="00F8253B" w:rsidRPr="002E22C3" w:rsidRDefault="00826E50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826E50" w:rsidRPr="002E22C3" w:rsidRDefault="009F00AA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826E50" w:rsidRDefault="00826E50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2E22C3"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9F00AA" w:rsidRDefault="009F00AA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C07E4A" w:rsidRDefault="00C07E4A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C07E4A" w:rsidRDefault="00C07E4A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21F45" w:rsidRDefault="00A21F45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21F45" w:rsidRDefault="00A21F45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A21F45" w:rsidRDefault="00A21F45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280B3B" w:rsidRDefault="00280B3B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280B3B" w:rsidRDefault="00280B3B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:rsidR="00280B3B" w:rsidRDefault="00280B3B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</w:t>
            </w:r>
          </w:p>
          <w:p w:rsidR="00961158" w:rsidRDefault="00961158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  <w:p w:rsidR="00961158" w:rsidRPr="002E22C3" w:rsidRDefault="00961158" w:rsidP="00826E50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***</w:t>
            </w:r>
          </w:p>
        </w:tc>
        <w:tc>
          <w:tcPr>
            <w:tcW w:w="899" w:type="dxa"/>
            <w:shd w:val="clear" w:color="auto" w:fill="auto"/>
          </w:tcPr>
          <w:p w:rsidR="00F8253B" w:rsidRPr="002E22C3" w:rsidRDefault="00826E50" w:rsidP="00826E50">
            <w:pPr>
              <w:jc w:val="center"/>
              <w:rPr>
                <w:sz w:val="22"/>
                <w:szCs w:val="22"/>
              </w:rPr>
            </w:pPr>
            <w:r w:rsidRPr="002E22C3">
              <w:rPr>
                <w:sz w:val="22"/>
                <w:szCs w:val="22"/>
              </w:rPr>
              <w:t>4.5</w:t>
            </w:r>
          </w:p>
          <w:p w:rsidR="00826E50" w:rsidRPr="002E22C3" w:rsidRDefault="00826E50" w:rsidP="00826E50">
            <w:pPr>
              <w:jc w:val="center"/>
              <w:rPr>
                <w:sz w:val="22"/>
                <w:szCs w:val="22"/>
              </w:rPr>
            </w:pPr>
            <w:r w:rsidRPr="002E22C3">
              <w:rPr>
                <w:sz w:val="22"/>
                <w:szCs w:val="22"/>
              </w:rPr>
              <w:t>4.1</w:t>
            </w:r>
          </w:p>
          <w:p w:rsidR="00826E50" w:rsidRDefault="00826E50" w:rsidP="00826E50">
            <w:pPr>
              <w:jc w:val="center"/>
              <w:rPr>
                <w:sz w:val="22"/>
                <w:szCs w:val="22"/>
              </w:rPr>
            </w:pPr>
            <w:r w:rsidRPr="002E22C3">
              <w:rPr>
                <w:sz w:val="22"/>
                <w:szCs w:val="22"/>
              </w:rPr>
              <w:t>+ 0.4</w:t>
            </w:r>
          </w:p>
          <w:p w:rsidR="009F00AA" w:rsidRDefault="00C07E4A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  <w:p w:rsidR="00C07E4A" w:rsidRDefault="00C07E4A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  <w:p w:rsidR="00C07E4A" w:rsidRDefault="00C07E4A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+ 0.5</w:t>
            </w:r>
          </w:p>
          <w:p w:rsidR="00A21F45" w:rsidRDefault="00A21F45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  <w:p w:rsidR="00A21F45" w:rsidRDefault="00A21F45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  <w:p w:rsidR="00A21F45" w:rsidRDefault="00A21F45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+ 0.7</w:t>
            </w:r>
          </w:p>
          <w:p w:rsidR="00280B3B" w:rsidRDefault="00280B3B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  <w:p w:rsidR="00280B3B" w:rsidRDefault="00280B3B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  <w:p w:rsidR="00280B3B" w:rsidRDefault="00280B3B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+ 0.7</w:t>
            </w:r>
          </w:p>
          <w:p w:rsidR="00961158" w:rsidRDefault="00961158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  <w:p w:rsidR="00961158" w:rsidRDefault="00961158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:rsidR="00961158" w:rsidRPr="002E22C3" w:rsidRDefault="00961158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+ 1.4</w:t>
            </w:r>
          </w:p>
        </w:tc>
        <w:tc>
          <w:tcPr>
            <w:tcW w:w="899" w:type="dxa"/>
            <w:shd w:val="clear" w:color="auto" w:fill="auto"/>
          </w:tcPr>
          <w:p w:rsidR="00F8253B" w:rsidRPr="002E22C3" w:rsidRDefault="00826E50" w:rsidP="00826E50">
            <w:pPr>
              <w:jc w:val="center"/>
              <w:rPr>
                <w:sz w:val="22"/>
                <w:szCs w:val="22"/>
              </w:rPr>
            </w:pPr>
            <w:r w:rsidRPr="002E22C3">
              <w:rPr>
                <w:sz w:val="22"/>
                <w:szCs w:val="22"/>
              </w:rPr>
              <w:t>– 0.37</w:t>
            </w:r>
          </w:p>
          <w:p w:rsidR="002E22C3" w:rsidRPr="002E22C3" w:rsidRDefault="009F00AA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0.15</w:t>
            </w:r>
          </w:p>
          <w:p w:rsidR="002E22C3" w:rsidRDefault="002E22C3" w:rsidP="00826E50">
            <w:pPr>
              <w:jc w:val="center"/>
              <w:rPr>
                <w:sz w:val="22"/>
                <w:szCs w:val="22"/>
              </w:rPr>
            </w:pPr>
            <w:r w:rsidRPr="002E22C3">
              <w:rPr>
                <w:sz w:val="22"/>
                <w:szCs w:val="22"/>
              </w:rPr>
              <w:t>+ 0.22</w:t>
            </w:r>
          </w:p>
          <w:p w:rsidR="00C07E4A" w:rsidRDefault="00C07E4A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0.33</w:t>
            </w:r>
          </w:p>
          <w:p w:rsidR="00A21F45" w:rsidRDefault="00A21F45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0.14</w:t>
            </w:r>
          </w:p>
          <w:p w:rsidR="00A21F45" w:rsidRDefault="00A21F45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+ 0.19</w:t>
            </w:r>
          </w:p>
          <w:p w:rsidR="00A21F45" w:rsidRDefault="00A21F45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0.37</w:t>
            </w:r>
          </w:p>
          <w:p w:rsidR="00A21F45" w:rsidRDefault="00280B3B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0.11</w:t>
            </w:r>
          </w:p>
          <w:p w:rsidR="00280B3B" w:rsidRDefault="00280B3B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+ 0.26</w:t>
            </w:r>
          </w:p>
          <w:p w:rsidR="00280B3B" w:rsidRDefault="00280B3B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0.45</w:t>
            </w:r>
          </w:p>
          <w:p w:rsidR="00280B3B" w:rsidRDefault="00961158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0.10</w:t>
            </w:r>
          </w:p>
          <w:p w:rsidR="00961158" w:rsidRDefault="00961158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+ 0.35</w:t>
            </w:r>
          </w:p>
          <w:p w:rsidR="00961158" w:rsidRDefault="00961158" w:rsidP="00961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0.52</w:t>
            </w:r>
          </w:p>
          <w:p w:rsidR="00961158" w:rsidRDefault="00961158" w:rsidP="00961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0.29</w:t>
            </w:r>
          </w:p>
          <w:p w:rsidR="00961158" w:rsidRPr="002E22C3" w:rsidRDefault="00961158" w:rsidP="00961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+ 0.24</w:t>
            </w:r>
          </w:p>
        </w:tc>
        <w:tc>
          <w:tcPr>
            <w:tcW w:w="899" w:type="dxa"/>
            <w:shd w:val="clear" w:color="auto" w:fill="auto"/>
          </w:tcPr>
          <w:p w:rsidR="00F8253B" w:rsidRDefault="00826E50" w:rsidP="00826E50">
            <w:pPr>
              <w:jc w:val="center"/>
              <w:rPr>
                <w:sz w:val="22"/>
                <w:szCs w:val="22"/>
              </w:rPr>
            </w:pPr>
            <w:r w:rsidRPr="002E22C3">
              <w:rPr>
                <w:sz w:val="22"/>
                <w:szCs w:val="22"/>
              </w:rPr>
              <w:t>***</w:t>
            </w:r>
          </w:p>
          <w:p w:rsidR="002E22C3" w:rsidRDefault="009F00AA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:rsidR="002E22C3" w:rsidRDefault="002E22C3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:rsidR="00C07E4A" w:rsidRDefault="00C07E4A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:rsidR="00A21F45" w:rsidRDefault="00A21F45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:rsidR="00A21F45" w:rsidRDefault="00A21F45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  <w:p w:rsidR="00A21F45" w:rsidRDefault="00A21F45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:rsidR="00280B3B" w:rsidRDefault="006F7D2B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  <w:p w:rsidR="00280B3B" w:rsidRDefault="00280B3B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  <w:p w:rsidR="00280B3B" w:rsidRDefault="00280B3B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:rsidR="00961158" w:rsidRDefault="00961158" w:rsidP="00826E50">
            <w:pPr>
              <w:jc w:val="center"/>
              <w:rPr>
                <w:sz w:val="22"/>
                <w:szCs w:val="22"/>
              </w:rPr>
            </w:pPr>
          </w:p>
          <w:p w:rsidR="00961158" w:rsidRDefault="00961158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  <w:p w:rsidR="00961158" w:rsidRPr="002E22C3" w:rsidRDefault="00961158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899" w:type="dxa"/>
            <w:shd w:val="clear" w:color="auto" w:fill="auto"/>
          </w:tcPr>
          <w:p w:rsidR="00F8253B" w:rsidRDefault="00826E50" w:rsidP="00826E50">
            <w:pPr>
              <w:jc w:val="center"/>
              <w:rPr>
                <w:sz w:val="22"/>
                <w:szCs w:val="22"/>
              </w:rPr>
            </w:pPr>
            <w:r w:rsidRPr="002E22C3">
              <w:rPr>
                <w:sz w:val="22"/>
                <w:szCs w:val="22"/>
              </w:rPr>
              <w:t>3.32</w:t>
            </w:r>
          </w:p>
          <w:p w:rsidR="002E22C3" w:rsidRDefault="002E22C3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</w:t>
            </w:r>
          </w:p>
          <w:p w:rsidR="002E22C3" w:rsidRDefault="009F00AA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2.1</w:t>
            </w:r>
            <w:r w:rsidR="002E22C3">
              <w:rPr>
                <w:sz w:val="22"/>
                <w:szCs w:val="22"/>
              </w:rPr>
              <w:t>2</w:t>
            </w:r>
          </w:p>
          <w:p w:rsidR="00C07E4A" w:rsidRDefault="00C07E4A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3.05</w:t>
            </w:r>
          </w:p>
          <w:p w:rsidR="00A21F45" w:rsidRDefault="00A21F45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1.09</w:t>
            </w:r>
          </w:p>
          <w:p w:rsidR="00A21F45" w:rsidRDefault="00A21F45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1.96</w:t>
            </w:r>
          </w:p>
          <w:p w:rsidR="00A21F45" w:rsidRDefault="00A21F45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3.46</w:t>
            </w:r>
          </w:p>
          <w:p w:rsidR="00280B3B" w:rsidRDefault="00280B3B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0.85</w:t>
            </w:r>
          </w:p>
          <w:p w:rsidR="00280B3B" w:rsidRDefault="00280B3B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2.61</w:t>
            </w:r>
          </w:p>
          <w:p w:rsidR="00280B3B" w:rsidRDefault="00280B3B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</w:t>
            </w:r>
          </w:p>
          <w:p w:rsidR="00961158" w:rsidRDefault="00961158" w:rsidP="00961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0.73</w:t>
            </w:r>
          </w:p>
          <w:p w:rsidR="00961158" w:rsidRDefault="00961158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3.36</w:t>
            </w:r>
          </w:p>
          <w:p w:rsidR="00961158" w:rsidRDefault="00961158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4.71</w:t>
            </w:r>
          </w:p>
          <w:p w:rsidR="00961158" w:rsidRDefault="00961158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</w:t>
            </w:r>
          </w:p>
          <w:p w:rsidR="00961158" w:rsidRPr="002E22C3" w:rsidRDefault="00961158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2.58</w:t>
            </w:r>
          </w:p>
        </w:tc>
        <w:tc>
          <w:tcPr>
            <w:tcW w:w="940" w:type="dxa"/>
            <w:shd w:val="clear" w:color="auto" w:fill="auto"/>
          </w:tcPr>
          <w:p w:rsidR="00F8253B" w:rsidRDefault="00826E50" w:rsidP="00826E50">
            <w:pPr>
              <w:jc w:val="center"/>
              <w:rPr>
                <w:sz w:val="22"/>
                <w:szCs w:val="22"/>
              </w:rPr>
            </w:pPr>
            <w:r w:rsidRPr="002E22C3">
              <w:rPr>
                <w:sz w:val="22"/>
                <w:szCs w:val="22"/>
              </w:rPr>
              <w:t>***</w:t>
            </w:r>
          </w:p>
          <w:p w:rsidR="002E22C3" w:rsidRDefault="009F00AA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:rsidR="002E22C3" w:rsidRDefault="002E22C3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:rsidR="00C07E4A" w:rsidRDefault="00C07E4A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:rsidR="00A21F45" w:rsidRDefault="00A21F45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:rsidR="00A21F45" w:rsidRDefault="00A21F45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:rsidR="00A21F45" w:rsidRDefault="00A21F45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:rsidR="00280B3B" w:rsidRDefault="006F7D2B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  <w:p w:rsidR="00280B3B" w:rsidRDefault="00280B3B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:rsidR="00280B3B" w:rsidRDefault="00280B3B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:rsidR="00961158" w:rsidRDefault="00961158" w:rsidP="00826E50">
            <w:pPr>
              <w:jc w:val="center"/>
              <w:rPr>
                <w:sz w:val="22"/>
                <w:szCs w:val="22"/>
              </w:rPr>
            </w:pPr>
          </w:p>
          <w:p w:rsidR="00961158" w:rsidRDefault="00961158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:rsidR="00961158" w:rsidRPr="002E22C3" w:rsidRDefault="00961158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941" w:type="dxa"/>
            <w:shd w:val="clear" w:color="auto" w:fill="auto"/>
          </w:tcPr>
          <w:p w:rsidR="00F8253B" w:rsidRDefault="00826E50" w:rsidP="00826E50">
            <w:pPr>
              <w:jc w:val="center"/>
              <w:rPr>
                <w:sz w:val="22"/>
                <w:szCs w:val="22"/>
              </w:rPr>
            </w:pPr>
            <w:r w:rsidRPr="002E22C3">
              <w:rPr>
                <w:sz w:val="22"/>
                <w:szCs w:val="22"/>
              </w:rPr>
              <w:t>4.5</w:t>
            </w:r>
          </w:p>
          <w:p w:rsidR="002E22C3" w:rsidRDefault="002E22C3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  <w:p w:rsidR="002E22C3" w:rsidRDefault="002E22C3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+ 0.4</w:t>
            </w:r>
          </w:p>
          <w:p w:rsidR="00A21F45" w:rsidRDefault="00A21F45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  <w:p w:rsidR="00A21F45" w:rsidRDefault="00A21F45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  <w:p w:rsidR="00A21F45" w:rsidRDefault="00A21F45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+ 0.6</w:t>
            </w:r>
          </w:p>
          <w:p w:rsidR="00A21F45" w:rsidRDefault="00A21F45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  <w:p w:rsidR="00280B3B" w:rsidRDefault="00280B3B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  <w:p w:rsidR="00280B3B" w:rsidRDefault="00280B3B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+ 0.9</w:t>
            </w:r>
          </w:p>
          <w:p w:rsidR="00961158" w:rsidRDefault="00961158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  <w:p w:rsidR="00961158" w:rsidRDefault="00961158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  <w:p w:rsidR="00961158" w:rsidRDefault="00961158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+ 1.0</w:t>
            </w:r>
          </w:p>
          <w:p w:rsidR="00961158" w:rsidRDefault="00961158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  <w:p w:rsidR="00961158" w:rsidRDefault="00961158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  <w:p w:rsidR="00961158" w:rsidRPr="002E22C3" w:rsidRDefault="006F7D2B" w:rsidP="0082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+ 0.8</w:t>
            </w:r>
          </w:p>
        </w:tc>
      </w:tr>
    </w:tbl>
    <w:p w:rsidR="00A539CD" w:rsidRDefault="00A539CD" w:rsidP="00A539CD">
      <w:pPr>
        <w:pStyle w:val="ANMTabFootnote"/>
        <w:spacing w:line="240" w:lineRule="auto"/>
      </w:pPr>
      <w:proofErr w:type="gramStart"/>
      <w:r>
        <w:t>β</w:t>
      </w:r>
      <w:r>
        <w:rPr>
          <w:vertAlign w:val="subscript"/>
        </w:rPr>
        <w:t>2</w:t>
      </w:r>
      <w:proofErr w:type="gramEnd"/>
      <w:r w:rsidRPr="00615223">
        <w:t xml:space="preserve"> and </w:t>
      </w:r>
      <w:r>
        <w:t>β</w:t>
      </w:r>
      <w:r w:rsidRPr="00615223">
        <w:rPr>
          <w:vertAlign w:val="subscript"/>
        </w:rPr>
        <w:t>1</w:t>
      </w:r>
      <w:r>
        <w:t xml:space="preserve">  = curvilinear and linear</w:t>
      </w:r>
      <w:r w:rsidRPr="0025748A">
        <w:t xml:space="preserve"> </w:t>
      </w:r>
      <w:r>
        <w:t xml:space="preserve">effect respectively, of the </w:t>
      </w:r>
      <w:r w:rsidRPr="0025748A">
        <w:t xml:space="preserve">number of lamb born during the first two </w:t>
      </w:r>
      <w:r>
        <w:t>parities at two and three</w:t>
      </w:r>
      <w:r w:rsidRPr="0025748A">
        <w:t xml:space="preserve"> y</w:t>
      </w:r>
      <w:r>
        <w:t>ears</w:t>
      </w:r>
      <w:r w:rsidRPr="0025748A">
        <w:t xml:space="preserve"> old </w:t>
      </w:r>
      <w:r>
        <w:t>(NLB</w:t>
      </w:r>
      <w:r w:rsidRPr="00615223">
        <w:rPr>
          <w:vertAlign w:val="subscript"/>
        </w:rPr>
        <w:t>2-3</w:t>
      </w:r>
      <w:r>
        <w:t xml:space="preserve">) on ewe </w:t>
      </w:r>
      <w:proofErr w:type="spellStart"/>
      <w:r>
        <w:t>stayability</w:t>
      </w:r>
      <w:proofErr w:type="spellEnd"/>
      <w:r>
        <w:t xml:space="preserve"> traits </w:t>
      </w:r>
      <w:r w:rsidRPr="0025748A">
        <w:t>(logit-transformed)</w:t>
      </w:r>
    </w:p>
    <w:p w:rsidR="00A539CD" w:rsidRDefault="00A539CD" w:rsidP="00A539CD">
      <w:pPr>
        <w:pStyle w:val="ANMTabFootnote"/>
        <w:spacing w:line="240" w:lineRule="auto"/>
      </w:pPr>
      <w:r>
        <w:t>Level of statistical significance denoted by asterisk: * (</w:t>
      </w:r>
      <w:r w:rsidRPr="00A30832">
        <w:rPr>
          <w:i/>
        </w:rPr>
        <w:t>P</w:t>
      </w:r>
      <w:r>
        <w:t xml:space="preserve"> &lt; 0.05), ** (</w:t>
      </w:r>
      <w:r w:rsidRPr="00A30832">
        <w:rPr>
          <w:i/>
        </w:rPr>
        <w:t>P</w:t>
      </w:r>
      <w:r>
        <w:t xml:space="preserve"> &lt; 0.01), *** (</w:t>
      </w:r>
      <w:r w:rsidRPr="00A30832">
        <w:rPr>
          <w:i/>
        </w:rPr>
        <w:t>P</w:t>
      </w:r>
      <w:r>
        <w:t xml:space="preserve"> &lt; 0.001)</w:t>
      </w:r>
    </w:p>
    <w:p w:rsidR="00A539CD" w:rsidRDefault="00A539CD" w:rsidP="00A539CD">
      <w:pPr>
        <w:pStyle w:val="ANMTabFootnote"/>
        <w:spacing w:line="240" w:lineRule="auto"/>
      </w:pPr>
      <w:r w:rsidRPr="00CE6E05">
        <w:rPr>
          <w:vertAlign w:val="superscript"/>
        </w:rPr>
        <w:t>1</w:t>
      </w:r>
      <w:r w:rsidRPr="00615223">
        <w:t xml:space="preserve"> </w:t>
      </w:r>
      <w:proofErr w:type="spellStart"/>
      <w:r w:rsidRPr="00CE6E05">
        <w:t>Stayability</w:t>
      </w:r>
      <w:proofErr w:type="spellEnd"/>
      <w:r w:rsidRPr="00CE6E05">
        <w:t xml:space="preserve"> </w:t>
      </w:r>
      <w:proofErr w:type="spellStart"/>
      <w:r w:rsidRPr="00CE6E05">
        <w:rPr>
          <w:i/>
        </w:rPr>
        <w:t>i</w:t>
      </w:r>
      <w:r w:rsidRPr="00CE6E05">
        <w:t>|</w:t>
      </w:r>
      <w:r w:rsidRPr="00CE6E05">
        <w:rPr>
          <w:i/>
        </w:rPr>
        <w:t>j</w:t>
      </w:r>
      <w:proofErr w:type="spellEnd"/>
      <w:r w:rsidRPr="00CE6E05">
        <w:t xml:space="preserve"> describes the probability of a ewe to survive in the flock until </w:t>
      </w:r>
      <w:proofErr w:type="spellStart"/>
      <w:r w:rsidRPr="00CE6E05">
        <w:rPr>
          <w:i/>
        </w:rPr>
        <w:t>i</w:t>
      </w:r>
      <w:proofErr w:type="spellEnd"/>
      <w:r>
        <w:t xml:space="preserve"> years</w:t>
      </w:r>
      <w:r w:rsidRPr="00CE6E05">
        <w:t xml:space="preserve"> old, given that she already survived until </w:t>
      </w:r>
      <w:r w:rsidRPr="00CE6E05">
        <w:rPr>
          <w:i/>
        </w:rPr>
        <w:t>j</w:t>
      </w:r>
      <w:r>
        <w:t xml:space="preserve"> years old</w:t>
      </w:r>
    </w:p>
    <w:p w:rsidR="00A539CD" w:rsidRPr="00A539CD" w:rsidRDefault="00A539CD" w:rsidP="00A539CD">
      <w:pPr>
        <w:pStyle w:val="ANMTabFootnote"/>
        <w:spacing w:line="240" w:lineRule="auto"/>
      </w:pPr>
      <w:r w:rsidRPr="00A539CD">
        <w:rPr>
          <w:vertAlign w:val="superscript"/>
        </w:rPr>
        <w:t>2</w:t>
      </w:r>
      <w:r>
        <w:t xml:space="preserve"> Including seven levels of factor: Romney (</w:t>
      </w:r>
      <w:r w:rsidR="00B129B8">
        <w:t>66.4%</w:t>
      </w:r>
      <w:r>
        <w:t xml:space="preserve">), Romney </w:t>
      </w:r>
      <w:r>
        <w:rPr>
          <w:rFonts w:cs="Arial"/>
        </w:rPr>
        <w:t>×</w:t>
      </w:r>
      <w:r>
        <w:t xml:space="preserve"> Texel (</w:t>
      </w:r>
      <w:r w:rsidR="00B129B8">
        <w:t>23.6%</w:t>
      </w:r>
      <w:r>
        <w:t>), Texel (</w:t>
      </w:r>
      <w:r w:rsidR="00B129B8">
        <w:t>3.3%</w:t>
      </w:r>
      <w:r>
        <w:t>),</w:t>
      </w:r>
      <w:r w:rsidR="00B129B8">
        <w:t xml:space="preserve"> Others Romney composites (0.7%), Others Texel composites (3.7%), </w:t>
      </w:r>
      <w:proofErr w:type="spellStart"/>
      <w:r w:rsidR="00B129B8">
        <w:t>Romdale</w:t>
      </w:r>
      <w:proofErr w:type="spellEnd"/>
      <w:r w:rsidR="00B129B8">
        <w:t xml:space="preserve"> (2.0%), </w:t>
      </w:r>
      <w:proofErr w:type="gramStart"/>
      <w:r w:rsidR="00B129B8">
        <w:t>Others</w:t>
      </w:r>
      <w:proofErr w:type="gramEnd"/>
      <w:r w:rsidR="00B129B8">
        <w:t xml:space="preserve"> (0.3%)</w:t>
      </w:r>
    </w:p>
    <w:p w:rsidR="00A539CD" w:rsidRDefault="00A539CD" w:rsidP="00A539CD">
      <w:pPr>
        <w:pStyle w:val="ANMTabFootnote"/>
        <w:spacing w:line="240" w:lineRule="auto"/>
      </w:pPr>
      <w:r>
        <w:rPr>
          <w:vertAlign w:val="superscript"/>
        </w:rPr>
        <w:t>3</w:t>
      </w:r>
      <w:r>
        <w:t xml:space="preserve"> Extrema of the fitted model</w:t>
      </w:r>
      <w:r w:rsidRPr="00615223">
        <w:t xml:space="preserve"> calculated as Optimal NLB</w:t>
      </w:r>
      <w:r w:rsidRPr="00615223">
        <w:rPr>
          <w:vertAlign w:val="subscript"/>
        </w:rPr>
        <w:t>2-3</w:t>
      </w:r>
      <w:r w:rsidRPr="00615223">
        <w:t xml:space="preserve"> = – β</w:t>
      </w:r>
      <w:r w:rsidRPr="00615223">
        <w:rPr>
          <w:vertAlign w:val="subscript"/>
        </w:rPr>
        <w:t>1</w:t>
      </w:r>
      <w:proofErr w:type="gramStart"/>
      <w:r>
        <w:t>/</w:t>
      </w:r>
      <w:r w:rsidRPr="00615223">
        <w:t>(</w:t>
      </w:r>
      <w:proofErr w:type="gramEnd"/>
      <w:r w:rsidRPr="00615223">
        <w:t>2</w:t>
      </w:r>
      <w:r>
        <w:t xml:space="preserve"> </w:t>
      </w:r>
      <w:r>
        <w:rPr>
          <w:rFonts w:cs="Arial"/>
        </w:rPr>
        <w:t xml:space="preserve">× </w:t>
      </w:r>
      <w:r w:rsidRPr="00615223">
        <w:t>β</w:t>
      </w:r>
      <w:r w:rsidRPr="00615223">
        <w:rPr>
          <w:vertAlign w:val="subscript"/>
        </w:rPr>
        <w:t>2</w:t>
      </w:r>
      <w:r w:rsidRPr="00615223">
        <w:t>)</w:t>
      </w:r>
    </w:p>
    <w:p w:rsidR="00F8253B" w:rsidRPr="00A539CD" w:rsidRDefault="00F8253B" w:rsidP="00A539CD">
      <w:pPr>
        <w:pStyle w:val="ANMauthorname"/>
        <w:spacing w:line="240" w:lineRule="auto"/>
        <w:rPr>
          <w:sz w:val="20"/>
        </w:rPr>
      </w:pPr>
    </w:p>
    <w:sectPr w:rsidR="00F8253B" w:rsidRPr="00A539CD" w:rsidSect="00F825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32"/>
    <w:rsid w:val="00002176"/>
    <w:rsid w:val="001A3AAE"/>
    <w:rsid w:val="00280B3B"/>
    <w:rsid w:val="002E22C3"/>
    <w:rsid w:val="005040D8"/>
    <w:rsid w:val="00536B6B"/>
    <w:rsid w:val="006F7D2B"/>
    <w:rsid w:val="007B5221"/>
    <w:rsid w:val="00826E50"/>
    <w:rsid w:val="00961158"/>
    <w:rsid w:val="009748BA"/>
    <w:rsid w:val="009F00AA"/>
    <w:rsid w:val="00A21F45"/>
    <w:rsid w:val="00A539CD"/>
    <w:rsid w:val="00A77B14"/>
    <w:rsid w:val="00AB1032"/>
    <w:rsid w:val="00B129B8"/>
    <w:rsid w:val="00C07E4A"/>
    <w:rsid w:val="00C25E7C"/>
    <w:rsid w:val="00DD6B30"/>
    <w:rsid w:val="00F8253B"/>
    <w:rsid w:val="00FE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authorname">
    <w:name w:val="ANM author name"/>
    <w:uiPriority w:val="99"/>
    <w:qFormat/>
    <w:rsid w:val="00AB1032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heading1">
    <w:name w:val="ANM heading 1"/>
    <w:next w:val="Normal"/>
    <w:link w:val="ANMheading1Car"/>
    <w:uiPriority w:val="99"/>
    <w:qFormat/>
    <w:rsid w:val="00AB1032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AB1032"/>
    <w:rPr>
      <w:rFonts w:ascii="Arial" w:eastAsia="Times New Roman" w:hAnsi="Arial" w:cs="Times New Roman"/>
      <w:b/>
      <w:sz w:val="24"/>
      <w:szCs w:val="24"/>
      <w:lang w:val="en-GB" w:eastAsia="fr-FR"/>
    </w:rPr>
  </w:style>
  <w:style w:type="table" w:styleId="TableGrid">
    <w:name w:val="Table Grid"/>
    <w:basedOn w:val="TableNormal"/>
    <w:uiPriority w:val="59"/>
    <w:rsid w:val="00AB10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fr-FR"/>
    </w:r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NMTabtitle">
    <w:name w:val="ANM Tab title"/>
    <w:next w:val="Normal"/>
    <w:qFormat/>
    <w:rsid w:val="00AB1032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TabFootnote">
    <w:name w:val="ANM Tab Footnote"/>
    <w:rsid w:val="00AB1032"/>
    <w:pPr>
      <w:spacing w:after="0" w:line="360" w:lineRule="auto"/>
    </w:pPr>
    <w:rPr>
      <w:rFonts w:ascii="Arial" w:eastAsia="Times New Roman" w:hAnsi="Arial" w:cs="Times New Roman"/>
      <w:sz w:val="20"/>
      <w:szCs w:val="24"/>
      <w:lang w:val="en-GB" w:eastAsia="fr-FR"/>
    </w:rPr>
  </w:style>
  <w:style w:type="paragraph" w:customStyle="1" w:styleId="ANMapapertitle">
    <w:name w:val="ANM a paper title"/>
    <w:next w:val="ANMauthorname"/>
    <w:link w:val="ANMapapertitleCar"/>
    <w:uiPriority w:val="99"/>
    <w:qFormat/>
    <w:rsid w:val="00AB1032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AB1032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superscript">
    <w:name w:val="ANM superscript"/>
    <w:next w:val="Normal"/>
    <w:link w:val="ANMsuperscriptCar"/>
    <w:uiPriority w:val="99"/>
    <w:qFormat/>
    <w:rsid w:val="00AB1032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AB1032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authorname">
    <w:name w:val="ANM author name"/>
    <w:uiPriority w:val="99"/>
    <w:qFormat/>
    <w:rsid w:val="00AB1032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heading1">
    <w:name w:val="ANM heading 1"/>
    <w:next w:val="Normal"/>
    <w:link w:val="ANMheading1Car"/>
    <w:uiPriority w:val="99"/>
    <w:qFormat/>
    <w:rsid w:val="00AB1032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AB1032"/>
    <w:rPr>
      <w:rFonts w:ascii="Arial" w:eastAsia="Times New Roman" w:hAnsi="Arial" w:cs="Times New Roman"/>
      <w:b/>
      <w:sz w:val="24"/>
      <w:szCs w:val="24"/>
      <w:lang w:val="en-GB" w:eastAsia="fr-FR"/>
    </w:rPr>
  </w:style>
  <w:style w:type="table" w:styleId="TableGrid">
    <w:name w:val="Table Grid"/>
    <w:basedOn w:val="TableNormal"/>
    <w:uiPriority w:val="59"/>
    <w:rsid w:val="00AB10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fr-FR"/>
    </w:r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NMTabtitle">
    <w:name w:val="ANM Tab title"/>
    <w:next w:val="Normal"/>
    <w:qFormat/>
    <w:rsid w:val="00AB1032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TabFootnote">
    <w:name w:val="ANM Tab Footnote"/>
    <w:rsid w:val="00AB1032"/>
    <w:pPr>
      <w:spacing w:after="0" w:line="360" w:lineRule="auto"/>
    </w:pPr>
    <w:rPr>
      <w:rFonts w:ascii="Arial" w:eastAsia="Times New Roman" w:hAnsi="Arial" w:cs="Times New Roman"/>
      <w:sz w:val="20"/>
      <w:szCs w:val="24"/>
      <w:lang w:val="en-GB" w:eastAsia="fr-FR"/>
    </w:rPr>
  </w:style>
  <w:style w:type="paragraph" w:customStyle="1" w:styleId="ANMapapertitle">
    <w:name w:val="ANM a paper title"/>
    <w:next w:val="ANMauthorname"/>
    <w:link w:val="ANMapapertitleCar"/>
    <w:uiPriority w:val="99"/>
    <w:qFormat/>
    <w:rsid w:val="00AB1032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AB1032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superscript">
    <w:name w:val="ANM superscript"/>
    <w:next w:val="Normal"/>
    <w:link w:val="ANMsuperscriptCar"/>
    <w:uiPriority w:val="99"/>
    <w:qFormat/>
    <w:rsid w:val="00AB1032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AB1032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Douhard</dc:creator>
  <cp:lastModifiedBy>Fred Douhard</cp:lastModifiedBy>
  <cp:revision>2</cp:revision>
  <dcterms:created xsi:type="dcterms:W3CDTF">2016-04-08T13:20:00Z</dcterms:created>
  <dcterms:modified xsi:type="dcterms:W3CDTF">2016-04-08T13:20:00Z</dcterms:modified>
</cp:coreProperties>
</file>