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2D" w:rsidRPr="002142FE" w:rsidRDefault="0089782D" w:rsidP="002142FE">
      <w:pPr>
        <w:pStyle w:val="ANMapapertitle"/>
        <w:spacing w:line="240" w:lineRule="auto"/>
      </w:pPr>
      <w:r w:rsidRPr="002142FE">
        <w:t>Supplementary File – for Online Publication Only</w:t>
      </w:r>
      <w:bookmarkStart w:id="0" w:name="_GoBack"/>
      <w:bookmarkEnd w:id="0"/>
    </w:p>
    <w:p w:rsidR="0089782D" w:rsidRPr="002142FE" w:rsidRDefault="0089782D" w:rsidP="002142FE">
      <w:pPr>
        <w:pStyle w:val="ANMapapertitle"/>
        <w:spacing w:line="240" w:lineRule="auto"/>
        <w:rPr>
          <w:bCs/>
        </w:rPr>
      </w:pPr>
      <w:r w:rsidRPr="002142FE">
        <w:rPr>
          <w:bCs/>
        </w:rPr>
        <w:t xml:space="preserve">Effect of feed supplementation with live </w:t>
      </w:r>
      <w:r w:rsidRPr="002142FE">
        <w:rPr>
          <w:bCs/>
          <w:i/>
        </w:rPr>
        <w:t>Saccharomyces cerevisiae</w:t>
      </w:r>
      <w:r w:rsidRPr="002142FE">
        <w:rPr>
          <w:bCs/>
        </w:rPr>
        <w:t xml:space="preserve"> on intestinal transcriptome profile of weaning pigs orally challenged with </w:t>
      </w:r>
      <w:r w:rsidRPr="002142FE">
        <w:rPr>
          <w:bCs/>
          <w:i/>
        </w:rPr>
        <w:t>Escherichia coli</w:t>
      </w:r>
      <w:r w:rsidRPr="002142FE">
        <w:rPr>
          <w:bCs/>
        </w:rPr>
        <w:t xml:space="preserve"> F4</w:t>
      </w:r>
    </w:p>
    <w:p w:rsidR="0089782D" w:rsidRPr="002142FE" w:rsidRDefault="0089782D" w:rsidP="002142FE">
      <w:pPr>
        <w:pStyle w:val="ANMauthorname"/>
        <w:spacing w:line="240" w:lineRule="auto"/>
        <w:rPr>
          <w:vertAlign w:val="superscript"/>
        </w:rPr>
      </w:pPr>
      <w:r w:rsidRPr="002142FE">
        <w:t>P. Trevisi, R. Latorre, D. Priori, D. Luise, I. Archetti</w:t>
      </w:r>
      <w:r w:rsidRPr="002142FE">
        <w:rPr>
          <w:vertAlign w:val="superscript"/>
        </w:rPr>
        <w:t xml:space="preserve"> </w:t>
      </w:r>
      <w:r w:rsidRPr="002142FE">
        <w:t>, M. Mazzoni, R. D’Inca, and P. Bosi</w:t>
      </w:r>
    </w:p>
    <w:p w:rsidR="0089782D" w:rsidRPr="002142FE" w:rsidRDefault="0089782D" w:rsidP="002142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782D" w:rsidRPr="002F1D6E" w:rsidRDefault="0089782D" w:rsidP="002142FE">
      <w:pPr>
        <w:spacing w:after="0" w:line="240" w:lineRule="auto"/>
        <w:rPr>
          <w:rStyle w:val="ANMTabletitleCarattere"/>
        </w:rPr>
      </w:pPr>
      <w:r w:rsidRPr="004C13FA">
        <w:rPr>
          <w:rStyle w:val="ANMheading1Carattere"/>
        </w:rPr>
        <w:t xml:space="preserve">Supplementary Table </w:t>
      </w:r>
      <w:r w:rsidR="005F2ABC" w:rsidRPr="004C13FA">
        <w:rPr>
          <w:rStyle w:val="ANMheading1Carattere"/>
        </w:rPr>
        <w:t>S</w:t>
      </w:r>
      <w:r w:rsidRPr="004C13FA">
        <w:rPr>
          <w:rStyle w:val="ANMheading1Carattere"/>
        </w:rPr>
        <w:t>1</w:t>
      </w:r>
      <w:r w:rsidRPr="004C13F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C13FA" w:rsidRPr="002F1D6E">
        <w:rPr>
          <w:rStyle w:val="ANMTabletitleCarattere"/>
        </w:rPr>
        <w:t>Comparison of the transcriptome profile of the intestinal mucosa, 24 hours after challenge with Escherichia coli F4ac</w:t>
      </w:r>
      <w:r w:rsidR="009520CD" w:rsidRPr="002F1D6E">
        <w:rPr>
          <w:rStyle w:val="ANMTabletitleCarattere"/>
        </w:rPr>
        <w:t xml:space="preserve"> (ETEC)</w:t>
      </w:r>
      <w:r w:rsidR="004C13FA" w:rsidRPr="002F1D6E">
        <w:rPr>
          <w:rStyle w:val="ANMTabletitleCarattere"/>
        </w:rPr>
        <w:t xml:space="preserve">, in pigs supplemented (AB) or not (CO) </w:t>
      </w:r>
      <w:r w:rsidR="005543CC">
        <w:rPr>
          <w:rStyle w:val="ANMTabletitleCarattere"/>
        </w:rPr>
        <w:t>with c</w:t>
      </w:r>
      <w:r w:rsidR="004C13FA" w:rsidRPr="002F1D6E">
        <w:rPr>
          <w:rStyle w:val="ANMTabletitleCarattere"/>
        </w:rPr>
        <w:t>olistin</w:t>
      </w:r>
      <w:r w:rsidR="002F1D6E">
        <w:rPr>
          <w:rStyle w:val="ANMTabletitleCarattere"/>
        </w:rPr>
        <w:t>.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029"/>
        <w:gridCol w:w="1058"/>
        <w:gridCol w:w="967"/>
        <w:gridCol w:w="1066"/>
        <w:gridCol w:w="4407"/>
        <w:gridCol w:w="4111"/>
      </w:tblGrid>
      <w:tr w:rsidR="0089782D" w:rsidRPr="002142FE" w:rsidTr="0069424C">
        <w:trPr>
          <w:trHeight w:val="300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Gene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AB</w:t>
            </w:r>
            <w:r w:rsidR="002142FE" w:rsidRPr="002142FE">
              <w:rPr>
                <w:vertAlign w:val="superscript"/>
              </w:rPr>
              <w:t>1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(log2)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CO</w:t>
            </w:r>
            <w:r w:rsidR="002142FE" w:rsidRPr="002142FE">
              <w:rPr>
                <w:vertAlign w:val="superscript"/>
              </w:rPr>
              <w:t>1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(log2)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Fold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Change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rPr>
                <w:i/>
              </w:rPr>
              <w:t>P</w:t>
            </w:r>
            <w:r w:rsidRPr="002142FE">
              <w:t>-value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(AB vs.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CO)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Full name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Biological function</w:t>
            </w:r>
          </w:p>
        </w:tc>
      </w:tr>
      <w:tr w:rsidR="0089782D" w:rsidRPr="00731E0A" w:rsidTr="0069424C">
        <w:trPr>
          <w:trHeight w:val="300"/>
        </w:trPr>
        <w:tc>
          <w:tcPr>
            <w:tcW w:w="14332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Genes up-regulated  in AB group</w:t>
            </w: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tabs>
                <w:tab w:val="left" w:pos="320"/>
              </w:tabs>
              <w:spacing w:after="0" w:line="240" w:lineRule="auto"/>
              <w:ind w:firstLine="229"/>
            </w:pPr>
            <w:r w:rsidRPr="002142FE">
              <w:t>ENPP7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7.2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5.35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3.6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0.02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shd w:val="clear" w:color="auto" w:fill="FFFFFF"/>
              </w:rPr>
              <w:t>Ectonucleotide</w:t>
            </w:r>
            <w:proofErr w:type="spellEnd"/>
            <w:r w:rsidRPr="002142FE">
              <w:rPr>
                <w:shd w:val="clear" w:color="auto" w:fill="FFFFFF"/>
              </w:rPr>
              <w:t xml:space="preserve"> </w:t>
            </w:r>
            <w:proofErr w:type="spellStart"/>
            <w:r w:rsidRPr="002142FE">
              <w:rPr>
                <w:shd w:val="clear" w:color="auto" w:fill="FFFFFF"/>
              </w:rPr>
              <w:t>pyrophosphatase</w:t>
            </w:r>
            <w:proofErr w:type="spellEnd"/>
            <w:r w:rsidRPr="002142FE">
              <w:rPr>
                <w:shd w:val="clear" w:color="auto" w:fill="FFFFFF"/>
              </w:rPr>
              <w:t xml:space="preserve"> / </w:t>
            </w:r>
            <w:proofErr w:type="spellStart"/>
            <w:r w:rsidRPr="002142FE">
              <w:rPr>
                <w:shd w:val="clear" w:color="auto" w:fill="FFFFFF"/>
              </w:rPr>
              <w:t>phosphodiesterase</w:t>
            </w:r>
            <w:proofErr w:type="spellEnd"/>
            <w:r w:rsidRPr="002142FE">
              <w:rPr>
                <w:shd w:val="clear" w:color="auto" w:fill="FFFFFF"/>
              </w:rPr>
              <w:t xml:space="preserve"> 7</w:t>
            </w:r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Digests </w:t>
            </w:r>
            <w:proofErr w:type="spellStart"/>
            <w:r w:rsidRPr="002142FE">
              <w:rPr>
                <w:shd w:val="clear" w:color="auto" w:fill="FFFFFF"/>
              </w:rPr>
              <w:t>sphingomyelin</w:t>
            </w:r>
            <w:proofErr w:type="spellEnd"/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SEC14L2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6.92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5.31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3.07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0.04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color w:val="000000"/>
                <w:shd w:val="clear" w:color="auto" w:fill="FFFFFF"/>
              </w:rPr>
              <w:t>SEC14-like protein 2</w:t>
            </w:r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Lipid-binding protein</w:t>
            </w:r>
          </w:p>
        </w:tc>
      </w:tr>
      <w:tr w:rsidR="0089782D" w:rsidRPr="00731E0A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tabs>
                <w:tab w:val="left" w:pos="229"/>
              </w:tabs>
              <w:spacing w:after="0" w:line="240" w:lineRule="auto"/>
              <w:ind w:firstLine="229"/>
            </w:pPr>
            <w:r w:rsidRPr="002142FE">
              <w:t>CA12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7.48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5.89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3.01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0.04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Carbonic anhydrases 12</w:t>
            </w:r>
          </w:p>
        </w:tc>
        <w:tc>
          <w:tcPr>
            <w:tcW w:w="4111" w:type="dxa"/>
            <w:shd w:val="clear" w:color="000000" w:fill="auto"/>
          </w:tcPr>
          <w:p w:rsidR="0069424C" w:rsidRPr="002142FE" w:rsidRDefault="0089782D" w:rsidP="002142FE">
            <w:pPr>
              <w:pStyle w:val="ANMTabSpanner"/>
              <w:spacing w:after="0" w:line="240" w:lineRule="auto"/>
              <w:rPr>
                <w:shd w:val="clear" w:color="auto" w:fill="FFFFFF"/>
              </w:rPr>
            </w:pPr>
            <w:r w:rsidRPr="002142FE">
              <w:rPr>
                <w:shd w:val="clear" w:color="auto" w:fill="FFFFFF"/>
              </w:rPr>
              <w:t xml:space="preserve">Catalyses the reversible hydration of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carbon dioxide</w:t>
            </w: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DNASE1L3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8.4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6.84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2.95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0.04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bCs/>
                <w:shd w:val="clear" w:color="auto" w:fill="FFFFFF"/>
              </w:rPr>
              <w:t>Deoxyribonuclease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I-Like 3</w:t>
            </w:r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DNA breakdown during apoptosis</w:t>
            </w: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SLC5A4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7.94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6.44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2.82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0.04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Solute carrier family 5 member 4</w:t>
            </w:r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GPT2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7.93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6.5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2.7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0.01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Glutamic pyruvate transaminase (alanine aminotransferase) 2</w:t>
            </w:r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Arginine metabolism</w:t>
            </w: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SCD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8.98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7.87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2.16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&lt;0.01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shd w:val="clear" w:color="auto" w:fill="FFFFFF"/>
              </w:rPr>
              <w:t>Stearoyl</w:t>
            </w:r>
            <w:proofErr w:type="spellEnd"/>
            <w:r w:rsidRPr="002142FE">
              <w:rPr>
                <w:shd w:val="clear" w:color="auto" w:fill="FFFFFF"/>
              </w:rPr>
              <w:t xml:space="preserve">-CoA </w:t>
            </w:r>
            <w:proofErr w:type="spellStart"/>
            <w:r w:rsidRPr="002142FE">
              <w:rPr>
                <w:shd w:val="clear" w:color="auto" w:fill="FFFFFF"/>
              </w:rPr>
              <w:t>desaturase</w:t>
            </w:r>
            <w:proofErr w:type="spellEnd"/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Cell growth and differentiation</w:t>
            </w: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APOC3</w:t>
            </w:r>
          </w:p>
        </w:tc>
        <w:tc>
          <w:tcPr>
            <w:tcW w:w="1029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10.51</w:t>
            </w:r>
          </w:p>
        </w:tc>
        <w:tc>
          <w:tcPr>
            <w:tcW w:w="1058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9.43</w:t>
            </w:r>
          </w:p>
        </w:tc>
        <w:tc>
          <w:tcPr>
            <w:tcW w:w="967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2.12</w:t>
            </w:r>
          </w:p>
        </w:tc>
        <w:tc>
          <w:tcPr>
            <w:tcW w:w="1066" w:type="dxa"/>
            <w:shd w:val="clear" w:color="000000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0.03</w:t>
            </w:r>
          </w:p>
        </w:tc>
        <w:tc>
          <w:tcPr>
            <w:tcW w:w="4407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rPr>
                <w:bCs/>
              </w:rPr>
            </w:pPr>
            <w:proofErr w:type="spellStart"/>
            <w:r w:rsidRPr="002142FE">
              <w:rPr>
                <w:bCs/>
              </w:rPr>
              <w:t>Apolipoprotein</w:t>
            </w:r>
            <w:proofErr w:type="spellEnd"/>
            <w:r w:rsidRPr="002142FE">
              <w:rPr>
                <w:bCs/>
              </w:rPr>
              <w:t xml:space="preserve"> C-III</w:t>
            </w:r>
          </w:p>
        </w:tc>
        <w:tc>
          <w:tcPr>
            <w:tcW w:w="4111" w:type="dxa"/>
            <w:shd w:val="clear" w:color="000000" w:fill="auto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rPr>
                <w:bCs/>
              </w:rPr>
            </w:pPr>
            <w:r w:rsidRPr="002142FE">
              <w:rPr>
                <w:shd w:val="clear" w:color="auto" w:fill="FFFFFF"/>
              </w:rPr>
              <w:t>Synthesis of lipids</w:t>
            </w:r>
          </w:p>
        </w:tc>
      </w:tr>
      <w:tr w:rsidR="0089782D" w:rsidRPr="00731E0A" w:rsidTr="0069424C">
        <w:trPr>
          <w:trHeight w:val="300"/>
        </w:trPr>
        <w:tc>
          <w:tcPr>
            <w:tcW w:w="14332" w:type="dxa"/>
            <w:gridSpan w:val="7"/>
            <w:shd w:val="clear" w:color="000000" w:fill="auto"/>
            <w:noWrap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Genes down-regulated  in AB group</w:t>
            </w:r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GCNT3</w:t>
            </w:r>
          </w:p>
        </w:tc>
        <w:tc>
          <w:tcPr>
            <w:tcW w:w="1029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9.6</w:t>
            </w:r>
          </w:p>
        </w:tc>
        <w:tc>
          <w:tcPr>
            <w:tcW w:w="1058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10.62</w:t>
            </w:r>
          </w:p>
        </w:tc>
        <w:tc>
          <w:tcPr>
            <w:tcW w:w="967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-2.02</w:t>
            </w:r>
          </w:p>
        </w:tc>
        <w:tc>
          <w:tcPr>
            <w:tcW w:w="1066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0.02</w:t>
            </w:r>
          </w:p>
        </w:tc>
        <w:tc>
          <w:tcPr>
            <w:tcW w:w="4407" w:type="dxa"/>
            <w:shd w:val="clear" w:color="000000" w:fill="FFFFFF"/>
          </w:tcPr>
          <w:p w:rsidR="0069424C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Glucosaminyl</w:t>
            </w:r>
            <w:proofErr w:type="spellEnd"/>
            <w:r w:rsidRPr="002142FE">
              <w:t xml:space="preserve"> (N-Acetyl) </w:t>
            </w:r>
            <w:proofErr w:type="spellStart"/>
            <w:r w:rsidRPr="002142FE">
              <w:t>Transferase</w:t>
            </w:r>
            <w:proofErr w:type="spellEnd"/>
            <w:r w:rsidRPr="002142FE">
              <w:t xml:space="preserve"> 3,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Mucin</w:t>
            </w:r>
            <w:proofErr w:type="spellEnd"/>
            <w:r w:rsidRPr="002142FE">
              <w:t xml:space="preserve"> Type</w:t>
            </w:r>
          </w:p>
        </w:tc>
        <w:tc>
          <w:tcPr>
            <w:tcW w:w="4111" w:type="dxa"/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Mucin</w:t>
            </w:r>
            <w:proofErr w:type="spellEnd"/>
            <w:r w:rsidRPr="002142FE">
              <w:t xml:space="preserve"> biosynthesis</w:t>
            </w:r>
          </w:p>
        </w:tc>
      </w:tr>
      <w:tr w:rsidR="0089782D" w:rsidRPr="00731E0A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GPR126</w:t>
            </w:r>
          </w:p>
        </w:tc>
        <w:tc>
          <w:tcPr>
            <w:tcW w:w="1029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8.45</w:t>
            </w:r>
          </w:p>
        </w:tc>
        <w:tc>
          <w:tcPr>
            <w:tcW w:w="1058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9.51</w:t>
            </w:r>
          </w:p>
        </w:tc>
        <w:tc>
          <w:tcPr>
            <w:tcW w:w="967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-2.09</w:t>
            </w:r>
          </w:p>
        </w:tc>
        <w:tc>
          <w:tcPr>
            <w:tcW w:w="1066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0.05</w:t>
            </w:r>
          </w:p>
        </w:tc>
        <w:tc>
          <w:tcPr>
            <w:tcW w:w="4407" w:type="dxa"/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G-protein coupled receptor 126</w:t>
            </w:r>
          </w:p>
        </w:tc>
        <w:tc>
          <w:tcPr>
            <w:tcW w:w="4111" w:type="dxa"/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Up-regulated by bacterial lipopolysaccharides (LPS).</w:t>
            </w:r>
          </w:p>
        </w:tc>
      </w:tr>
      <w:tr w:rsidR="0089782D" w:rsidRPr="00731E0A" w:rsidTr="0069424C">
        <w:trPr>
          <w:trHeight w:val="300"/>
        </w:trPr>
        <w:tc>
          <w:tcPr>
            <w:tcW w:w="1694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CCL20</w:t>
            </w:r>
          </w:p>
        </w:tc>
        <w:tc>
          <w:tcPr>
            <w:tcW w:w="1029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5.95</w:t>
            </w:r>
          </w:p>
        </w:tc>
        <w:tc>
          <w:tcPr>
            <w:tcW w:w="1058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7.56</w:t>
            </w:r>
          </w:p>
        </w:tc>
        <w:tc>
          <w:tcPr>
            <w:tcW w:w="967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-3.05</w:t>
            </w:r>
          </w:p>
        </w:tc>
        <w:tc>
          <w:tcPr>
            <w:tcW w:w="1066" w:type="dxa"/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0.03</w:t>
            </w:r>
          </w:p>
        </w:tc>
        <w:tc>
          <w:tcPr>
            <w:tcW w:w="4407" w:type="dxa"/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Chemokine (C-C Motif) Ligand 20</w:t>
            </w:r>
          </w:p>
        </w:tc>
        <w:tc>
          <w:tcPr>
            <w:tcW w:w="4111" w:type="dxa"/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Response to infection by various enteropathogenic bacteria or exposure to bacterial </w:t>
            </w:r>
            <w:proofErr w:type="spellStart"/>
            <w:r w:rsidRPr="002142FE">
              <w:rPr>
                <w:shd w:val="clear" w:color="auto" w:fill="FFFFFF"/>
              </w:rPr>
              <w:t>flagellin</w:t>
            </w:r>
            <w:proofErr w:type="spellEnd"/>
          </w:p>
        </w:tc>
      </w:tr>
      <w:tr w:rsidR="0089782D" w:rsidRPr="002142FE" w:rsidTr="0069424C">
        <w:trPr>
          <w:trHeight w:val="300"/>
        </w:trPr>
        <w:tc>
          <w:tcPr>
            <w:tcW w:w="169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DUOX2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5.36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7.18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-3.53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t>0.02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Dual oxidase 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rPr>
                <w:shd w:val="clear" w:color="auto" w:fill="FFFFFF"/>
              </w:rPr>
            </w:pPr>
            <w:r w:rsidRPr="002142FE">
              <w:rPr>
                <w:shd w:val="clear" w:color="auto" w:fill="FFFFFF"/>
              </w:rPr>
              <w:t>Activation of bactericidal molecule</w:t>
            </w:r>
          </w:p>
        </w:tc>
      </w:tr>
    </w:tbl>
    <w:p w:rsidR="004C13FA" w:rsidRPr="003A593A" w:rsidRDefault="004C13FA" w:rsidP="004C13FA">
      <w:pPr>
        <w:pStyle w:val="ANMTabSpanner"/>
      </w:pPr>
      <w:r>
        <w:rPr>
          <w:vertAlign w:val="superscript"/>
        </w:rPr>
        <w:t>1</w:t>
      </w:r>
      <w:r>
        <w:t>AB: Colistin</w:t>
      </w:r>
      <w:r w:rsidRPr="00C64681">
        <w:t xml:space="preserve"> + challenge</w:t>
      </w:r>
      <w:r>
        <w:t xml:space="preserve"> </w:t>
      </w:r>
      <w:r>
        <w:rPr>
          <w:lang w:val="en-US"/>
        </w:rPr>
        <w:t>with ETEC</w:t>
      </w:r>
      <w:r>
        <w:t>;</w:t>
      </w:r>
      <w:r w:rsidRPr="00C64681">
        <w:t xml:space="preserve"> </w:t>
      </w:r>
      <w:r>
        <w:t xml:space="preserve">CO: no live yeast + challenge </w:t>
      </w:r>
      <w:r>
        <w:rPr>
          <w:lang w:val="en-US"/>
        </w:rPr>
        <w:t>with ETEC</w:t>
      </w:r>
      <w:r>
        <w:t>.</w:t>
      </w:r>
    </w:p>
    <w:p w:rsidR="004C13FA" w:rsidRPr="002F1D6E" w:rsidRDefault="0089782D" w:rsidP="004C13FA">
      <w:pPr>
        <w:spacing w:after="0" w:line="240" w:lineRule="auto"/>
        <w:rPr>
          <w:rStyle w:val="ANMTabletitleCarattere"/>
        </w:rPr>
      </w:pPr>
      <w:r w:rsidRPr="002142FE">
        <w:rPr>
          <w:rFonts w:ascii="Arial" w:hAnsi="Arial" w:cs="Arial"/>
          <w:b/>
          <w:lang w:val="en-US"/>
        </w:rPr>
        <w:br w:type="page"/>
      </w:r>
      <w:r w:rsidRPr="002142FE">
        <w:rPr>
          <w:rStyle w:val="ANMheading1Carattere"/>
        </w:rPr>
        <w:lastRenderedPageBreak/>
        <w:t xml:space="preserve">Supplementary Table </w:t>
      </w:r>
      <w:r w:rsidR="005F2ABC" w:rsidRPr="002142FE">
        <w:rPr>
          <w:rStyle w:val="ANMheading1Carattere"/>
        </w:rPr>
        <w:t>S</w:t>
      </w:r>
      <w:r w:rsidRPr="002142FE">
        <w:rPr>
          <w:rStyle w:val="ANMheading1Carattere"/>
        </w:rPr>
        <w:t>2</w:t>
      </w:r>
      <w:r w:rsidRPr="002142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C13FA" w:rsidRPr="002F1D6E">
        <w:rPr>
          <w:rStyle w:val="ANMTabletitleCarattere"/>
        </w:rPr>
        <w:t>Comparison of the transcriptome profile of the intestinal mucosa, 24 hours after challenge with Escherichia coli F4ac</w:t>
      </w:r>
      <w:r w:rsidR="009520CD" w:rsidRPr="002F1D6E">
        <w:rPr>
          <w:rStyle w:val="ANMTabletitleCarattere"/>
        </w:rPr>
        <w:t xml:space="preserve"> (ETEC)</w:t>
      </w:r>
      <w:r w:rsidR="004C13FA" w:rsidRPr="002F1D6E">
        <w:rPr>
          <w:rStyle w:val="ANMTabletitleCarattere"/>
        </w:rPr>
        <w:t xml:space="preserve">, in pigs supplemented for all the experimental period (PR) or </w:t>
      </w:r>
      <w:r w:rsidR="00F05CA7" w:rsidRPr="002F1D6E">
        <w:rPr>
          <w:rStyle w:val="ANMTabletitleCarattere"/>
        </w:rPr>
        <w:t>not</w:t>
      </w:r>
      <w:r w:rsidR="004C13FA" w:rsidRPr="002F1D6E">
        <w:rPr>
          <w:rStyle w:val="ANMTabletitleCarattere"/>
        </w:rPr>
        <w:t xml:space="preserve"> (CO) with S. cerevisiae CNCM I-4407.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825"/>
        <w:gridCol w:w="825"/>
        <w:gridCol w:w="1033"/>
        <w:gridCol w:w="1403"/>
        <w:gridCol w:w="4851"/>
        <w:gridCol w:w="4025"/>
      </w:tblGrid>
      <w:tr w:rsidR="0089782D" w:rsidRPr="002142FE" w:rsidTr="002142FE">
        <w:trPr>
          <w:trHeight w:val="345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Gene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9520CD" w:rsidRDefault="00970412" w:rsidP="002142FE">
            <w:pPr>
              <w:pStyle w:val="ANMTabSpanner"/>
              <w:spacing w:after="0" w:line="240" w:lineRule="auto"/>
              <w:jc w:val="center"/>
              <w:rPr>
                <w:vertAlign w:val="superscript"/>
              </w:rPr>
            </w:pPr>
            <w:r w:rsidRPr="002142FE">
              <w:t>PR</w:t>
            </w:r>
            <w:r w:rsidR="009520CD">
              <w:rPr>
                <w:vertAlign w:val="superscript"/>
              </w:rPr>
              <w:t>1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(log2)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9520CD" w:rsidRDefault="0089782D" w:rsidP="002142FE">
            <w:pPr>
              <w:pStyle w:val="ANMTabSpanner"/>
              <w:spacing w:after="0" w:line="240" w:lineRule="auto"/>
              <w:jc w:val="center"/>
              <w:rPr>
                <w:vertAlign w:val="superscript"/>
              </w:rPr>
            </w:pPr>
            <w:r w:rsidRPr="002142FE">
              <w:t>CO</w:t>
            </w:r>
            <w:r w:rsidR="009520CD">
              <w:rPr>
                <w:vertAlign w:val="superscript"/>
              </w:rPr>
              <w:t>1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(log2)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Fold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Change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rPr>
                <w:i/>
              </w:rPr>
              <w:t>P-</w:t>
            </w:r>
            <w:r w:rsidRPr="002142FE">
              <w:t>value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(PR vs. CO)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Full name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Biological function</w:t>
            </w:r>
          </w:p>
        </w:tc>
      </w:tr>
      <w:tr w:rsidR="0089782D" w:rsidRPr="00731E0A" w:rsidTr="002142FE">
        <w:trPr>
          <w:trHeight w:val="345"/>
        </w:trPr>
        <w:tc>
          <w:tcPr>
            <w:tcW w:w="1447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Genes up-regulated in PR group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TAF7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6.45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5.27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Transcription initiation factor TFIID subunit 7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participate in the assembly of the </w:t>
            </w:r>
            <w:hyperlink r:id="rId7" w:tooltip="Transcription (biology)" w:history="1">
              <w:r w:rsidRPr="002142FE">
                <w:rPr>
                  <w:shd w:val="clear" w:color="auto" w:fill="FFFFFF"/>
                </w:rPr>
                <w:t>transcription</w:t>
              </w:r>
            </w:hyperlink>
            <w:r w:rsidRPr="002142FE">
              <w:rPr>
                <w:shd w:val="clear" w:color="auto" w:fill="FFFFFF"/>
              </w:rPr>
              <w:t> </w:t>
            </w:r>
            <w:proofErr w:type="spellStart"/>
            <w:r w:rsidRPr="002142FE">
              <w:rPr>
                <w:shd w:val="clear" w:color="auto" w:fill="FFFFFF"/>
              </w:rPr>
              <w:t>preinitiation</w:t>
            </w:r>
            <w:proofErr w:type="spellEnd"/>
            <w:r w:rsidRPr="002142FE">
              <w:rPr>
                <w:shd w:val="clear" w:color="auto" w:fill="FFFFFF"/>
              </w:rPr>
              <w:t> </w:t>
            </w:r>
            <w:hyperlink r:id="rId8" w:tooltip="Protein complex" w:history="1">
              <w:r w:rsidRPr="002142FE">
                <w:rPr>
                  <w:shd w:val="clear" w:color="auto" w:fill="FFFFFF"/>
                </w:rPr>
                <w:t>complex</w:t>
              </w:r>
            </w:hyperlink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  <w:rPr>
                <w:bCs/>
              </w:rPr>
            </w:pPr>
            <w:r w:rsidRPr="002142FE">
              <w:rPr>
                <w:bCs/>
              </w:rPr>
              <w:t>SCD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bCs/>
              </w:rPr>
            </w:pPr>
            <w:r w:rsidRPr="002142FE">
              <w:rPr>
                <w:bCs/>
              </w:rPr>
              <w:t>8.99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bCs/>
              </w:rPr>
            </w:pPr>
            <w:r w:rsidRPr="002142FE">
              <w:rPr>
                <w:bCs/>
              </w:rPr>
              <w:t>7.87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bCs/>
              </w:rPr>
            </w:pPr>
            <w:r w:rsidRPr="002142FE">
              <w:rPr>
                <w:bCs/>
              </w:rPr>
              <w:t>2.17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bCs/>
                <w:color w:val="000000"/>
              </w:rPr>
              <w:t>0.02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rPr>
                <w:lang w:val="it-IT"/>
              </w:rPr>
            </w:pPr>
            <w:proofErr w:type="spellStart"/>
            <w:r w:rsidRPr="002142FE">
              <w:rPr>
                <w:lang w:val="it-IT"/>
              </w:rPr>
              <w:t>Stearoyl-CoA</w:t>
            </w:r>
            <w:proofErr w:type="spellEnd"/>
            <w:r w:rsidRPr="002142FE">
              <w:rPr>
                <w:lang w:val="it-IT"/>
              </w:rPr>
              <w:t xml:space="preserve"> </w:t>
            </w:r>
            <w:proofErr w:type="spellStart"/>
            <w:r w:rsidRPr="002142FE">
              <w:rPr>
                <w:lang w:val="it-IT"/>
              </w:rPr>
              <w:t>desaturase</w:t>
            </w:r>
            <w:proofErr w:type="spellEnd"/>
            <w:r w:rsidRPr="002142FE">
              <w:rPr>
                <w:lang w:val="it-IT"/>
              </w:rPr>
              <w:t xml:space="preserve"> (delta-9-desaturase)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cell growth and differentiation 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CD69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5.77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4.77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0.05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>C</w:t>
            </w:r>
            <w:r w:rsidRPr="002142FE">
              <w:rPr>
                <w:shd w:val="clear" w:color="auto" w:fill="FFFFFF"/>
              </w:rPr>
              <w:t>luster of </w:t>
            </w:r>
            <w:r w:rsidRPr="002142FE">
              <w:rPr>
                <w:bCs/>
                <w:shd w:val="clear" w:color="auto" w:fill="FFFFFF"/>
              </w:rPr>
              <w:t>D</w:t>
            </w:r>
            <w:r w:rsidRPr="002142FE">
              <w:rPr>
                <w:shd w:val="clear" w:color="auto" w:fill="FFFFFF"/>
              </w:rPr>
              <w:t>ifferentiation 69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rPr>
                <w:shd w:val="clear" w:color="auto" w:fill="FFFFFF"/>
              </w:rPr>
            </w:pPr>
            <w:r w:rsidRPr="002142FE">
              <w:rPr>
                <w:shd w:val="clear" w:color="auto" w:fill="FFFFFF"/>
              </w:rPr>
              <w:t>lymphocyte proliferation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GZMK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7.31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6.43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bCs/>
                <w:shd w:val="clear" w:color="auto" w:fill="FFFFFF"/>
              </w:rPr>
              <w:t>Granzyme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K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Innate immune response 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PRKCQ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6.58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5.72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&lt;0.01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Protein kinase C theta type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cellular signalling pathways 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NLN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6.86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6.07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&lt;0.01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bCs/>
                <w:shd w:val="clear" w:color="auto" w:fill="FFFFFF"/>
              </w:rPr>
              <w:t>Neurolysin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(</w:t>
            </w:r>
            <w:proofErr w:type="spellStart"/>
            <w:r w:rsidRPr="002142FE">
              <w:rPr>
                <w:bCs/>
                <w:shd w:val="clear" w:color="auto" w:fill="FFFFFF"/>
              </w:rPr>
              <w:t>Metallopeptidase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M3 Family)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gastrointestinal motility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IKZF3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Ikaros</w:t>
            </w:r>
            <w:proofErr w:type="spellEnd"/>
            <w:r w:rsidRPr="002142FE">
              <w:t xml:space="preserve"> family zinc finger protein 3</w:t>
            </w:r>
          </w:p>
        </w:tc>
        <w:tc>
          <w:tcPr>
            <w:tcW w:w="4025" w:type="dxa"/>
            <w:vAlign w:val="bottom"/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B lymphocyte proliferation and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 differentiation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RASGRP1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7.45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6.76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RAS </w:t>
            </w:r>
            <w:proofErr w:type="spellStart"/>
            <w:r w:rsidRPr="002142FE">
              <w:t>guanyl</w:t>
            </w:r>
            <w:proofErr w:type="spellEnd"/>
            <w:r w:rsidRPr="002142FE">
              <w:t>-releasing protein 1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T and B-cells development/ homeostasis/differentiation.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CD8A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7.24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6.56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>C</w:t>
            </w:r>
            <w:r w:rsidRPr="002142FE">
              <w:rPr>
                <w:shd w:val="clear" w:color="auto" w:fill="FFFFFF"/>
              </w:rPr>
              <w:t>luster of </w:t>
            </w:r>
            <w:r w:rsidRPr="002142FE">
              <w:rPr>
                <w:bCs/>
                <w:shd w:val="clear" w:color="auto" w:fill="FFFFFF"/>
              </w:rPr>
              <w:t>D</w:t>
            </w:r>
            <w:r w:rsidRPr="002142FE">
              <w:rPr>
                <w:shd w:val="clear" w:color="auto" w:fill="FFFFFF"/>
              </w:rPr>
              <w:t>ifferentiation </w:t>
            </w:r>
            <w:r w:rsidRPr="002142FE">
              <w:rPr>
                <w:bCs/>
                <w:shd w:val="clear" w:color="auto" w:fill="FFFFFF"/>
              </w:rPr>
              <w:t>8a</w:t>
            </w:r>
          </w:p>
        </w:tc>
        <w:tc>
          <w:tcPr>
            <w:tcW w:w="4025" w:type="dxa"/>
            <w:vAlign w:val="bottom"/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Co-receptor on T lymphocytes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to recognize antigens 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IKZF1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6.48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5.85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bCs/>
                <w:shd w:val="clear" w:color="auto" w:fill="FFFFFF"/>
              </w:rPr>
              <w:t>Ikaros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family zinc finger protein 1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lymphocyte differentiation.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SH3KBP1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0.05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SH3-Domain Kinase Binding Protein 1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protein-protein interactions 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FASN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7.36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6.76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>Fatty Acid Synthase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catalyse the synthesis of </w:t>
            </w:r>
            <w:proofErr w:type="spellStart"/>
            <w:r w:rsidRPr="002142FE">
              <w:t>palmitate</w:t>
            </w:r>
            <w:proofErr w:type="spellEnd"/>
            <w:r w:rsidRPr="002142FE">
              <w:t xml:space="preserve"> </w:t>
            </w:r>
          </w:p>
        </w:tc>
      </w:tr>
      <w:tr w:rsidR="0089782D" w:rsidRPr="00731E0A" w:rsidTr="002142FE">
        <w:trPr>
          <w:trHeight w:val="300"/>
        </w:trPr>
        <w:tc>
          <w:tcPr>
            <w:tcW w:w="14474" w:type="dxa"/>
            <w:gridSpan w:val="7"/>
            <w:shd w:val="clear" w:color="auto" w:fill="auto"/>
            <w:noWrap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Genes down-regulated in PR group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IFRD1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9.16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9.81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0.001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Interferon-related developmental regulator 1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cell differentiation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PFKFB3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8.32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9.01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0.05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6-Phosphofructo-2-Kinase/Fructose-2,6-Biphosphatase 3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protects against inflammatory response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LIPH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8.49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9.19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Lipase member H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cell proliferation and motility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VEGFA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5.86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6.55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Vascular Endothelial Growth Factor A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cell growth/promoting cell migration/inhibiting apoptosis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P2RY4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P2Y </w:t>
            </w:r>
            <w:proofErr w:type="spellStart"/>
            <w:r w:rsidRPr="002142FE">
              <w:t>purinoceptor</w:t>
            </w:r>
            <w:proofErr w:type="spellEnd"/>
            <w:r w:rsidRPr="002142FE">
              <w:t xml:space="preserve"> 4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G-protein-coupled receptor signalling</w:t>
            </w:r>
          </w:p>
        </w:tc>
      </w:tr>
      <w:tr w:rsidR="0089782D" w:rsidRPr="00731E0A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TFF3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8.17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9.01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>Trefoil factor 3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stabilize the mucus layer/affects healing of the epithelium</w:t>
            </w:r>
          </w:p>
        </w:tc>
      </w:tr>
      <w:tr w:rsidR="0089782D" w:rsidRPr="002142FE" w:rsidTr="002142FE">
        <w:trPr>
          <w:trHeight w:val="300"/>
        </w:trPr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lastRenderedPageBreak/>
              <w:t>CCL20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5.97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7.56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-3.02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851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Chemokine (C-C Motif) Ligand 20</w:t>
            </w:r>
          </w:p>
        </w:tc>
        <w:tc>
          <w:tcPr>
            <w:tcW w:w="4025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Bacterial recognition</w:t>
            </w:r>
          </w:p>
        </w:tc>
      </w:tr>
    </w:tbl>
    <w:p w:rsidR="004C13FA" w:rsidRPr="004C13FA" w:rsidRDefault="002142FE" w:rsidP="00731E0A">
      <w:pPr>
        <w:pStyle w:val="ANMTabSpanner"/>
        <w:spacing w:after="0" w:line="240" w:lineRule="auto"/>
      </w:pPr>
      <w:r w:rsidRPr="004C13FA">
        <w:rPr>
          <w:vertAlign w:val="superscript"/>
        </w:rPr>
        <w:t>1</w:t>
      </w:r>
      <w:r w:rsidRPr="004C13FA">
        <w:t>PR: preventive administration pattern of live yeast (5x10</w:t>
      </w:r>
      <w:r w:rsidRPr="004C13FA">
        <w:rPr>
          <w:vertAlign w:val="superscript"/>
        </w:rPr>
        <w:t>10</w:t>
      </w:r>
      <w:r w:rsidRPr="004C13FA">
        <w:t xml:space="preserve"> CFU/kg of feed from day 0 to sacrifice) + challenge</w:t>
      </w:r>
      <w:r w:rsidR="004C13FA" w:rsidRPr="004C13FA">
        <w:t xml:space="preserve"> with ETEC</w:t>
      </w:r>
      <w:r w:rsidRPr="004C13FA">
        <w:t>; CO: no live yeast + challenge</w:t>
      </w:r>
      <w:r w:rsidR="004C13FA" w:rsidRPr="004C13FA">
        <w:t xml:space="preserve"> with ETEC</w:t>
      </w:r>
      <w:r w:rsidR="004C13FA">
        <w:t>.</w:t>
      </w:r>
    </w:p>
    <w:p w:rsidR="004C13FA" w:rsidRDefault="004C13FA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89782D" w:rsidRPr="002F1D6E" w:rsidRDefault="00F05CA7" w:rsidP="009520CD">
      <w:pPr>
        <w:spacing w:after="0" w:line="240" w:lineRule="auto"/>
        <w:rPr>
          <w:rStyle w:val="ANMTabletitleCarattere"/>
        </w:rPr>
      </w:pPr>
      <w:r>
        <w:rPr>
          <w:rStyle w:val="ANMheading1Carattere"/>
        </w:rPr>
        <w:lastRenderedPageBreak/>
        <w:t xml:space="preserve">Supplementary </w:t>
      </w:r>
      <w:r w:rsidR="0089782D" w:rsidRPr="002142FE">
        <w:rPr>
          <w:rStyle w:val="ANMheading1Carattere"/>
        </w:rPr>
        <w:t xml:space="preserve">Table </w:t>
      </w:r>
      <w:r w:rsidR="005F2ABC" w:rsidRPr="002142FE">
        <w:rPr>
          <w:rStyle w:val="ANMheading1Carattere"/>
        </w:rPr>
        <w:t>S</w:t>
      </w:r>
      <w:r w:rsidR="0089782D" w:rsidRPr="002142FE">
        <w:rPr>
          <w:rStyle w:val="ANMheading1Carattere"/>
        </w:rPr>
        <w:t>3</w:t>
      </w:r>
      <w:r w:rsidR="0089782D" w:rsidRPr="002142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520CD" w:rsidRPr="002F1D6E">
        <w:rPr>
          <w:rStyle w:val="ANMTabletitleCarattere"/>
        </w:rPr>
        <w:t xml:space="preserve">Comparison of the transcriptome profile of the intestinal mucosa, 24 hours after challenge with Escherichia coli F4ac (ETEC), in pigs supplemented from the day of the infection (CM) or </w:t>
      </w:r>
      <w:r w:rsidRPr="002F1D6E">
        <w:rPr>
          <w:rStyle w:val="ANMTabletitleCarattere"/>
        </w:rPr>
        <w:t xml:space="preserve">not </w:t>
      </w:r>
      <w:r w:rsidR="009520CD" w:rsidRPr="002F1D6E">
        <w:rPr>
          <w:rStyle w:val="ANMTabletitleCarattere"/>
        </w:rPr>
        <w:t>(CO) with S. cerevisiae CNCM I-4407.</w:t>
      </w:r>
    </w:p>
    <w:tbl>
      <w:tblPr>
        <w:tblpPr w:leftFromText="142" w:rightFromText="142" w:vertAnchor="text" w:tblpY="1"/>
        <w:tblOverlap w:val="never"/>
        <w:tblW w:w="14492" w:type="dxa"/>
        <w:tblInd w:w="55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960"/>
        <w:gridCol w:w="960"/>
        <w:gridCol w:w="1120"/>
        <w:gridCol w:w="1469"/>
        <w:gridCol w:w="4373"/>
        <w:gridCol w:w="308"/>
        <w:gridCol w:w="3803"/>
      </w:tblGrid>
      <w:tr w:rsidR="0089782D" w:rsidRPr="002142FE" w:rsidTr="009520CD">
        <w:trPr>
          <w:trHeight w:val="30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Gene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9520CD" w:rsidRDefault="0089782D" w:rsidP="002142FE">
            <w:pPr>
              <w:pStyle w:val="ANMTabSpanner"/>
              <w:spacing w:after="0" w:line="240" w:lineRule="auto"/>
              <w:jc w:val="center"/>
              <w:rPr>
                <w:vertAlign w:val="superscript"/>
              </w:rPr>
            </w:pPr>
            <w:r w:rsidRPr="002142FE">
              <w:t>CM</w:t>
            </w:r>
            <w:r w:rsidR="009520CD">
              <w:rPr>
                <w:vertAlign w:val="superscript"/>
              </w:rPr>
              <w:t>1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(log2)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9520CD" w:rsidRDefault="0089782D" w:rsidP="002142FE">
            <w:pPr>
              <w:pStyle w:val="ANMTabSpanner"/>
              <w:spacing w:after="0" w:line="240" w:lineRule="auto"/>
              <w:jc w:val="center"/>
              <w:rPr>
                <w:vertAlign w:val="superscript"/>
              </w:rPr>
            </w:pPr>
            <w:r w:rsidRPr="002142FE">
              <w:t>CO</w:t>
            </w:r>
            <w:r w:rsidR="009520CD">
              <w:rPr>
                <w:vertAlign w:val="superscript"/>
              </w:rPr>
              <w:t>1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(log2)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Fold Change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rPr>
                <w:i/>
              </w:rPr>
              <w:t>P</w:t>
            </w:r>
            <w:r w:rsidRPr="002142FE">
              <w:t>-value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(CM vs. CO)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Full name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Biological function</w:t>
            </w:r>
          </w:p>
        </w:tc>
      </w:tr>
      <w:tr w:rsidR="0089782D" w:rsidRPr="00731E0A" w:rsidTr="009520CD">
        <w:trPr>
          <w:trHeight w:val="300"/>
        </w:trPr>
        <w:tc>
          <w:tcPr>
            <w:tcW w:w="1449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Genes up-regulated in CM group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SCD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2.51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0.001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shd w:val="clear" w:color="auto" w:fill="FFFFFF"/>
              </w:rPr>
              <w:t>Stearoyl</w:t>
            </w:r>
            <w:proofErr w:type="spellEnd"/>
            <w:r w:rsidRPr="002142FE">
              <w:rPr>
                <w:shd w:val="clear" w:color="auto" w:fill="FFFFFF"/>
              </w:rPr>
              <w:t xml:space="preserve">-CoA </w:t>
            </w:r>
            <w:proofErr w:type="spellStart"/>
            <w:r w:rsidRPr="002142FE">
              <w:rPr>
                <w:shd w:val="clear" w:color="auto" w:fill="FFFFFF"/>
              </w:rPr>
              <w:t>desaturase</w:t>
            </w:r>
            <w:proofErr w:type="spellEnd"/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  <w:lang w:val="en-US"/>
              </w:rPr>
              <w:t>cell growth and differentiation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PCK1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3.97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2.07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0.01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Phosphoenolpyruvate</w:t>
            </w:r>
            <w:proofErr w:type="spellEnd"/>
            <w:r w:rsidRPr="002142FE">
              <w:t xml:space="preserve"> </w:t>
            </w:r>
            <w:proofErr w:type="spellStart"/>
            <w:r w:rsidRPr="002142FE">
              <w:t>carboxykinase</w:t>
            </w:r>
            <w:proofErr w:type="spellEnd"/>
            <w:r w:rsidRPr="002142FE">
              <w:t xml:space="preserve"> 1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EC5D47" w:rsidP="002142FE">
            <w:pPr>
              <w:pStyle w:val="ANMTabSpanner"/>
              <w:spacing w:after="0" w:line="240" w:lineRule="auto"/>
            </w:pPr>
            <w:hyperlink r:id="rId9" w:tooltip="Gluconeogenesis" w:history="1">
              <w:r w:rsidR="0089782D" w:rsidRPr="002142FE">
                <w:rPr>
                  <w:shd w:val="clear" w:color="auto" w:fill="FFFFFF"/>
                </w:rPr>
                <w:t>gluconeogenesis</w:t>
              </w:r>
            </w:hyperlink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IGF1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2.02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Insulin-like growth factor 1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cell growth and proliferation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NLN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1.74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0.01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bCs/>
                <w:shd w:val="clear" w:color="auto" w:fill="FFFFFF"/>
              </w:rPr>
              <w:t>Neurolysin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(</w:t>
            </w:r>
            <w:proofErr w:type="spellStart"/>
            <w:r w:rsidRPr="002142FE">
              <w:rPr>
                <w:bCs/>
                <w:shd w:val="clear" w:color="auto" w:fill="FFFFFF"/>
              </w:rPr>
              <w:t>metallopeptidase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M3 family)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gastrointestinal motility</w:t>
            </w:r>
          </w:p>
        </w:tc>
      </w:tr>
      <w:tr w:rsidR="0089782D" w:rsidRPr="00731E0A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PRR19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4.32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3.59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&lt;0.01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shd w:val="clear" w:color="auto" w:fill="FFFFFF"/>
              </w:rPr>
              <w:t>Proline</w:t>
            </w:r>
            <w:proofErr w:type="spellEnd"/>
            <w:r w:rsidRPr="002142FE">
              <w:rPr>
                <w:shd w:val="clear" w:color="auto" w:fill="FFFFFF"/>
              </w:rPr>
              <w:t>-Rich Protein 19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diseases associated with PRR19 include </w:t>
            </w:r>
            <w:r w:rsidRPr="002142FE">
              <w:rPr>
                <w:iCs/>
                <w:shd w:val="clear" w:color="auto" w:fill="FFFFFF"/>
              </w:rPr>
              <w:t>gastric cancer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UNC5CL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&lt;0.001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 xml:space="preserve">Unc-5 Homolog C (C. </w:t>
            </w:r>
            <w:proofErr w:type="spellStart"/>
            <w:r w:rsidRPr="002142FE">
              <w:rPr>
                <w:bCs/>
                <w:shd w:val="clear" w:color="auto" w:fill="FFFFFF"/>
              </w:rPr>
              <w:t>Elegans</w:t>
            </w:r>
            <w:proofErr w:type="spellEnd"/>
            <w:r w:rsidRPr="002142FE">
              <w:rPr>
                <w:bCs/>
                <w:shd w:val="clear" w:color="auto" w:fill="FFFFFF"/>
              </w:rPr>
              <w:t>)-Like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epithelial inflammation and immunity </w:t>
            </w:r>
          </w:p>
        </w:tc>
      </w:tr>
      <w:tr w:rsidR="0089782D" w:rsidRPr="00731E0A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PPARGC-1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1.63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0.05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 xml:space="preserve">Peroxisome proliferator-activated receptor gamma </w:t>
            </w:r>
            <w:proofErr w:type="spellStart"/>
            <w:r w:rsidRPr="002142FE">
              <w:rPr>
                <w:bCs/>
                <w:shd w:val="clear" w:color="auto" w:fill="FFFFFF"/>
              </w:rPr>
              <w:t>coactivator</w:t>
            </w:r>
            <w:proofErr w:type="spellEnd"/>
            <w:r w:rsidRPr="002142FE">
              <w:rPr>
                <w:bCs/>
                <w:shd w:val="clear" w:color="auto" w:fill="FFFFFF"/>
              </w:rPr>
              <w:t xml:space="preserve"> 1-alpha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inhibits pro-inflammatory cytokine production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PEMT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1.62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0.05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shd w:val="clear" w:color="auto" w:fill="FFFFFF"/>
              </w:rPr>
              <w:t>phosphatidylethanolamine</w:t>
            </w:r>
            <w:proofErr w:type="spellEnd"/>
            <w:r w:rsidRPr="002142FE">
              <w:rPr>
                <w:shd w:val="clear" w:color="auto" w:fill="FFFFFF"/>
              </w:rPr>
              <w:t xml:space="preserve"> N-</w:t>
            </w:r>
            <w:proofErr w:type="spellStart"/>
            <w:r w:rsidRPr="002142FE">
              <w:rPr>
                <w:shd w:val="clear" w:color="auto" w:fill="FFFFFF"/>
              </w:rPr>
              <w:t>methyltransferase</w:t>
            </w:r>
            <w:proofErr w:type="spellEnd"/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cell membrane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SLC6A20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1.62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&lt;0.01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>Solute carrier family 6, member 20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cellular transport 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CMTM7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1.61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373" w:type="dxa"/>
            <w:vAlign w:val="bottom"/>
          </w:tcPr>
          <w:p w:rsidR="002142FE" w:rsidRPr="002142FE" w:rsidRDefault="0089782D" w:rsidP="002142FE">
            <w:pPr>
              <w:pStyle w:val="ANMTabSpanner"/>
              <w:spacing w:after="0" w:line="240" w:lineRule="auto"/>
              <w:rPr>
                <w:shd w:val="clear" w:color="auto" w:fill="FFFFFF"/>
              </w:rPr>
            </w:pPr>
            <w:r w:rsidRPr="002142FE">
              <w:rPr>
                <w:shd w:val="clear" w:color="auto" w:fill="FFFFFF"/>
              </w:rPr>
              <w:t xml:space="preserve">Chemokine-Like Factor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Superfamily Member 7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chemokine-like factor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PDCL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1.59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rPr>
                <w:bCs/>
                <w:shd w:val="clear" w:color="auto" w:fill="FFFFFF"/>
              </w:rPr>
              <w:t>Phosducin</w:t>
            </w:r>
            <w:proofErr w:type="spellEnd"/>
            <w:r w:rsidRPr="002142FE">
              <w:rPr>
                <w:bCs/>
                <w:shd w:val="clear" w:color="auto" w:fill="FFFFFF"/>
              </w:rPr>
              <w:t>-like protein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regulate G-protein signalling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STEAP4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4.7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1.58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373" w:type="dxa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Six-transmembrane epithelial antigen of prostate 4</w:t>
            </w:r>
          </w:p>
        </w:tc>
        <w:tc>
          <w:tcPr>
            <w:tcW w:w="4111" w:type="dxa"/>
            <w:gridSpan w:val="2"/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regulation of inflammatory cytokines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FBXW5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7.6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6.94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1.57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&lt;0.01</w:t>
            </w:r>
          </w:p>
        </w:tc>
        <w:tc>
          <w:tcPr>
            <w:tcW w:w="4373" w:type="dxa"/>
            <w:tcBorders>
              <w:bottom w:val="nil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F-box/WD repeat-containing protein 5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phosphorylation-dependent 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NNT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9.13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8.5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1.55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373" w:type="dxa"/>
            <w:tcBorders>
              <w:bottom w:val="nil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NAD(P) </w:t>
            </w:r>
            <w:proofErr w:type="spellStart"/>
            <w:r w:rsidRPr="002142FE">
              <w:t>transhydrogenase</w:t>
            </w:r>
            <w:proofErr w:type="spellEnd"/>
          </w:p>
        </w:tc>
        <w:tc>
          <w:tcPr>
            <w:tcW w:w="4111" w:type="dxa"/>
            <w:gridSpan w:val="2"/>
            <w:tcBorders>
              <w:bottom w:val="nil"/>
            </w:tcBorders>
            <w:vAlign w:val="bottom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production of NADPH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tcBorders>
              <w:top w:val="nil"/>
            </w:tcBorders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BCKDK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7.25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6.63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1.54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373" w:type="dxa"/>
            <w:tcBorders>
              <w:top w:val="nil"/>
            </w:tcBorders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Branched Chain </w:t>
            </w:r>
            <w:proofErr w:type="spellStart"/>
            <w:r w:rsidRPr="002142FE">
              <w:t>Ketoacid</w:t>
            </w:r>
            <w:proofErr w:type="spellEnd"/>
            <w:r w:rsidRPr="002142FE">
              <w:t xml:space="preserve">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Dehydrogenase Kinase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amino acids catabolism in the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mitochondrion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THOC5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6.87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37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THO complex subunit 5 homolog</w:t>
            </w:r>
          </w:p>
        </w:tc>
        <w:tc>
          <w:tcPr>
            <w:tcW w:w="411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cell differentiation processes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SOX6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5.42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37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bCs/>
                <w:shd w:val="clear" w:color="auto" w:fill="FFFFFF"/>
              </w:rPr>
              <w:t>Transcription factor SOX-6</w:t>
            </w:r>
          </w:p>
        </w:tc>
        <w:tc>
          <w:tcPr>
            <w:tcW w:w="411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transcriptional activator</w:t>
            </w:r>
          </w:p>
        </w:tc>
      </w:tr>
      <w:tr w:rsidR="0089782D" w:rsidRPr="00731E0A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ALDH6A1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7.88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1.51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373" w:type="dxa"/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Aldehyde Dehydrogenase 6 Family,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Member A1</w:t>
            </w:r>
          </w:p>
        </w:tc>
        <w:tc>
          <w:tcPr>
            <w:tcW w:w="4111" w:type="dxa"/>
            <w:gridSpan w:val="2"/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valine</w:t>
            </w:r>
            <w:proofErr w:type="spellEnd"/>
            <w:r w:rsidRPr="002142FE">
              <w:t xml:space="preserve"> an</w:t>
            </w:r>
            <w:r w:rsidR="002142FE" w:rsidRPr="002142FE">
              <w:t xml:space="preserve">d pyrimidine catabolic </w:t>
            </w:r>
          </w:p>
          <w:p w:rsidR="0089782D" w:rsidRPr="002142FE" w:rsidRDefault="002142FE" w:rsidP="002142FE">
            <w:pPr>
              <w:pStyle w:val="ANMTabSpanner"/>
              <w:spacing w:after="0" w:line="240" w:lineRule="auto"/>
            </w:pPr>
            <w:r w:rsidRPr="002142FE">
              <w:t>pathways</w:t>
            </w:r>
          </w:p>
        </w:tc>
      </w:tr>
      <w:tr w:rsidR="0089782D" w:rsidRPr="00731E0A" w:rsidTr="009520CD">
        <w:trPr>
          <w:trHeight w:val="300"/>
        </w:trPr>
        <w:tc>
          <w:tcPr>
            <w:tcW w:w="14492" w:type="dxa"/>
            <w:gridSpan w:val="8"/>
            <w:shd w:val="clear" w:color="auto" w:fill="auto"/>
            <w:noWrap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Genes down-regulated in CM group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CENPK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7.03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Centromere protein K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mitotic progression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lastRenderedPageBreak/>
              <w:t>TRPC1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4.67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&lt;0.01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Transient receptor potential channel 1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  <w:rPr>
                <w:bdr w:val="none" w:sz="0" w:space="0" w:color="auto" w:frame="1"/>
                <w:shd w:val="clear" w:color="auto" w:fill="FFFFFF"/>
              </w:rPr>
            </w:pPr>
            <w:r w:rsidRPr="002142FE">
              <w:rPr>
                <w:shd w:val="clear" w:color="auto" w:fill="FFFFFF"/>
              </w:rPr>
              <w:t xml:space="preserve">nonspecific </w:t>
            </w:r>
            <w:proofErr w:type="spellStart"/>
            <w:r w:rsidRPr="002142FE">
              <w:rPr>
                <w:shd w:val="clear" w:color="auto" w:fill="FFFFFF"/>
              </w:rPr>
              <w:t>cation</w:t>
            </w:r>
            <w:proofErr w:type="spellEnd"/>
            <w:r w:rsidRPr="002142FE">
              <w:rPr>
                <w:shd w:val="clear" w:color="auto" w:fill="FFFFFF"/>
              </w:rPr>
              <w:t xml:space="preserve"> channel</w:t>
            </w:r>
          </w:p>
        </w:tc>
      </w:tr>
      <w:tr w:rsidR="0089782D" w:rsidRPr="00731E0A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FGL2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0.01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Fibrinogen-like protein 2</w:t>
            </w:r>
          </w:p>
        </w:tc>
        <w:tc>
          <w:tcPr>
            <w:tcW w:w="3803" w:type="dxa"/>
          </w:tcPr>
          <w:p w:rsidR="002142FE" w:rsidRPr="002142FE" w:rsidRDefault="0089782D" w:rsidP="002142FE">
            <w:pPr>
              <w:pStyle w:val="ANMTabSpanner"/>
              <w:spacing w:after="0" w:line="240" w:lineRule="auto"/>
              <w:rPr>
                <w:shd w:val="clear" w:color="auto" w:fill="FFFFFF"/>
              </w:rPr>
            </w:pPr>
            <w:proofErr w:type="spellStart"/>
            <w:r w:rsidRPr="002142FE">
              <w:rPr>
                <w:shd w:val="clear" w:color="auto" w:fill="FFFFFF"/>
              </w:rPr>
              <w:t>immunoregulatory</w:t>
            </w:r>
            <w:proofErr w:type="spellEnd"/>
            <w:r w:rsidRPr="002142FE">
              <w:rPr>
                <w:shd w:val="clear" w:color="auto" w:fill="FFFFFF"/>
              </w:rPr>
              <w:t xml:space="preserve"> - effector cytokine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 xml:space="preserve">of </w:t>
            </w:r>
            <w:proofErr w:type="spellStart"/>
            <w:r w:rsidRPr="002142FE">
              <w:rPr>
                <w:shd w:val="clear" w:color="auto" w:fill="FFFFFF"/>
              </w:rPr>
              <w:t>Treg</w:t>
            </w:r>
            <w:proofErr w:type="spellEnd"/>
            <w:r w:rsidRPr="002142FE">
              <w:rPr>
                <w:shd w:val="clear" w:color="auto" w:fill="FFFFFF"/>
              </w:rPr>
              <w:t xml:space="preserve"> cells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SAMD9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681" w:type="dxa"/>
            <w:gridSpan w:val="2"/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Sterile Alpha Motif Domain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Containing 9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cellular proliferation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IL7R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4.94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-1.58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Interleukin 7 Receptor</w:t>
            </w:r>
          </w:p>
        </w:tc>
        <w:tc>
          <w:tcPr>
            <w:tcW w:w="3803" w:type="dxa"/>
          </w:tcPr>
          <w:p w:rsidR="002142FE" w:rsidRPr="002142FE" w:rsidRDefault="0089782D" w:rsidP="002142FE">
            <w:pPr>
              <w:pStyle w:val="ANMTabSpanner"/>
              <w:spacing w:after="0" w:line="240" w:lineRule="auto"/>
              <w:rPr>
                <w:shd w:val="clear" w:color="auto" w:fill="FFFFFF"/>
              </w:rPr>
            </w:pPr>
            <w:r w:rsidRPr="002142FE">
              <w:rPr>
                <w:shd w:val="clear" w:color="auto" w:fill="FFFFFF"/>
              </w:rPr>
              <w:t xml:space="preserve">survival factor for mature T cells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and IEC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ABCC2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8.54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9.21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-1.59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681" w:type="dxa"/>
            <w:gridSpan w:val="2"/>
          </w:tcPr>
          <w:p w:rsidR="002142FE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ATP-Binding Cassette, </w:t>
            </w:r>
          </w:p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Sub-Family C (CFTR/MRP), Member 2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oxidative stress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CPT1A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7.61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-1.64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0.01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 xml:space="preserve">Carnitine </w:t>
            </w:r>
            <w:proofErr w:type="spellStart"/>
            <w:r w:rsidRPr="002142FE">
              <w:t>palmitoyltransferase</w:t>
            </w:r>
            <w:proofErr w:type="spellEnd"/>
            <w:r w:rsidRPr="002142FE">
              <w:t xml:space="preserve"> I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mitochondrial enzyme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FABP1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9.64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10.46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-1.77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0.03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Fatty acid-binding protein 1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bind bile acids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PLIN2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7.47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8.39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-1.9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0.02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proofErr w:type="spellStart"/>
            <w:r w:rsidRPr="002142FE">
              <w:t>Perilipin</w:t>
            </w:r>
            <w:proofErr w:type="spellEnd"/>
            <w:r w:rsidRPr="002142FE">
              <w:t xml:space="preserve"> 2</w:t>
            </w:r>
          </w:p>
        </w:tc>
        <w:tc>
          <w:tcPr>
            <w:tcW w:w="3803" w:type="dxa"/>
          </w:tcPr>
          <w:p w:rsidR="0089782D" w:rsidRPr="002142FE" w:rsidRDefault="00EC5D47" w:rsidP="002142FE">
            <w:pPr>
              <w:pStyle w:val="ANMTabSpanner"/>
              <w:spacing w:after="0" w:line="240" w:lineRule="auto"/>
            </w:pPr>
            <w:hyperlink r:id="rId10" w:tooltip="Adipocyte" w:history="1">
              <w:r w:rsidR="0089782D" w:rsidRPr="002142FE">
                <w:rPr>
                  <w:shd w:val="clear" w:color="auto" w:fill="FFFFFF"/>
                </w:rPr>
                <w:t>adipocyte</w:t>
              </w:r>
            </w:hyperlink>
            <w:r w:rsidR="0089782D" w:rsidRPr="002142FE">
              <w:rPr>
                <w:shd w:val="clear" w:color="auto" w:fill="FFFFFF"/>
              </w:rPr>
              <w:t> differentiation</w:t>
            </w:r>
          </w:p>
        </w:tc>
      </w:tr>
      <w:tr w:rsidR="0089782D" w:rsidRPr="002142FE" w:rsidTr="009520CD">
        <w:trPr>
          <w:trHeight w:val="300"/>
        </w:trPr>
        <w:tc>
          <w:tcPr>
            <w:tcW w:w="149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ind w:firstLine="229"/>
            </w:pPr>
            <w:r w:rsidRPr="002142FE">
              <w:t>CD163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5.13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6.43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</w:pPr>
            <w:r w:rsidRPr="002142FE">
              <w:t>-2.47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89782D" w:rsidRPr="002142FE" w:rsidRDefault="0089782D" w:rsidP="002142FE">
            <w:pPr>
              <w:pStyle w:val="ANMTabSpanner"/>
              <w:spacing w:after="0" w:line="240" w:lineRule="auto"/>
              <w:jc w:val="center"/>
              <w:rPr>
                <w:color w:val="000000"/>
              </w:rPr>
            </w:pPr>
            <w:r w:rsidRPr="002142FE">
              <w:rPr>
                <w:color w:val="000000"/>
              </w:rPr>
              <w:t>0.04</w:t>
            </w:r>
          </w:p>
        </w:tc>
        <w:tc>
          <w:tcPr>
            <w:tcW w:w="4681" w:type="dxa"/>
            <w:gridSpan w:val="2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rPr>
                <w:shd w:val="clear" w:color="auto" w:fill="FFFFFF"/>
              </w:rPr>
              <w:t>(</w:t>
            </w:r>
            <w:r w:rsidRPr="002142FE">
              <w:rPr>
                <w:bCs/>
                <w:shd w:val="clear" w:color="auto" w:fill="FFFFFF"/>
              </w:rPr>
              <w:t>C</w:t>
            </w:r>
            <w:r w:rsidRPr="002142FE">
              <w:rPr>
                <w:shd w:val="clear" w:color="auto" w:fill="FFFFFF"/>
              </w:rPr>
              <w:t>luster of </w:t>
            </w:r>
            <w:r w:rsidRPr="002142FE">
              <w:rPr>
                <w:bCs/>
                <w:shd w:val="clear" w:color="auto" w:fill="FFFFFF"/>
              </w:rPr>
              <w:t>D</w:t>
            </w:r>
            <w:r w:rsidRPr="002142FE">
              <w:rPr>
                <w:shd w:val="clear" w:color="auto" w:fill="FFFFFF"/>
              </w:rPr>
              <w:t>ifferentiation 163</w:t>
            </w:r>
          </w:p>
        </w:tc>
        <w:tc>
          <w:tcPr>
            <w:tcW w:w="3803" w:type="dxa"/>
          </w:tcPr>
          <w:p w:rsidR="0089782D" w:rsidRPr="002142FE" w:rsidRDefault="0089782D" w:rsidP="002142FE">
            <w:pPr>
              <w:pStyle w:val="ANMTabSpanner"/>
              <w:spacing w:after="0" w:line="240" w:lineRule="auto"/>
            </w:pPr>
            <w:r w:rsidRPr="002142FE">
              <w:t>induction of local inflammation</w:t>
            </w:r>
          </w:p>
        </w:tc>
      </w:tr>
    </w:tbl>
    <w:p w:rsidR="004C13FA" w:rsidRPr="00C64681" w:rsidRDefault="004C13FA" w:rsidP="00731E0A">
      <w:pPr>
        <w:pStyle w:val="ANMTabSpanner"/>
        <w:spacing w:after="0" w:line="240" w:lineRule="auto"/>
      </w:pPr>
      <w:r w:rsidRPr="00966A61">
        <w:rPr>
          <w:bCs/>
          <w:vertAlign w:val="superscript"/>
        </w:rPr>
        <w:t>1</w:t>
      </w:r>
      <w:r>
        <w:rPr>
          <w:bCs/>
        </w:rPr>
        <w:t xml:space="preserve">CM: </w:t>
      </w:r>
      <w:r w:rsidRPr="00C64681">
        <w:t>Competitive</w:t>
      </w:r>
      <w:r>
        <w:t xml:space="preserve"> administration of live yeast </w:t>
      </w:r>
      <w:r w:rsidRPr="00C64681">
        <w:t>(5x10</w:t>
      </w:r>
      <w:r w:rsidRPr="00C64681">
        <w:rPr>
          <w:vertAlign w:val="superscript"/>
        </w:rPr>
        <w:t>10</w:t>
      </w:r>
      <w:r w:rsidRPr="00C64681">
        <w:t xml:space="preserve"> CFU/kg of feed for 1 day after ETEC challenge) + challenge</w:t>
      </w:r>
      <w:r>
        <w:t xml:space="preserve"> with ETEC; CO: </w:t>
      </w:r>
      <w:r w:rsidRPr="00C64681">
        <w:t>no live yeast + challenge</w:t>
      </w:r>
      <w:r>
        <w:t xml:space="preserve"> with ETEC</w:t>
      </w:r>
    </w:p>
    <w:p w:rsidR="0089782D" w:rsidRPr="004C13FA" w:rsidRDefault="0089782D" w:rsidP="00731E0A">
      <w:pPr>
        <w:pStyle w:val="ANMTabSpanner"/>
        <w:spacing w:after="0" w:line="240" w:lineRule="auto"/>
      </w:pPr>
    </w:p>
    <w:p w:rsidR="00C45ADA" w:rsidRPr="004C13FA" w:rsidRDefault="00C45ADA" w:rsidP="002142FE">
      <w:pPr>
        <w:spacing w:after="0" w:line="240" w:lineRule="auto"/>
        <w:rPr>
          <w:rFonts w:ascii="Arial" w:hAnsi="Arial" w:cs="Arial"/>
          <w:lang w:val="en-US"/>
        </w:rPr>
      </w:pPr>
    </w:p>
    <w:sectPr w:rsidR="00C45ADA" w:rsidRPr="004C13FA" w:rsidSect="00731E0A">
      <w:pgSz w:w="16838" w:h="11906" w:orient="landscape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47" w:rsidRDefault="00EC5D47" w:rsidP="002142FE">
      <w:pPr>
        <w:spacing w:after="0" w:line="240" w:lineRule="auto"/>
      </w:pPr>
      <w:r>
        <w:separator/>
      </w:r>
    </w:p>
  </w:endnote>
  <w:endnote w:type="continuationSeparator" w:id="0">
    <w:p w:rsidR="00EC5D47" w:rsidRDefault="00EC5D47" w:rsidP="0021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uterModer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47" w:rsidRDefault="00EC5D47" w:rsidP="002142FE">
      <w:pPr>
        <w:spacing w:after="0" w:line="240" w:lineRule="auto"/>
      </w:pPr>
      <w:r>
        <w:separator/>
      </w:r>
    </w:p>
  </w:footnote>
  <w:footnote w:type="continuationSeparator" w:id="0">
    <w:p w:rsidR="00EC5D47" w:rsidRDefault="00EC5D47" w:rsidP="0021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2D"/>
    <w:rsid w:val="002142FE"/>
    <w:rsid w:val="002F1D6E"/>
    <w:rsid w:val="00472D14"/>
    <w:rsid w:val="004C13FA"/>
    <w:rsid w:val="005543CC"/>
    <w:rsid w:val="005F2ABC"/>
    <w:rsid w:val="0069424C"/>
    <w:rsid w:val="00731E0A"/>
    <w:rsid w:val="0089782D"/>
    <w:rsid w:val="008C6D3F"/>
    <w:rsid w:val="009520CD"/>
    <w:rsid w:val="00970412"/>
    <w:rsid w:val="00C45ADA"/>
    <w:rsid w:val="00CC15D1"/>
    <w:rsid w:val="00EC5D47"/>
    <w:rsid w:val="00F05CA7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8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'ANM a paper title'"/>
    <w:basedOn w:val="Normale"/>
    <w:link w:val="ANMapapertitleCarattere"/>
    <w:qFormat/>
    <w:rsid w:val="00970412"/>
    <w:pPr>
      <w:spacing w:after="0" w:line="480" w:lineRule="auto"/>
    </w:pPr>
    <w:rPr>
      <w:rFonts w:ascii="Arial" w:hAnsi="Arial" w:cs="Arial"/>
      <w:b/>
      <w:sz w:val="24"/>
      <w:szCs w:val="24"/>
      <w:lang w:val="en-US"/>
    </w:rPr>
  </w:style>
  <w:style w:type="paragraph" w:customStyle="1" w:styleId="ANMauthorname">
    <w:name w:val="'ANM author name'"/>
    <w:basedOn w:val="Normale"/>
    <w:link w:val="ANMauthornameCarattere"/>
    <w:qFormat/>
    <w:rsid w:val="00970412"/>
    <w:pPr>
      <w:spacing w:after="0" w:line="480" w:lineRule="auto"/>
      <w:ind w:left="57" w:right="57"/>
      <w:jc w:val="both"/>
    </w:pPr>
    <w:rPr>
      <w:rFonts w:ascii="Arial" w:hAnsi="Arial" w:cs="Arial"/>
      <w:sz w:val="24"/>
      <w:szCs w:val="24"/>
    </w:rPr>
  </w:style>
  <w:style w:type="character" w:customStyle="1" w:styleId="ANMapapertitleCarattere">
    <w:name w:val="'ANM a paper title' Carattere"/>
    <w:basedOn w:val="Carpredefinitoparagrafo"/>
    <w:link w:val="ANMapapertitle"/>
    <w:rsid w:val="00970412"/>
    <w:rPr>
      <w:rFonts w:ascii="Arial" w:eastAsiaTheme="minorHAnsi" w:hAnsi="Arial" w:cs="Arial"/>
      <w:b/>
      <w:sz w:val="24"/>
      <w:szCs w:val="24"/>
      <w:lang w:val="en-US"/>
    </w:rPr>
  </w:style>
  <w:style w:type="paragraph" w:customStyle="1" w:styleId="ANMheading1">
    <w:name w:val="'ANM heading 1'"/>
    <w:basedOn w:val="Normale"/>
    <w:link w:val="ANMheading1Carattere"/>
    <w:qFormat/>
    <w:rsid w:val="00970412"/>
    <w:pPr>
      <w:spacing w:after="0" w:line="480" w:lineRule="auto"/>
    </w:pPr>
    <w:rPr>
      <w:rFonts w:ascii="Arial" w:hAnsi="Arial" w:cs="Arial"/>
      <w:b/>
      <w:sz w:val="24"/>
      <w:szCs w:val="24"/>
      <w:lang w:val="en-US"/>
    </w:rPr>
  </w:style>
  <w:style w:type="character" w:customStyle="1" w:styleId="ANMauthornameCarattere">
    <w:name w:val="'ANM author name' Carattere"/>
    <w:basedOn w:val="Carpredefinitoparagrafo"/>
    <w:link w:val="ANMauthorname"/>
    <w:rsid w:val="00970412"/>
    <w:rPr>
      <w:rFonts w:ascii="Arial" w:eastAsiaTheme="minorHAnsi" w:hAnsi="Arial" w:cs="Arial"/>
      <w:sz w:val="24"/>
      <w:szCs w:val="24"/>
    </w:rPr>
  </w:style>
  <w:style w:type="paragraph" w:customStyle="1" w:styleId="ANMTabletitle">
    <w:name w:val="'ANM Table title'"/>
    <w:basedOn w:val="Normale"/>
    <w:link w:val="ANMTabletitleCarattere"/>
    <w:qFormat/>
    <w:rsid w:val="00970412"/>
    <w:pPr>
      <w:spacing w:after="0" w:line="480" w:lineRule="auto"/>
    </w:pPr>
    <w:rPr>
      <w:rFonts w:ascii="Arial" w:eastAsia="ComputerModern-Regular" w:hAnsi="Arial" w:cs="Arial"/>
      <w:i/>
      <w:sz w:val="24"/>
      <w:szCs w:val="24"/>
      <w:lang w:val="en-US"/>
    </w:rPr>
  </w:style>
  <w:style w:type="character" w:customStyle="1" w:styleId="ANMheading1Carattere">
    <w:name w:val="'ANM heading 1' Carattere"/>
    <w:basedOn w:val="Carpredefinitoparagrafo"/>
    <w:link w:val="ANMheading1"/>
    <w:rsid w:val="00970412"/>
    <w:rPr>
      <w:rFonts w:ascii="Arial" w:eastAsiaTheme="minorHAnsi" w:hAnsi="Arial" w:cs="Arial"/>
      <w:b/>
      <w:sz w:val="24"/>
      <w:szCs w:val="24"/>
      <w:lang w:val="en-US"/>
    </w:rPr>
  </w:style>
  <w:style w:type="paragraph" w:customStyle="1" w:styleId="ANMTabSpanner">
    <w:name w:val="'ANM Tab Spanner'"/>
    <w:basedOn w:val="Normale"/>
    <w:link w:val="ANMTabSpannerCarattere"/>
    <w:qFormat/>
    <w:rsid w:val="00970412"/>
    <w:pPr>
      <w:spacing w:line="480" w:lineRule="auto"/>
    </w:pPr>
    <w:rPr>
      <w:rFonts w:ascii="Arial" w:hAnsi="Arial" w:cs="Arial"/>
      <w:color w:val="000000" w:themeColor="text1"/>
      <w:lang w:val="en-GB"/>
    </w:rPr>
  </w:style>
  <w:style w:type="character" w:customStyle="1" w:styleId="ANMTabletitleCarattere">
    <w:name w:val="'ANM Table title' Carattere"/>
    <w:basedOn w:val="Carpredefinitoparagrafo"/>
    <w:link w:val="ANMTabletitle"/>
    <w:rsid w:val="00970412"/>
    <w:rPr>
      <w:rFonts w:ascii="Arial" w:eastAsia="ComputerModern-Regular" w:hAnsi="Arial" w:cs="Arial"/>
      <w:i/>
      <w:sz w:val="24"/>
      <w:szCs w:val="24"/>
      <w:lang w:val="en-US"/>
    </w:rPr>
  </w:style>
  <w:style w:type="character" w:customStyle="1" w:styleId="ANMTabSpannerCarattere">
    <w:name w:val="'ANM Tab Spanner' Carattere"/>
    <w:basedOn w:val="Carpredefinitoparagrafo"/>
    <w:link w:val="ANMTabSpanner"/>
    <w:rsid w:val="00970412"/>
    <w:rPr>
      <w:rFonts w:ascii="Arial" w:eastAsiaTheme="minorHAnsi" w:hAnsi="Arial" w:cs="Arial"/>
      <w:color w:val="000000" w:themeColor="text1"/>
      <w:sz w:val="22"/>
      <w:szCs w:val="2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214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2FE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14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2F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8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'ANM a paper title'"/>
    <w:basedOn w:val="Normale"/>
    <w:link w:val="ANMapapertitleCarattere"/>
    <w:qFormat/>
    <w:rsid w:val="00970412"/>
    <w:pPr>
      <w:spacing w:after="0" w:line="480" w:lineRule="auto"/>
    </w:pPr>
    <w:rPr>
      <w:rFonts w:ascii="Arial" w:hAnsi="Arial" w:cs="Arial"/>
      <w:b/>
      <w:sz w:val="24"/>
      <w:szCs w:val="24"/>
      <w:lang w:val="en-US"/>
    </w:rPr>
  </w:style>
  <w:style w:type="paragraph" w:customStyle="1" w:styleId="ANMauthorname">
    <w:name w:val="'ANM author name'"/>
    <w:basedOn w:val="Normale"/>
    <w:link w:val="ANMauthornameCarattere"/>
    <w:qFormat/>
    <w:rsid w:val="00970412"/>
    <w:pPr>
      <w:spacing w:after="0" w:line="480" w:lineRule="auto"/>
      <w:ind w:left="57" w:right="57"/>
      <w:jc w:val="both"/>
    </w:pPr>
    <w:rPr>
      <w:rFonts w:ascii="Arial" w:hAnsi="Arial" w:cs="Arial"/>
      <w:sz w:val="24"/>
      <w:szCs w:val="24"/>
    </w:rPr>
  </w:style>
  <w:style w:type="character" w:customStyle="1" w:styleId="ANMapapertitleCarattere">
    <w:name w:val="'ANM a paper title' Carattere"/>
    <w:basedOn w:val="Carpredefinitoparagrafo"/>
    <w:link w:val="ANMapapertitle"/>
    <w:rsid w:val="00970412"/>
    <w:rPr>
      <w:rFonts w:ascii="Arial" w:eastAsiaTheme="minorHAnsi" w:hAnsi="Arial" w:cs="Arial"/>
      <w:b/>
      <w:sz w:val="24"/>
      <w:szCs w:val="24"/>
      <w:lang w:val="en-US"/>
    </w:rPr>
  </w:style>
  <w:style w:type="paragraph" w:customStyle="1" w:styleId="ANMheading1">
    <w:name w:val="'ANM heading 1'"/>
    <w:basedOn w:val="Normale"/>
    <w:link w:val="ANMheading1Carattere"/>
    <w:qFormat/>
    <w:rsid w:val="00970412"/>
    <w:pPr>
      <w:spacing w:after="0" w:line="480" w:lineRule="auto"/>
    </w:pPr>
    <w:rPr>
      <w:rFonts w:ascii="Arial" w:hAnsi="Arial" w:cs="Arial"/>
      <w:b/>
      <w:sz w:val="24"/>
      <w:szCs w:val="24"/>
      <w:lang w:val="en-US"/>
    </w:rPr>
  </w:style>
  <w:style w:type="character" w:customStyle="1" w:styleId="ANMauthornameCarattere">
    <w:name w:val="'ANM author name' Carattere"/>
    <w:basedOn w:val="Carpredefinitoparagrafo"/>
    <w:link w:val="ANMauthorname"/>
    <w:rsid w:val="00970412"/>
    <w:rPr>
      <w:rFonts w:ascii="Arial" w:eastAsiaTheme="minorHAnsi" w:hAnsi="Arial" w:cs="Arial"/>
      <w:sz w:val="24"/>
      <w:szCs w:val="24"/>
    </w:rPr>
  </w:style>
  <w:style w:type="paragraph" w:customStyle="1" w:styleId="ANMTabletitle">
    <w:name w:val="'ANM Table title'"/>
    <w:basedOn w:val="Normale"/>
    <w:link w:val="ANMTabletitleCarattere"/>
    <w:qFormat/>
    <w:rsid w:val="00970412"/>
    <w:pPr>
      <w:spacing w:after="0" w:line="480" w:lineRule="auto"/>
    </w:pPr>
    <w:rPr>
      <w:rFonts w:ascii="Arial" w:eastAsia="ComputerModern-Regular" w:hAnsi="Arial" w:cs="Arial"/>
      <w:i/>
      <w:sz w:val="24"/>
      <w:szCs w:val="24"/>
      <w:lang w:val="en-US"/>
    </w:rPr>
  </w:style>
  <w:style w:type="character" w:customStyle="1" w:styleId="ANMheading1Carattere">
    <w:name w:val="'ANM heading 1' Carattere"/>
    <w:basedOn w:val="Carpredefinitoparagrafo"/>
    <w:link w:val="ANMheading1"/>
    <w:rsid w:val="00970412"/>
    <w:rPr>
      <w:rFonts w:ascii="Arial" w:eastAsiaTheme="minorHAnsi" w:hAnsi="Arial" w:cs="Arial"/>
      <w:b/>
      <w:sz w:val="24"/>
      <w:szCs w:val="24"/>
      <w:lang w:val="en-US"/>
    </w:rPr>
  </w:style>
  <w:style w:type="paragraph" w:customStyle="1" w:styleId="ANMTabSpanner">
    <w:name w:val="'ANM Tab Spanner'"/>
    <w:basedOn w:val="Normale"/>
    <w:link w:val="ANMTabSpannerCarattere"/>
    <w:qFormat/>
    <w:rsid w:val="00970412"/>
    <w:pPr>
      <w:spacing w:line="480" w:lineRule="auto"/>
    </w:pPr>
    <w:rPr>
      <w:rFonts w:ascii="Arial" w:hAnsi="Arial" w:cs="Arial"/>
      <w:color w:val="000000" w:themeColor="text1"/>
      <w:lang w:val="en-GB"/>
    </w:rPr>
  </w:style>
  <w:style w:type="character" w:customStyle="1" w:styleId="ANMTabletitleCarattere">
    <w:name w:val="'ANM Table title' Carattere"/>
    <w:basedOn w:val="Carpredefinitoparagrafo"/>
    <w:link w:val="ANMTabletitle"/>
    <w:rsid w:val="00970412"/>
    <w:rPr>
      <w:rFonts w:ascii="Arial" w:eastAsia="ComputerModern-Regular" w:hAnsi="Arial" w:cs="Arial"/>
      <w:i/>
      <w:sz w:val="24"/>
      <w:szCs w:val="24"/>
      <w:lang w:val="en-US"/>
    </w:rPr>
  </w:style>
  <w:style w:type="character" w:customStyle="1" w:styleId="ANMTabSpannerCarattere">
    <w:name w:val="'ANM Tab Spanner' Carattere"/>
    <w:basedOn w:val="Carpredefinitoparagrafo"/>
    <w:link w:val="ANMTabSpanner"/>
    <w:rsid w:val="00970412"/>
    <w:rPr>
      <w:rFonts w:ascii="Arial" w:eastAsiaTheme="minorHAnsi" w:hAnsi="Arial" w:cs="Arial"/>
      <w:color w:val="000000" w:themeColor="text1"/>
      <w:sz w:val="22"/>
      <w:szCs w:val="2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214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2FE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14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2F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rotein_compl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ranscription_(biology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n.wikipedia.org/wiki/Adipocy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Gluconeogenes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TREVISI</dc:creator>
  <cp:lastModifiedBy>TREVISI</cp:lastModifiedBy>
  <cp:revision>11</cp:revision>
  <dcterms:created xsi:type="dcterms:W3CDTF">2015-10-29T22:05:00Z</dcterms:created>
  <dcterms:modified xsi:type="dcterms:W3CDTF">2015-11-01T22:09:00Z</dcterms:modified>
</cp:coreProperties>
</file>