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1F" w:rsidRDefault="00B1571F" w:rsidP="00B1571F">
      <w:pPr>
        <w:pStyle w:val="ANMapapertitle"/>
        <w:spacing w:line="240" w:lineRule="auto"/>
      </w:pPr>
      <w:bookmarkStart w:id="0" w:name="_GoBack"/>
      <w:bookmarkEnd w:id="0"/>
      <w:r>
        <w:t>A new model for parent-of-origin effect analyses applied to Brown Swiss cattle slaughterhouse data</w:t>
      </w:r>
    </w:p>
    <w:p w:rsidR="00B1571F" w:rsidRPr="00B1571F" w:rsidRDefault="00B1571F" w:rsidP="00B1571F">
      <w:pPr>
        <w:pStyle w:val="ANMauthorname"/>
        <w:rPr>
          <w:lang w:val="de-DE"/>
        </w:rPr>
      </w:pPr>
      <w:r>
        <w:rPr>
          <w:lang w:val="de-DE"/>
        </w:rPr>
        <w:t>I</w:t>
      </w:r>
      <w:r w:rsidRPr="00B1571F">
        <w:rPr>
          <w:lang w:val="de-DE"/>
        </w:rPr>
        <w:t>. Blu</w:t>
      </w:r>
      <w:r>
        <w:rPr>
          <w:lang w:val="de-DE"/>
        </w:rPr>
        <w:t>nk, M. Mayer, H. Hamann and N. Reinsch</w:t>
      </w:r>
    </w:p>
    <w:p w:rsidR="00F57E3C" w:rsidRPr="00B22524" w:rsidRDefault="00F57E3C" w:rsidP="00F57E3C">
      <w:pPr>
        <w:rPr>
          <w:rFonts w:cs="Arial"/>
          <w:b/>
          <w:iCs/>
          <w:color w:val="000000"/>
          <w:sz w:val="28"/>
          <w:szCs w:val="28"/>
          <w:lang w:val="en-GB"/>
        </w:rPr>
      </w:pPr>
      <w:r w:rsidRPr="00B22524">
        <w:rPr>
          <w:rFonts w:cs="Arial"/>
          <w:b/>
          <w:iCs/>
          <w:color w:val="000000"/>
          <w:sz w:val="28"/>
          <w:szCs w:val="28"/>
          <w:lang w:val="en-GB"/>
        </w:rPr>
        <w:t>Supplementary material</w:t>
      </w:r>
    </w:p>
    <w:p w:rsidR="00F57E3C" w:rsidRPr="00B22524" w:rsidRDefault="00F57E3C" w:rsidP="00F57E3C">
      <w:pPr>
        <w:rPr>
          <w:rFonts w:cs="Arial"/>
          <w:iCs/>
          <w:color w:val="000000"/>
          <w:lang w:val="en-GB"/>
        </w:rPr>
      </w:pPr>
    </w:p>
    <w:p w:rsidR="009723F9" w:rsidRPr="009723F9" w:rsidRDefault="009723F9" w:rsidP="00C666BB">
      <w:pPr>
        <w:jc w:val="both"/>
        <w:rPr>
          <w:rFonts w:cs="Arial"/>
          <w:b/>
          <w:iCs/>
          <w:color w:val="000000"/>
          <w:lang w:val="en-GB"/>
        </w:rPr>
      </w:pPr>
      <w:r w:rsidRPr="009723F9">
        <w:rPr>
          <w:rFonts w:cs="Arial"/>
          <w:b/>
          <w:iCs/>
          <w:color w:val="000000"/>
          <w:lang w:val="en-GB"/>
        </w:rPr>
        <w:t>Proof of model equivalence</w:t>
      </w:r>
    </w:p>
    <w:p w:rsidR="009723F9" w:rsidRDefault="009723F9" w:rsidP="00C666BB">
      <w:pPr>
        <w:jc w:val="both"/>
        <w:rPr>
          <w:rFonts w:cs="Arial"/>
          <w:iCs/>
          <w:color w:val="000000"/>
          <w:lang w:val="en-GB"/>
        </w:rPr>
      </w:pPr>
    </w:p>
    <w:p w:rsidR="00E4715E" w:rsidRDefault="009723F9" w:rsidP="009723F9">
      <w:pPr>
        <w:jc w:val="both"/>
        <w:rPr>
          <w:rFonts w:cs="Arial"/>
        </w:rPr>
      </w:pPr>
      <w:r>
        <w:rPr>
          <w:rFonts w:cs="Arial"/>
          <w:iCs/>
          <w:color w:val="000000"/>
          <w:lang w:val="en-GB"/>
        </w:rPr>
        <w:t xml:space="preserve">Model equivalence in Henderson’s sense (1985) requires the expectation </w:t>
      </w:r>
      <w:r w:rsidR="002820A0" w:rsidRPr="009723F9">
        <w:rPr>
          <w:rFonts w:cs="Arial"/>
          <w:iCs/>
          <w:color w:val="000000"/>
          <w:position w:val="-14"/>
          <w:lang w:val="en-GB"/>
        </w:rPr>
        <w:object w:dxaOrig="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20.25pt" o:ole="">
            <v:imagedata r:id="rId8" o:title=""/>
          </v:shape>
          <o:OLEObject Type="Embed" ProgID="Equation.DSMT4" ShapeID="_x0000_i1025" DrawAspect="Content" ObjectID="_1537969549" r:id="rId9"/>
        </w:object>
      </w:r>
      <w:r>
        <w:rPr>
          <w:rFonts w:cs="Arial"/>
          <w:iCs/>
          <w:color w:val="000000"/>
          <w:lang w:val="en-GB"/>
        </w:rPr>
        <w:t xml:space="preserve"> and variance </w:t>
      </w:r>
      <w:r w:rsidR="002820A0" w:rsidRPr="009723F9">
        <w:rPr>
          <w:rFonts w:cs="Arial"/>
          <w:iCs/>
          <w:color w:val="000000"/>
          <w:position w:val="-14"/>
          <w:lang w:val="en-GB"/>
        </w:rPr>
        <w:object w:dxaOrig="859" w:dyaOrig="400">
          <v:shape id="_x0000_i1026" type="#_x0000_t75" style="width:42.75pt;height:20.25pt" o:ole="">
            <v:imagedata r:id="rId10" o:title=""/>
          </v:shape>
          <o:OLEObject Type="Embed" ProgID="Equation.DSMT4" ShapeID="_x0000_i1026" DrawAspect="Content" ObjectID="_1537969550" r:id="rId11"/>
        </w:object>
      </w:r>
      <w:r>
        <w:rPr>
          <w:rFonts w:cs="Arial"/>
          <w:iCs/>
          <w:color w:val="000000"/>
          <w:lang w:val="en-GB"/>
        </w:rPr>
        <w:t xml:space="preserve"> of the observation vector to be identical under the specifications of both models. Both models do not differ in their fixed effects parts and all random variables have zero expectations. Therefore, </w:t>
      </w:r>
      <w:r w:rsidR="002820A0" w:rsidRPr="009723F9">
        <w:rPr>
          <w:rFonts w:cs="Arial"/>
          <w:iCs/>
          <w:color w:val="000000"/>
          <w:position w:val="-14"/>
          <w:lang w:val="en-GB"/>
        </w:rPr>
        <w:object w:dxaOrig="620" w:dyaOrig="400">
          <v:shape id="_x0000_i1027" type="#_x0000_t75" style="width:30.75pt;height:20.25pt" o:ole="">
            <v:imagedata r:id="rId8" o:title=""/>
          </v:shape>
          <o:OLEObject Type="Embed" ProgID="Equation.DSMT4" ShapeID="_x0000_i1027" DrawAspect="Content" ObjectID="_1537969551" r:id="rId12"/>
        </w:object>
      </w:r>
      <w:r w:rsidR="002820A0">
        <w:rPr>
          <w:rFonts w:cs="Arial"/>
          <w:iCs/>
          <w:color w:val="000000"/>
          <w:lang w:val="en-GB"/>
        </w:rPr>
        <w:t xml:space="preserve"> </w:t>
      </w:r>
      <w:r>
        <w:rPr>
          <w:rFonts w:cs="Arial"/>
          <w:iCs/>
          <w:color w:val="000000"/>
          <w:lang w:val="en-GB"/>
        </w:rPr>
        <w:t xml:space="preserve">is obviously </w:t>
      </w:r>
      <w:r w:rsidR="008801B2">
        <w:rPr>
          <w:rFonts w:cs="Arial"/>
        </w:rPr>
        <w:t xml:space="preserve">equal for </w:t>
      </w:r>
      <w:r w:rsidR="003B153C">
        <w:rPr>
          <w:rFonts w:cs="Arial"/>
        </w:rPr>
        <w:t xml:space="preserve">the </w:t>
      </w:r>
      <w:r w:rsidR="003B153C" w:rsidRPr="003B153C">
        <w:rPr>
          <w:rFonts w:cs="Arial"/>
          <w:i/>
        </w:rPr>
        <w:t>imprinting model</w:t>
      </w:r>
      <w:r w:rsidR="003B153C">
        <w:rPr>
          <w:rFonts w:cs="Arial"/>
        </w:rPr>
        <w:t xml:space="preserve"> and the </w:t>
      </w:r>
      <w:r w:rsidR="003B153C" w:rsidRPr="003B153C">
        <w:rPr>
          <w:rFonts w:cs="Arial"/>
          <w:i/>
        </w:rPr>
        <w:t>equivalent model</w:t>
      </w:r>
      <w:r w:rsidR="008801B2">
        <w:rPr>
          <w:rFonts w:cs="Arial"/>
        </w:rPr>
        <w:t xml:space="preserve"> with</w:t>
      </w:r>
      <w:r w:rsidR="00D61FEF">
        <w:rPr>
          <w:rFonts w:cs="Arial"/>
        </w:rPr>
        <w:t>:</w:t>
      </w:r>
    </w:p>
    <w:p w:rsidR="00D61FEF" w:rsidRDefault="00D61FEF" w:rsidP="00B46026">
      <w:pPr>
        <w:pStyle w:val="Sansinterligne"/>
        <w:rPr>
          <w:rFonts w:cs="Arial"/>
        </w:rPr>
      </w:pPr>
    </w:p>
    <w:p w:rsidR="00D61FEF" w:rsidRDefault="002820A0" w:rsidP="00D61FEF">
      <w:pPr>
        <w:pStyle w:val="Sansinterligne"/>
        <w:jc w:val="center"/>
        <w:rPr>
          <w:rFonts w:cs="Arial"/>
        </w:rPr>
      </w:pPr>
      <w:r w:rsidRPr="00D61FEF">
        <w:rPr>
          <w:rFonts w:cs="Arial"/>
          <w:position w:val="-14"/>
        </w:rPr>
        <w:object w:dxaOrig="1200" w:dyaOrig="400">
          <v:shape id="_x0000_i1028" type="#_x0000_t75" style="width:60pt;height:21pt" o:ole="">
            <v:imagedata r:id="rId13" o:title=""/>
          </v:shape>
          <o:OLEObject Type="Embed" ProgID="Equation.DSMT4" ShapeID="_x0000_i1028" DrawAspect="Content" ObjectID="_1537969552" r:id="rId14"/>
        </w:object>
      </w:r>
      <w:r w:rsidR="007018C3">
        <w:rPr>
          <w:rFonts w:cs="Arial"/>
        </w:rPr>
        <w:t>.</w:t>
      </w:r>
    </w:p>
    <w:p w:rsidR="00D61FEF" w:rsidRDefault="00D61FEF" w:rsidP="00D61FEF">
      <w:pPr>
        <w:pStyle w:val="Sansinterligne"/>
        <w:jc w:val="center"/>
        <w:rPr>
          <w:rFonts w:cs="Arial"/>
        </w:rPr>
      </w:pPr>
    </w:p>
    <w:p w:rsidR="009723F9" w:rsidRDefault="009723F9" w:rsidP="007D0D26">
      <w:pPr>
        <w:pStyle w:val="Sansinterligne"/>
        <w:rPr>
          <w:rFonts w:cs="Arial"/>
        </w:rPr>
      </w:pPr>
      <w:r>
        <w:rPr>
          <w:rFonts w:cs="Arial"/>
        </w:rPr>
        <w:t xml:space="preserve">The variance of the observations </w:t>
      </w:r>
      <w:r w:rsidR="002820A0" w:rsidRPr="009723F9">
        <w:rPr>
          <w:rFonts w:cs="Arial"/>
          <w:iCs/>
          <w:color w:val="000000"/>
          <w:position w:val="-14"/>
        </w:rPr>
        <w:object w:dxaOrig="859" w:dyaOrig="400">
          <v:shape id="_x0000_i1029" type="#_x0000_t75" style="width:42.75pt;height:20.25pt" o:ole="">
            <v:imagedata r:id="rId15" o:title=""/>
          </v:shape>
          <o:OLEObject Type="Embed" ProgID="Equation.DSMT4" ShapeID="_x0000_i1029" DrawAspect="Content" ObjectID="_1537969553" r:id="rId16"/>
        </w:object>
      </w:r>
      <w:r>
        <w:rPr>
          <w:rFonts w:cs="Arial"/>
          <w:iCs/>
          <w:color w:val="000000"/>
        </w:rPr>
        <w:t xml:space="preserve"> in the </w:t>
      </w:r>
      <w:r w:rsidRPr="003B153C">
        <w:rPr>
          <w:rFonts w:cs="Arial"/>
          <w:i/>
        </w:rPr>
        <w:t>imprinting model</w:t>
      </w:r>
      <w:r>
        <w:rPr>
          <w:rFonts w:cs="Arial"/>
        </w:rPr>
        <w:t xml:space="preserve"> can be written as:</w:t>
      </w:r>
    </w:p>
    <w:p w:rsidR="009723F9" w:rsidRDefault="00371DB2" w:rsidP="009723F9">
      <w:pPr>
        <w:pStyle w:val="Sansinterligne"/>
        <w:jc w:val="center"/>
        <w:rPr>
          <w:rFonts w:cs="Arial"/>
        </w:rPr>
      </w:pPr>
      <w:r w:rsidRPr="009723F9">
        <w:rPr>
          <w:rFonts w:cs="Arial"/>
          <w:position w:val="-34"/>
        </w:rPr>
        <w:object w:dxaOrig="4540" w:dyaOrig="800">
          <v:shape id="_x0000_i1030" type="#_x0000_t75" style="width:227.25pt;height:40.5pt" o:ole="">
            <v:imagedata r:id="rId17" o:title=""/>
          </v:shape>
          <o:OLEObject Type="Embed" ProgID="Equation.DSMT4" ShapeID="_x0000_i1030" DrawAspect="Content" ObjectID="_1537969554" r:id="rId18"/>
        </w:object>
      </w:r>
      <w:r w:rsidR="007D0D26">
        <w:rPr>
          <w:rFonts w:cs="Arial"/>
        </w:rPr>
        <w:t>.</w:t>
      </w:r>
    </w:p>
    <w:p w:rsidR="007D0D26" w:rsidRDefault="007D0D26" w:rsidP="009723F9">
      <w:pPr>
        <w:pStyle w:val="Sansinterligne"/>
        <w:jc w:val="center"/>
        <w:rPr>
          <w:rFonts w:cs="Arial"/>
        </w:rPr>
      </w:pPr>
    </w:p>
    <w:p w:rsidR="007D0D26" w:rsidRDefault="007D0D26" w:rsidP="007D0D26">
      <w:pPr>
        <w:pStyle w:val="Sansinterligne"/>
        <w:jc w:val="both"/>
        <w:rPr>
          <w:rFonts w:cs="Arial"/>
          <w:color w:val="000000" w:themeColor="text1"/>
        </w:rPr>
      </w:pPr>
      <w:r>
        <w:t xml:space="preserve">The second part of the latter sum reflects the residual variation and is identical in both models, as already explained. The first part is associated with the </w:t>
      </w:r>
      <w:r w:rsidRPr="00404B8C">
        <w:rPr>
          <w:rFonts w:cs="Arial"/>
          <w:color w:val="000000" w:themeColor="text1"/>
        </w:rPr>
        <w:t>numerator relationship matrix</w:t>
      </w:r>
      <w:r>
        <w:rPr>
          <w:rFonts w:cs="Arial"/>
          <w:color w:val="000000" w:themeColor="text1"/>
        </w:rPr>
        <w:t xml:space="preserve"> </w:t>
      </w:r>
      <w:r w:rsidRPr="00404B8C">
        <w:rPr>
          <w:rFonts w:cs="Arial"/>
          <w:color w:val="000000" w:themeColor="text1"/>
          <w:position w:val="-4"/>
        </w:rPr>
        <w:object w:dxaOrig="260" w:dyaOrig="260">
          <v:shape id="_x0000_i1031" type="#_x0000_t75" style="width:13.5pt;height:13.5pt" o:ole="">
            <v:imagedata r:id="rId19" o:title=""/>
          </v:shape>
          <o:OLEObject Type="Embed" ProgID="Equation.DSMT4" ShapeID="_x0000_i1031" DrawAspect="Content" ObjectID="_1537969555" r:id="rId20"/>
        </w:object>
      </w:r>
      <w:r>
        <w:rPr>
          <w:rFonts w:cs="Arial"/>
          <w:color w:val="000000" w:themeColor="text1"/>
        </w:rPr>
        <w:t xml:space="preserve"> and depicts the covariance of observations due to the resemblance of relatives. After multiplication this covariance becomes:</w:t>
      </w:r>
    </w:p>
    <w:p w:rsidR="007D0D26" w:rsidRDefault="007D0D26" w:rsidP="007D0D26">
      <w:pPr>
        <w:pStyle w:val="Sansinterligne"/>
      </w:pPr>
    </w:p>
    <w:tbl>
      <w:tblPr>
        <w:tblStyle w:val="Grilledutableau"/>
        <w:tblW w:w="932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 w:rsidR="007D0D26" w:rsidTr="00BD6E2A">
        <w:tc>
          <w:tcPr>
            <w:tcW w:w="8755" w:type="dxa"/>
          </w:tcPr>
          <w:p w:rsidR="007D0D26" w:rsidRDefault="00AC10F4" w:rsidP="00BD6E2A">
            <w:pPr>
              <w:pStyle w:val="Sansinterligne"/>
              <w:jc w:val="center"/>
            </w:pPr>
            <w:r w:rsidRPr="00BD6E2A">
              <w:rPr>
                <w:rFonts w:cs="Arial"/>
                <w:color w:val="000000" w:themeColor="text1"/>
                <w:position w:val="-12"/>
              </w:rPr>
              <w:object w:dxaOrig="6580" w:dyaOrig="380">
                <v:shape id="_x0000_i1032" type="#_x0000_t75" style="width:329.25pt;height:19.5pt" o:ole="">
                  <v:imagedata r:id="rId21" o:title=""/>
                </v:shape>
                <o:OLEObject Type="Embed" ProgID="Equation.DSMT4" ShapeID="_x0000_i1032" DrawAspect="Content" ObjectID="_1537969556" r:id="rId22"/>
              </w:object>
            </w:r>
            <w:r w:rsidR="007D0D26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567" w:type="dxa"/>
            <w:vAlign w:val="center"/>
          </w:tcPr>
          <w:p w:rsidR="007D0D26" w:rsidRDefault="007D0D26" w:rsidP="007D0D26">
            <w:pPr>
              <w:pStyle w:val="Sansinterligne"/>
              <w:jc w:val="center"/>
            </w:pPr>
            <w:r>
              <w:t>(1)</w:t>
            </w:r>
          </w:p>
        </w:tc>
      </w:tr>
    </w:tbl>
    <w:p w:rsidR="007D0D26" w:rsidRDefault="007D0D26" w:rsidP="007D0D26">
      <w:pPr>
        <w:pStyle w:val="Sansinterligne"/>
      </w:pPr>
    </w:p>
    <w:p w:rsidR="007D0D26" w:rsidRDefault="007D0D26" w:rsidP="007D0D26">
      <w:pPr>
        <w:pStyle w:val="Sansinterligne"/>
        <w:jc w:val="both"/>
        <w:rPr>
          <w:rFonts w:cs="Arial"/>
          <w:iCs/>
          <w:color w:val="000000"/>
        </w:rPr>
      </w:pPr>
      <w:r>
        <w:t xml:space="preserve">The variance of the observations </w:t>
      </w:r>
      <w:r w:rsidR="002820A0" w:rsidRPr="009723F9">
        <w:rPr>
          <w:rFonts w:cs="Arial"/>
          <w:iCs/>
          <w:color w:val="000000"/>
          <w:position w:val="-14"/>
        </w:rPr>
        <w:object w:dxaOrig="859" w:dyaOrig="400">
          <v:shape id="_x0000_i1033" type="#_x0000_t75" style="width:42.75pt;height:20.25pt" o:ole="">
            <v:imagedata r:id="rId23" o:title=""/>
          </v:shape>
          <o:OLEObject Type="Embed" ProgID="Equation.DSMT4" ShapeID="_x0000_i1033" DrawAspect="Content" ObjectID="_1537969557" r:id="rId24"/>
        </w:object>
      </w:r>
      <w:r>
        <w:rPr>
          <w:rFonts w:cs="Arial"/>
          <w:iCs/>
          <w:color w:val="000000"/>
        </w:rPr>
        <w:t xml:space="preserve"> in the </w:t>
      </w:r>
      <w:r w:rsidRPr="004512C4">
        <w:rPr>
          <w:rFonts w:cs="Arial"/>
          <w:i/>
          <w:iCs/>
          <w:color w:val="000000"/>
        </w:rPr>
        <w:t>equivalent model</w:t>
      </w:r>
      <w:r>
        <w:rPr>
          <w:rFonts w:cs="Arial"/>
          <w:iCs/>
          <w:color w:val="000000"/>
        </w:rPr>
        <w:t xml:space="preserve"> can be expressed in terms of the incidence matrices and variance components from the </w:t>
      </w:r>
      <w:r w:rsidRPr="004512C4">
        <w:rPr>
          <w:rFonts w:cs="Arial"/>
          <w:i/>
          <w:iCs/>
          <w:color w:val="000000"/>
        </w:rPr>
        <w:t>imprinting model</w:t>
      </w:r>
      <w:r>
        <w:rPr>
          <w:rFonts w:cs="Arial"/>
          <w:iCs/>
          <w:color w:val="000000"/>
        </w:rPr>
        <w:t xml:space="preserve">. In particular, the incidence matrix for the TA of sires as sires in the </w:t>
      </w:r>
      <w:r w:rsidRPr="004512C4">
        <w:rPr>
          <w:rFonts w:cs="Arial"/>
          <w:i/>
          <w:iCs/>
          <w:color w:val="000000"/>
        </w:rPr>
        <w:t>equivalent model</w:t>
      </w:r>
      <w:r>
        <w:rPr>
          <w:rFonts w:cs="Arial"/>
          <w:iCs/>
          <w:color w:val="000000"/>
        </w:rPr>
        <w:t xml:space="preserve"> is the sum of </w:t>
      </w:r>
      <w:r w:rsidRPr="00476533">
        <w:rPr>
          <w:rFonts w:cs="Arial"/>
          <w:position w:val="-12"/>
        </w:rPr>
        <w:object w:dxaOrig="340" w:dyaOrig="360">
          <v:shape id="_x0000_i1034" type="#_x0000_t75" style="width:16.5pt;height:18.75pt" o:ole="">
            <v:imagedata r:id="rId25" o:title=""/>
          </v:shape>
          <o:OLEObject Type="Embed" ProgID="Equation.DSMT4" ShapeID="_x0000_i1034" DrawAspect="Content" ObjectID="_1537969558" r:id="rId26"/>
        </w:object>
      </w:r>
      <w:r>
        <w:rPr>
          <w:rFonts w:cs="Arial"/>
        </w:rPr>
        <w:t xml:space="preserve"> and </w:t>
      </w:r>
      <w:r w:rsidRPr="00476533">
        <w:rPr>
          <w:rFonts w:cs="Arial"/>
          <w:position w:val="-12"/>
        </w:rPr>
        <w:object w:dxaOrig="360" w:dyaOrig="360">
          <v:shape id="_x0000_i1035" type="#_x0000_t75" style="width:18.75pt;height:18.75pt" o:ole="">
            <v:imagedata r:id="rId27" o:title=""/>
          </v:shape>
          <o:OLEObject Type="Embed" ProgID="Equation.DSMT4" ShapeID="_x0000_i1035" DrawAspect="Content" ObjectID="_1537969559" r:id="rId28"/>
        </w:object>
      </w:r>
      <w:r>
        <w:rPr>
          <w:rFonts w:cs="Arial"/>
        </w:rPr>
        <w:t xml:space="preserve"> in the </w:t>
      </w:r>
      <w:r w:rsidRPr="004512C4">
        <w:rPr>
          <w:rFonts w:cs="Arial"/>
          <w:i/>
        </w:rPr>
        <w:t>imprinting model</w:t>
      </w:r>
      <w:r>
        <w:rPr>
          <w:rFonts w:cs="Arial"/>
        </w:rPr>
        <w:t xml:space="preserve">, and the incidence matrix </w:t>
      </w:r>
      <w:r w:rsidRPr="00C666BB">
        <w:rPr>
          <w:rFonts w:cs="Arial"/>
          <w:position w:val="-12"/>
        </w:rPr>
        <w:object w:dxaOrig="320" w:dyaOrig="360">
          <v:shape id="_x0000_i1036" type="#_x0000_t75" style="width:15.75pt;height:18.75pt" o:ole="">
            <v:imagedata r:id="rId29" o:title=""/>
          </v:shape>
          <o:OLEObject Type="Embed" ProgID="Equation.DSMT4" ShapeID="_x0000_i1036" DrawAspect="Content" ObjectID="_1537969560" r:id="rId30"/>
        </w:object>
      </w:r>
      <w:r>
        <w:rPr>
          <w:rFonts w:cs="Arial"/>
        </w:rPr>
        <w:t xml:space="preserve"> for imprinting effects in the </w:t>
      </w:r>
      <w:r w:rsidRPr="004512C4">
        <w:rPr>
          <w:rFonts w:cs="Arial"/>
          <w:i/>
        </w:rPr>
        <w:t>equivalent model</w:t>
      </w:r>
      <w:r>
        <w:rPr>
          <w:rFonts w:cs="Arial"/>
        </w:rPr>
        <w:t xml:space="preserve"> equals </w:t>
      </w:r>
      <w:r w:rsidRPr="00476533">
        <w:rPr>
          <w:rFonts w:cs="Arial"/>
          <w:position w:val="-12"/>
        </w:rPr>
        <w:object w:dxaOrig="360" w:dyaOrig="360">
          <v:shape id="_x0000_i1037" type="#_x0000_t75" style="width:18.75pt;height:18.75pt" o:ole="">
            <v:imagedata r:id="rId27" o:title=""/>
          </v:shape>
          <o:OLEObject Type="Embed" ProgID="Equation.DSMT4" ShapeID="_x0000_i1037" DrawAspect="Content" ObjectID="_1537969561" r:id="rId31"/>
        </w:object>
      </w:r>
      <w:r>
        <w:rPr>
          <w:rFonts w:cs="Arial"/>
        </w:rPr>
        <w:t xml:space="preserve"> from the </w:t>
      </w:r>
      <w:r w:rsidRPr="004512C4">
        <w:rPr>
          <w:rFonts w:cs="Arial"/>
          <w:i/>
        </w:rPr>
        <w:t>imprinting model</w:t>
      </w:r>
      <w:r>
        <w:rPr>
          <w:rFonts w:cs="Arial"/>
        </w:rPr>
        <w:t xml:space="preserve">, as explained before. Therefore, </w:t>
      </w:r>
      <w:r w:rsidR="002820A0" w:rsidRPr="009723F9">
        <w:rPr>
          <w:rFonts w:cs="Arial"/>
          <w:iCs/>
          <w:color w:val="000000"/>
          <w:position w:val="-14"/>
        </w:rPr>
        <w:object w:dxaOrig="859" w:dyaOrig="400">
          <v:shape id="_x0000_i1038" type="#_x0000_t75" style="width:42.75pt;height:20.25pt" o:ole="">
            <v:imagedata r:id="rId32" o:title=""/>
          </v:shape>
          <o:OLEObject Type="Embed" ProgID="Equation.DSMT4" ShapeID="_x0000_i1038" DrawAspect="Content" ObjectID="_1537969562" r:id="rId33"/>
        </w:object>
      </w:r>
      <w:r>
        <w:rPr>
          <w:rFonts w:cs="Arial"/>
          <w:iCs/>
          <w:color w:val="000000"/>
        </w:rPr>
        <w:t xml:space="preserve"> in the </w:t>
      </w:r>
      <w:r w:rsidRPr="004512C4">
        <w:rPr>
          <w:rFonts w:cs="Arial"/>
          <w:i/>
          <w:iCs/>
          <w:color w:val="000000"/>
        </w:rPr>
        <w:t>equivalent model</w:t>
      </w:r>
      <w:r>
        <w:rPr>
          <w:rFonts w:cs="Arial"/>
          <w:iCs/>
          <w:color w:val="000000"/>
        </w:rPr>
        <w:t xml:space="preserve"> becomes:</w:t>
      </w:r>
    </w:p>
    <w:p w:rsidR="007D0D26" w:rsidRDefault="007D0D26" w:rsidP="007D0D26">
      <w:pPr>
        <w:pStyle w:val="Sansinterligne"/>
      </w:pPr>
    </w:p>
    <w:p w:rsidR="007D0D26" w:rsidRPr="007D0D26" w:rsidRDefault="00371DB2" w:rsidP="007D0D26">
      <w:pPr>
        <w:pStyle w:val="Sansinterligne"/>
        <w:jc w:val="center"/>
      </w:pPr>
      <w:r w:rsidRPr="009E599B">
        <w:rPr>
          <w:rFonts w:cs="Arial"/>
          <w:color w:val="000000" w:themeColor="text1"/>
          <w:position w:val="-34"/>
        </w:rPr>
        <w:object w:dxaOrig="7580" w:dyaOrig="800">
          <v:shape id="_x0000_i1039" type="#_x0000_t75" style="width:379.5pt;height:40.5pt" o:ole="">
            <v:imagedata r:id="rId34" o:title=""/>
          </v:shape>
          <o:OLEObject Type="Embed" ProgID="Equation.DSMT4" ShapeID="_x0000_i1039" DrawAspect="Content" ObjectID="_1537969563" r:id="rId35"/>
        </w:object>
      </w:r>
      <w:r w:rsidR="007D0D26">
        <w:rPr>
          <w:rFonts w:cs="Arial"/>
          <w:color w:val="000000" w:themeColor="text1"/>
        </w:rPr>
        <w:t>.</w:t>
      </w:r>
    </w:p>
    <w:p w:rsidR="00404B8C" w:rsidRDefault="00404B8C" w:rsidP="003945DE">
      <w:pPr>
        <w:pStyle w:val="Sansinterligne"/>
        <w:jc w:val="both"/>
        <w:rPr>
          <w:rFonts w:cs="Arial"/>
        </w:rPr>
      </w:pPr>
    </w:p>
    <w:p w:rsidR="007F3EDD" w:rsidRDefault="007F3EDD" w:rsidP="003945DE">
      <w:pPr>
        <w:pStyle w:val="Sansinterligne"/>
        <w:jc w:val="both"/>
        <w:rPr>
          <w:rFonts w:cs="Arial"/>
          <w:color w:val="000000" w:themeColor="text1"/>
        </w:rPr>
      </w:pPr>
      <w:r>
        <w:rPr>
          <w:rFonts w:cs="Arial"/>
        </w:rPr>
        <w:t xml:space="preserve">Again we consider only the first part of this sum, which is associated with </w:t>
      </w:r>
      <w:r w:rsidRPr="00404B8C">
        <w:rPr>
          <w:rFonts w:cs="Arial"/>
          <w:color w:val="000000" w:themeColor="text1"/>
          <w:position w:val="-4"/>
        </w:rPr>
        <w:object w:dxaOrig="260" w:dyaOrig="260">
          <v:shape id="_x0000_i1040" type="#_x0000_t75" style="width:13.5pt;height:13.5pt" o:ole="">
            <v:imagedata r:id="rId19" o:title=""/>
          </v:shape>
          <o:OLEObject Type="Embed" ProgID="Equation.DSMT4" ShapeID="_x0000_i1040" DrawAspect="Content" ObjectID="_1537969564" r:id="rId36"/>
        </w:object>
      </w:r>
      <w:r w:rsidR="000F5F3B">
        <w:rPr>
          <w:rFonts w:cs="Arial"/>
          <w:color w:val="000000" w:themeColor="text1"/>
        </w:rPr>
        <w:t xml:space="preserve">, </w:t>
      </w:r>
      <w:r>
        <w:rPr>
          <w:rFonts w:cs="Arial"/>
          <w:color w:val="000000" w:themeColor="text1"/>
        </w:rPr>
        <w:t>in detail. Multiplication gives:</w:t>
      </w:r>
    </w:p>
    <w:p w:rsidR="007F3EDD" w:rsidRDefault="007F3EDD" w:rsidP="003945DE">
      <w:pPr>
        <w:pStyle w:val="Sansinterligne"/>
        <w:jc w:val="both"/>
        <w:rPr>
          <w:rFonts w:cs="Arial"/>
        </w:rPr>
      </w:pPr>
    </w:p>
    <w:p w:rsidR="007F3EDD" w:rsidRDefault="00AC10F4" w:rsidP="00EB07A7">
      <w:pPr>
        <w:pStyle w:val="Sansinterligne"/>
        <w:rPr>
          <w:rFonts w:cs="Arial"/>
        </w:rPr>
      </w:pPr>
      <w:r w:rsidRPr="00BD6E2A">
        <w:rPr>
          <w:rFonts w:cs="Arial"/>
          <w:position w:val="-142"/>
        </w:rPr>
        <w:object w:dxaOrig="9320" w:dyaOrig="3140">
          <v:shape id="_x0000_i1041" type="#_x0000_t75" style="width:466.5pt;height:157.5pt" o:ole="">
            <v:imagedata r:id="rId37" o:title=""/>
          </v:shape>
          <o:OLEObject Type="Embed" ProgID="Equation.DSMT4" ShapeID="_x0000_i1041" DrawAspect="Content" ObjectID="_1537969565" r:id="rId38"/>
        </w:object>
      </w:r>
    </w:p>
    <w:p w:rsidR="00563488" w:rsidRPr="000F5F3B" w:rsidRDefault="000F5F3B" w:rsidP="000F5F3B">
      <w:pPr>
        <w:pStyle w:val="Sansinterligne"/>
        <w:jc w:val="both"/>
      </w:pPr>
      <w:r>
        <w:t xml:space="preserve">The latter is identical to </w:t>
      </w:r>
      <w:r w:rsidR="002820A0">
        <w:t>term</w:t>
      </w:r>
      <w:r>
        <w:t xml:space="preserve"> 1. In conclusion both conditions from Henderson (1985) are fulfilled and model equivalence has been formally proofed. </w:t>
      </w:r>
    </w:p>
    <w:p w:rsidR="00563488" w:rsidRDefault="00563488" w:rsidP="00A64AC3">
      <w:pPr>
        <w:pStyle w:val="Sansinterligne"/>
        <w:rPr>
          <w:rFonts w:cs="Arial"/>
        </w:rPr>
      </w:pPr>
    </w:p>
    <w:p w:rsidR="00C5061C" w:rsidRDefault="00C5061C" w:rsidP="00A64AC3">
      <w:pPr>
        <w:pStyle w:val="Sansinterligne"/>
        <w:rPr>
          <w:rFonts w:cs="Arial"/>
        </w:rPr>
      </w:pPr>
    </w:p>
    <w:p w:rsidR="00563488" w:rsidRDefault="00563488" w:rsidP="00A64AC3">
      <w:pPr>
        <w:pStyle w:val="Sansinterligne"/>
        <w:rPr>
          <w:rFonts w:cs="Arial"/>
          <w:b/>
        </w:rPr>
      </w:pPr>
      <w:r w:rsidRPr="00563488">
        <w:rPr>
          <w:rFonts w:cs="Arial"/>
          <w:b/>
        </w:rPr>
        <w:t>References</w:t>
      </w:r>
    </w:p>
    <w:p w:rsidR="00563488" w:rsidRPr="00563488" w:rsidRDefault="00563488" w:rsidP="00A64AC3">
      <w:pPr>
        <w:pStyle w:val="Sansinterligne"/>
        <w:rPr>
          <w:rFonts w:cs="Arial"/>
          <w:b/>
        </w:rPr>
      </w:pPr>
    </w:p>
    <w:p w:rsidR="00A64AC3" w:rsidRDefault="00563488" w:rsidP="000558AD">
      <w:pPr>
        <w:pStyle w:val="Sansinterligne"/>
        <w:ind w:left="709" w:hanging="709"/>
        <w:rPr>
          <w:rFonts w:cs="Arial"/>
        </w:rPr>
      </w:pPr>
      <w:r w:rsidRPr="00563488">
        <w:rPr>
          <w:rFonts w:cs="Arial"/>
        </w:rPr>
        <w:t>Henderson CR 1985. Equivalent linear models to reduce computations. Journal of Dairy Science 68, 2267–2277.</w:t>
      </w:r>
    </w:p>
    <w:p w:rsidR="00A64AC3" w:rsidRDefault="00A64AC3" w:rsidP="00A64AC3">
      <w:pPr>
        <w:pStyle w:val="Sansinterligne"/>
        <w:jc w:val="center"/>
        <w:rPr>
          <w:rFonts w:cs="Arial"/>
          <w:iCs/>
          <w:color w:val="000000"/>
        </w:rPr>
      </w:pPr>
    </w:p>
    <w:p w:rsidR="00C37394" w:rsidRDefault="00C37394" w:rsidP="00A64AC3">
      <w:pPr>
        <w:pStyle w:val="Sansinterligne"/>
        <w:jc w:val="center"/>
        <w:rPr>
          <w:rFonts w:cs="Arial"/>
          <w:iCs/>
          <w:color w:val="000000"/>
        </w:rPr>
      </w:pPr>
    </w:p>
    <w:p w:rsidR="00C37394" w:rsidRPr="00476533" w:rsidRDefault="00C37394" w:rsidP="00C37394">
      <w:pPr>
        <w:pStyle w:val="Sansinterligne"/>
        <w:rPr>
          <w:rFonts w:cs="Arial"/>
        </w:rPr>
      </w:pPr>
    </w:p>
    <w:sectPr w:rsidR="00C37394" w:rsidRPr="00476533" w:rsidSect="00F57E3C">
      <w:footerReference w:type="default" r:id="rId3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6F6" w:rsidRDefault="00BB66F6" w:rsidP="00E358D7">
      <w:r>
        <w:separator/>
      </w:r>
    </w:p>
  </w:endnote>
  <w:endnote w:type="continuationSeparator" w:id="0">
    <w:p w:rsidR="00BB66F6" w:rsidRDefault="00BB66F6" w:rsidP="00E3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B6" w:rsidRDefault="000E25B6">
    <w:pPr>
      <w:pStyle w:val="Pieddepage"/>
      <w:jc w:val="center"/>
    </w:pPr>
  </w:p>
  <w:p w:rsidR="000E25B6" w:rsidRDefault="000E25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6F6" w:rsidRDefault="00BB66F6" w:rsidP="00E358D7">
      <w:r>
        <w:separator/>
      </w:r>
    </w:p>
  </w:footnote>
  <w:footnote w:type="continuationSeparator" w:id="0">
    <w:p w:rsidR="00BB66F6" w:rsidRDefault="00BB66F6" w:rsidP="00E3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D61A5"/>
    <w:multiLevelType w:val="hybridMultilevel"/>
    <w:tmpl w:val="E11EF76E"/>
    <w:lvl w:ilvl="0" w:tplc="E7A4FD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C5C66"/>
    <w:multiLevelType w:val="hybridMultilevel"/>
    <w:tmpl w:val="AC40C27A"/>
    <w:lvl w:ilvl="0" w:tplc="D4265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B2180"/>
    <w:multiLevelType w:val="hybridMultilevel"/>
    <w:tmpl w:val="2CD8B3E2"/>
    <w:lvl w:ilvl="0" w:tplc="125EE5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B4A81"/>
    <w:multiLevelType w:val="hybridMultilevel"/>
    <w:tmpl w:val="957E749A"/>
    <w:lvl w:ilvl="0" w:tplc="83C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3F"/>
    <w:rsid w:val="000063D4"/>
    <w:rsid w:val="0000708B"/>
    <w:rsid w:val="00007DB1"/>
    <w:rsid w:val="000127BC"/>
    <w:rsid w:val="00021910"/>
    <w:rsid w:val="000558AD"/>
    <w:rsid w:val="00070BAC"/>
    <w:rsid w:val="0007384E"/>
    <w:rsid w:val="00076DC8"/>
    <w:rsid w:val="00077174"/>
    <w:rsid w:val="00081656"/>
    <w:rsid w:val="000975AE"/>
    <w:rsid w:val="000C4E8D"/>
    <w:rsid w:val="000D0F51"/>
    <w:rsid w:val="000D7DB3"/>
    <w:rsid w:val="000E13AF"/>
    <w:rsid w:val="000E25B6"/>
    <w:rsid w:val="000F2B1A"/>
    <w:rsid w:val="000F2CB4"/>
    <w:rsid w:val="000F5F3B"/>
    <w:rsid w:val="0011472B"/>
    <w:rsid w:val="001356B7"/>
    <w:rsid w:val="00140441"/>
    <w:rsid w:val="00141B16"/>
    <w:rsid w:val="00150660"/>
    <w:rsid w:val="00151937"/>
    <w:rsid w:val="00176688"/>
    <w:rsid w:val="00184405"/>
    <w:rsid w:val="00196335"/>
    <w:rsid w:val="001B77A0"/>
    <w:rsid w:val="001C24C0"/>
    <w:rsid w:val="001E7436"/>
    <w:rsid w:val="001F4C26"/>
    <w:rsid w:val="00200D12"/>
    <w:rsid w:val="00201B28"/>
    <w:rsid w:val="00210C0B"/>
    <w:rsid w:val="00212A31"/>
    <w:rsid w:val="00217ACA"/>
    <w:rsid w:val="002248EE"/>
    <w:rsid w:val="00224F12"/>
    <w:rsid w:val="00231567"/>
    <w:rsid w:val="002409AF"/>
    <w:rsid w:val="00261229"/>
    <w:rsid w:val="00262DD8"/>
    <w:rsid w:val="00270F9E"/>
    <w:rsid w:val="0027186D"/>
    <w:rsid w:val="002820A0"/>
    <w:rsid w:val="00286D10"/>
    <w:rsid w:val="002912E1"/>
    <w:rsid w:val="00294320"/>
    <w:rsid w:val="002A632B"/>
    <w:rsid w:val="002B748B"/>
    <w:rsid w:val="002C783F"/>
    <w:rsid w:val="002D6778"/>
    <w:rsid w:val="002E5A0D"/>
    <w:rsid w:val="002E79BC"/>
    <w:rsid w:val="002F56A8"/>
    <w:rsid w:val="0030214A"/>
    <w:rsid w:val="00304A2F"/>
    <w:rsid w:val="003128AF"/>
    <w:rsid w:val="0032359F"/>
    <w:rsid w:val="0032757F"/>
    <w:rsid w:val="00336D95"/>
    <w:rsid w:val="0034086A"/>
    <w:rsid w:val="0036347F"/>
    <w:rsid w:val="003651AB"/>
    <w:rsid w:val="00371DB2"/>
    <w:rsid w:val="00372926"/>
    <w:rsid w:val="0038617F"/>
    <w:rsid w:val="003945DE"/>
    <w:rsid w:val="00397A0A"/>
    <w:rsid w:val="003A5A37"/>
    <w:rsid w:val="003B153C"/>
    <w:rsid w:val="003C18F0"/>
    <w:rsid w:val="003F2AB6"/>
    <w:rsid w:val="00404B8C"/>
    <w:rsid w:val="00407BF1"/>
    <w:rsid w:val="00414E60"/>
    <w:rsid w:val="004155A0"/>
    <w:rsid w:val="00421347"/>
    <w:rsid w:val="00430342"/>
    <w:rsid w:val="00433BE6"/>
    <w:rsid w:val="00443B18"/>
    <w:rsid w:val="0044705D"/>
    <w:rsid w:val="004512C4"/>
    <w:rsid w:val="004611C2"/>
    <w:rsid w:val="00465E0D"/>
    <w:rsid w:val="00466E38"/>
    <w:rsid w:val="0046765E"/>
    <w:rsid w:val="00472C05"/>
    <w:rsid w:val="00476533"/>
    <w:rsid w:val="004A1E62"/>
    <w:rsid w:val="004B6DCD"/>
    <w:rsid w:val="004D54CC"/>
    <w:rsid w:val="004E628F"/>
    <w:rsid w:val="004E6DBA"/>
    <w:rsid w:val="004F223A"/>
    <w:rsid w:val="00501451"/>
    <w:rsid w:val="00505677"/>
    <w:rsid w:val="00505C26"/>
    <w:rsid w:val="0051341B"/>
    <w:rsid w:val="00513A67"/>
    <w:rsid w:val="005141DE"/>
    <w:rsid w:val="00543D27"/>
    <w:rsid w:val="005520C1"/>
    <w:rsid w:val="00563488"/>
    <w:rsid w:val="00563642"/>
    <w:rsid w:val="00563C58"/>
    <w:rsid w:val="00570847"/>
    <w:rsid w:val="005837DA"/>
    <w:rsid w:val="005C46D4"/>
    <w:rsid w:val="005C6518"/>
    <w:rsid w:val="005E6A36"/>
    <w:rsid w:val="005F0ACF"/>
    <w:rsid w:val="005F6867"/>
    <w:rsid w:val="005F791B"/>
    <w:rsid w:val="006106BA"/>
    <w:rsid w:val="00627D17"/>
    <w:rsid w:val="0064520D"/>
    <w:rsid w:val="00652B2F"/>
    <w:rsid w:val="00663BC9"/>
    <w:rsid w:val="00663D86"/>
    <w:rsid w:val="00670C2B"/>
    <w:rsid w:val="006769CC"/>
    <w:rsid w:val="00677DEB"/>
    <w:rsid w:val="00697B32"/>
    <w:rsid w:val="006B1B26"/>
    <w:rsid w:val="006C0436"/>
    <w:rsid w:val="007018C3"/>
    <w:rsid w:val="007045EC"/>
    <w:rsid w:val="00713777"/>
    <w:rsid w:val="00726630"/>
    <w:rsid w:val="00735B85"/>
    <w:rsid w:val="007472F6"/>
    <w:rsid w:val="007526C9"/>
    <w:rsid w:val="007612DF"/>
    <w:rsid w:val="00771A2B"/>
    <w:rsid w:val="007772B7"/>
    <w:rsid w:val="00797677"/>
    <w:rsid w:val="007B5ADB"/>
    <w:rsid w:val="007C1EB3"/>
    <w:rsid w:val="007C48A4"/>
    <w:rsid w:val="007D0D26"/>
    <w:rsid w:val="007D3C6E"/>
    <w:rsid w:val="007F3EDD"/>
    <w:rsid w:val="00803DAA"/>
    <w:rsid w:val="0082204D"/>
    <w:rsid w:val="00826F71"/>
    <w:rsid w:val="00841701"/>
    <w:rsid w:val="00855EBF"/>
    <w:rsid w:val="008801B2"/>
    <w:rsid w:val="008821B0"/>
    <w:rsid w:val="00897B84"/>
    <w:rsid w:val="008D5D38"/>
    <w:rsid w:val="008F0C04"/>
    <w:rsid w:val="008F359B"/>
    <w:rsid w:val="00901C0B"/>
    <w:rsid w:val="00904840"/>
    <w:rsid w:val="009256FB"/>
    <w:rsid w:val="009338C7"/>
    <w:rsid w:val="00935A63"/>
    <w:rsid w:val="00951B14"/>
    <w:rsid w:val="009723F9"/>
    <w:rsid w:val="00973B80"/>
    <w:rsid w:val="00974E43"/>
    <w:rsid w:val="00984107"/>
    <w:rsid w:val="00986350"/>
    <w:rsid w:val="009972E3"/>
    <w:rsid w:val="009C01C9"/>
    <w:rsid w:val="009D353D"/>
    <w:rsid w:val="009E15DA"/>
    <w:rsid w:val="009E599B"/>
    <w:rsid w:val="00A030C9"/>
    <w:rsid w:val="00A1510B"/>
    <w:rsid w:val="00A15736"/>
    <w:rsid w:val="00A31AD2"/>
    <w:rsid w:val="00A321E0"/>
    <w:rsid w:val="00A4196D"/>
    <w:rsid w:val="00A51FC5"/>
    <w:rsid w:val="00A603E6"/>
    <w:rsid w:val="00A6196D"/>
    <w:rsid w:val="00A61DC2"/>
    <w:rsid w:val="00A64AC3"/>
    <w:rsid w:val="00A64F3A"/>
    <w:rsid w:val="00A76F1C"/>
    <w:rsid w:val="00A77689"/>
    <w:rsid w:val="00A93A76"/>
    <w:rsid w:val="00AA7F3A"/>
    <w:rsid w:val="00AB1155"/>
    <w:rsid w:val="00AB35C1"/>
    <w:rsid w:val="00AC10F4"/>
    <w:rsid w:val="00AC1492"/>
    <w:rsid w:val="00AD41FE"/>
    <w:rsid w:val="00AD6C29"/>
    <w:rsid w:val="00AF2D41"/>
    <w:rsid w:val="00B140A7"/>
    <w:rsid w:val="00B1571F"/>
    <w:rsid w:val="00B17936"/>
    <w:rsid w:val="00B22524"/>
    <w:rsid w:val="00B33611"/>
    <w:rsid w:val="00B46026"/>
    <w:rsid w:val="00B50D14"/>
    <w:rsid w:val="00B55078"/>
    <w:rsid w:val="00B6027B"/>
    <w:rsid w:val="00B93412"/>
    <w:rsid w:val="00B937E1"/>
    <w:rsid w:val="00B93AC3"/>
    <w:rsid w:val="00B9737F"/>
    <w:rsid w:val="00BA20F1"/>
    <w:rsid w:val="00BA5AAC"/>
    <w:rsid w:val="00BA5FB6"/>
    <w:rsid w:val="00BB07C0"/>
    <w:rsid w:val="00BB66F6"/>
    <w:rsid w:val="00BC0B66"/>
    <w:rsid w:val="00BC123B"/>
    <w:rsid w:val="00BC434A"/>
    <w:rsid w:val="00BC55B7"/>
    <w:rsid w:val="00BD6E2A"/>
    <w:rsid w:val="00BE326B"/>
    <w:rsid w:val="00BE65AA"/>
    <w:rsid w:val="00C02F3F"/>
    <w:rsid w:val="00C10CB1"/>
    <w:rsid w:val="00C152B7"/>
    <w:rsid w:val="00C200C3"/>
    <w:rsid w:val="00C36CAD"/>
    <w:rsid w:val="00C37394"/>
    <w:rsid w:val="00C4019C"/>
    <w:rsid w:val="00C43D61"/>
    <w:rsid w:val="00C443CB"/>
    <w:rsid w:val="00C5061C"/>
    <w:rsid w:val="00C528E5"/>
    <w:rsid w:val="00C53C51"/>
    <w:rsid w:val="00C64A68"/>
    <w:rsid w:val="00C666BB"/>
    <w:rsid w:val="00C66CA7"/>
    <w:rsid w:val="00C9159A"/>
    <w:rsid w:val="00C91A14"/>
    <w:rsid w:val="00CA283C"/>
    <w:rsid w:val="00CA7476"/>
    <w:rsid w:val="00CB22F5"/>
    <w:rsid w:val="00CC1DF9"/>
    <w:rsid w:val="00CC2607"/>
    <w:rsid w:val="00CE29EF"/>
    <w:rsid w:val="00CE3595"/>
    <w:rsid w:val="00CE36A5"/>
    <w:rsid w:val="00CF4828"/>
    <w:rsid w:val="00D210EB"/>
    <w:rsid w:val="00D36F96"/>
    <w:rsid w:val="00D4515C"/>
    <w:rsid w:val="00D50F53"/>
    <w:rsid w:val="00D5348E"/>
    <w:rsid w:val="00D604AD"/>
    <w:rsid w:val="00D612C7"/>
    <w:rsid w:val="00D61FEF"/>
    <w:rsid w:val="00D65FBE"/>
    <w:rsid w:val="00D67752"/>
    <w:rsid w:val="00D70470"/>
    <w:rsid w:val="00D83EE3"/>
    <w:rsid w:val="00DA0E6B"/>
    <w:rsid w:val="00DA336C"/>
    <w:rsid w:val="00DA415F"/>
    <w:rsid w:val="00DB6D1F"/>
    <w:rsid w:val="00DD0FE0"/>
    <w:rsid w:val="00DE1F08"/>
    <w:rsid w:val="00DF0682"/>
    <w:rsid w:val="00DF7698"/>
    <w:rsid w:val="00E16EDF"/>
    <w:rsid w:val="00E207E6"/>
    <w:rsid w:val="00E253CA"/>
    <w:rsid w:val="00E3006F"/>
    <w:rsid w:val="00E358D7"/>
    <w:rsid w:val="00E42B62"/>
    <w:rsid w:val="00E4715E"/>
    <w:rsid w:val="00E55D93"/>
    <w:rsid w:val="00E5667D"/>
    <w:rsid w:val="00E64752"/>
    <w:rsid w:val="00E64B13"/>
    <w:rsid w:val="00E67F02"/>
    <w:rsid w:val="00E73AE3"/>
    <w:rsid w:val="00E853B3"/>
    <w:rsid w:val="00E90090"/>
    <w:rsid w:val="00E93B8F"/>
    <w:rsid w:val="00E95BE1"/>
    <w:rsid w:val="00EB07A7"/>
    <w:rsid w:val="00EB4779"/>
    <w:rsid w:val="00EE7F95"/>
    <w:rsid w:val="00F139E3"/>
    <w:rsid w:val="00F1407A"/>
    <w:rsid w:val="00F25997"/>
    <w:rsid w:val="00F44021"/>
    <w:rsid w:val="00F53422"/>
    <w:rsid w:val="00F57E3C"/>
    <w:rsid w:val="00F648DE"/>
    <w:rsid w:val="00F662A7"/>
    <w:rsid w:val="00F70915"/>
    <w:rsid w:val="00F72115"/>
    <w:rsid w:val="00F820DC"/>
    <w:rsid w:val="00F83D9B"/>
    <w:rsid w:val="00FB77B3"/>
    <w:rsid w:val="00FD3753"/>
    <w:rsid w:val="00FE0830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9895A94-A398-43D5-84F0-9060B36E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0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668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2E5A0D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ar"/>
    <w:uiPriority w:val="99"/>
    <w:qFormat/>
    <w:rsid w:val="00973B80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973B80"/>
    <w:rPr>
      <w:rFonts w:ascii="Arial" w:hAnsi="Arial"/>
      <w:b/>
      <w:sz w:val="24"/>
      <w:szCs w:val="24"/>
      <w:lang w:val="en-GB" w:eastAsia="fr-FR" w:bidi="ar-SA"/>
    </w:rPr>
  </w:style>
  <w:style w:type="character" w:styleId="Numrodeligne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CC1DF9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2E5A0D"/>
    <w:rPr>
      <w:rFonts w:ascii="Arial" w:hAnsi="Arial"/>
      <w:b/>
      <w:sz w:val="24"/>
      <w:szCs w:val="24"/>
      <w:lang w:val="en-GB" w:eastAsia="fr-FR" w:bidi="ar-SA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val="en-GB"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styleId="Marquedecommentaire">
    <w:name w:val="annotation reference"/>
    <w:uiPriority w:val="99"/>
    <w:semiHidden/>
    <w:rsid w:val="0071377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1377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71377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rsid w:val="008F0C04"/>
    <w:rPr>
      <w:sz w:val="18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176688"/>
    <w:rPr>
      <w:rFonts w:ascii="Arial" w:hAnsi="Arial"/>
      <w:sz w:val="18"/>
      <w:lang w:val="nl-NL" w:eastAsia="nl-NL"/>
    </w:rPr>
  </w:style>
  <w:style w:type="table" w:styleId="Grilledutableau">
    <w:name w:val="Table Grid"/>
    <w:basedOn w:val="TableauNormal"/>
    <w:uiPriority w:val="9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val="en-GB" w:eastAsia="fr-FR"/>
    </w:rPr>
  </w:style>
  <w:style w:type="table" w:customStyle="1" w:styleId="ANMTableGrid">
    <w:name w:val="ANM Table Grid"/>
    <w:basedOn w:val="Grilledutableau"/>
    <w:uiPriority w:val="99"/>
    <w:rsid w:val="007D3C6E"/>
    <w:tblPr/>
    <w:tcPr>
      <w:vAlign w:val="center"/>
    </w:tcPr>
  </w:style>
  <w:style w:type="table" w:customStyle="1" w:styleId="ANMTablegrid0">
    <w:name w:val="ANM Table grid"/>
    <w:basedOn w:val="Grilledutableau"/>
    <w:uiPriority w:val="99"/>
    <w:rsid w:val="00A31AD2"/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val="en-GB" w:eastAsia="fr-FR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val="en-GB" w:eastAsia="fr-FR"/>
    </w:rPr>
  </w:style>
  <w:style w:type="table" w:customStyle="1" w:styleId="ANMTabStubheading">
    <w:name w:val="ANM Tab Stub heading"/>
    <w:basedOn w:val="Grilledutableau"/>
    <w:uiPriority w:val="99"/>
    <w:rsid w:val="00627D17"/>
    <w:tblPr/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val="en-GB" w:eastAsia="fr-FR"/>
    </w:rPr>
  </w:style>
  <w:style w:type="paragraph" w:customStyle="1" w:styleId="ANMTabrowheading">
    <w:name w:val="ANM Tab row heading"/>
    <w:rsid w:val="00397A0A"/>
    <w:pPr>
      <w:spacing w:line="360" w:lineRule="auto"/>
    </w:pPr>
    <w:rPr>
      <w:rFonts w:ascii="Arial" w:hAnsi="Arial"/>
      <w:sz w:val="22"/>
      <w:szCs w:val="22"/>
      <w:lang w:val="en-GB" w:eastAsia="fr-FR"/>
    </w:rPr>
  </w:style>
  <w:style w:type="paragraph" w:customStyle="1" w:styleId="ANMTabrowsubheading">
    <w:name w:val="ANM Tab row subheading"/>
    <w:next w:val="ANMTabrowheading"/>
    <w:rsid w:val="00397A0A"/>
    <w:pPr>
      <w:spacing w:line="360" w:lineRule="auto"/>
      <w:ind w:firstLine="142"/>
    </w:pPr>
    <w:rPr>
      <w:rFonts w:ascii="Arial" w:hAnsi="Arial"/>
      <w:sz w:val="22"/>
      <w:szCs w:val="22"/>
      <w:lang w:val="en-GB" w:eastAsia="fr-FR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val="en-GB" w:eastAsia="fr-FR"/>
    </w:rPr>
  </w:style>
  <w:style w:type="paragraph" w:customStyle="1" w:styleId="ANMTabFootnote">
    <w:name w:val="ANM Tab Footnote"/>
    <w:rsid w:val="00E3006F"/>
    <w:pPr>
      <w:spacing w:line="360" w:lineRule="auto"/>
    </w:pPr>
    <w:rPr>
      <w:rFonts w:ascii="Arial" w:hAnsi="Arial"/>
      <w:szCs w:val="24"/>
      <w:lang w:val="en-GB" w:eastAsia="fr-FR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176688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  <w:lang w:val="en-GB"/>
    </w:rPr>
  </w:style>
  <w:style w:type="character" w:customStyle="1" w:styleId="st">
    <w:name w:val="st"/>
    <w:basedOn w:val="Policepardfaut"/>
    <w:semiHidden/>
    <w:rsid w:val="00B46026"/>
  </w:style>
  <w:style w:type="character" w:styleId="Accentuation">
    <w:name w:val="Emphasis"/>
    <w:uiPriority w:val="20"/>
    <w:qFormat/>
    <w:locked/>
    <w:rsid w:val="00B46026"/>
    <w:rPr>
      <w:i/>
      <w:iCs/>
    </w:rPr>
  </w:style>
  <w:style w:type="character" w:styleId="Lienhypertexte">
    <w:name w:val="Hyperlink"/>
    <w:uiPriority w:val="99"/>
    <w:unhideWhenUsed/>
    <w:rsid w:val="00B46026"/>
    <w:rPr>
      <w:color w:val="0000FF"/>
      <w:u w:val="single"/>
    </w:rPr>
  </w:style>
  <w:style w:type="paragraph" w:styleId="Sansinterligne">
    <w:name w:val="No Spacing"/>
    <w:uiPriority w:val="1"/>
    <w:qFormat/>
    <w:rsid w:val="009723F9"/>
    <w:rPr>
      <w:rFonts w:ascii="Arial" w:eastAsia="Calibri" w:hAnsi="Arial"/>
      <w:sz w:val="24"/>
      <w:szCs w:val="22"/>
      <w:lang w:val="en-GB"/>
    </w:rPr>
  </w:style>
  <w:style w:type="character" w:customStyle="1" w:styleId="sa8294f4d">
    <w:name w:val="s_a8294f4d"/>
    <w:basedOn w:val="Policepardfaut"/>
    <w:semiHidden/>
    <w:rsid w:val="00B46026"/>
  </w:style>
  <w:style w:type="paragraph" w:styleId="En-tte">
    <w:name w:val="header"/>
    <w:basedOn w:val="Normal"/>
    <w:link w:val="En-tteC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Pieddepage">
    <w:name w:val="footer"/>
    <w:basedOn w:val="Normal"/>
    <w:link w:val="PieddepageC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358D7"/>
    <w:rPr>
      <w:rFonts w:ascii="Arial" w:hAnsi="Arial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6701C-9EFD-44E1-9556-91E78B37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Manuscript title (style 'ANM paper title')</vt:lpstr>
      <vt:lpstr>Manuscript title (style 'ANM paper title')</vt:lpstr>
    </vt:vector>
  </TitlesOfParts>
  <Company>Hewlett-Packard Company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title (style 'ANM paper title')</dc:title>
  <dc:creator>Famille</dc:creator>
  <cp:lastModifiedBy>Nadine Miraux</cp:lastModifiedBy>
  <cp:revision>2</cp:revision>
  <cp:lastPrinted>2016-05-19T09:42:00Z</cp:lastPrinted>
  <dcterms:created xsi:type="dcterms:W3CDTF">2016-10-14T14:59:00Z</dcterms:created>
  <dcterms:modified xsi:type="dcterms:W3CDTF">2016-10-14T14:59:00Z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