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E3" w:rsidRPr="00B542E3" w:rsidRDefault="00B542E3" w:rsidP="00B542E3">
      <w:pPr>
        <w:pStyle w:val="ANMTabtitle"/>
        <w:spacing w:line="240" w:lineRule="auto"/>
        <w:rPr>
          <w:rStyle w:val="ANMheading1Car"/>
          <w:i w:val="0"/>
        </w:rPr>
      </w:pPr>
      <w:r w:rsidRPr="00B542E3">
        <w:rPr>
          <w:rStyle w:val="ANMheading1Car"/>
          <w:i w:val="0"/>
        </w:rPr>
        <w:t xml:space="preserve">Properties and aromatic profile of dry-fermented sausages produced from </w:t>
      </w:r>
      <w:proofErr w:type="spellStart"/>
      <w:r w:rsidRPr="00B542E3">
        <w:rPr>
          <w:rStyle w:val="ANMheading1Car"/>
          <w:i w:val="0"/>
        </w:rPr>
        <w:t>Krškopolje</w:t>
      </w:r>
      <w:proofErr w:type="spellEnd"/>
      <w:r w:rsidRPr="00B542E3">
        <w:rPr>
          <w:rStyle w:val="ANMheading1Car"/>
          <w:i w:val="0"/>
        </w:rPr>
        <w:t xml:space="preserve"> pigs reared under organic and conventional rearing regime</w:t>
      </w:r>
    </w:p>
    <w:p w:rsidR="00B542E3" w:rsidRDefault="00B542E3" w:rsidP="00B542E3">
      <w:pPr>
        <w:pStyle w:val="ANMTabtitle"/>
        <w:spacing w:line="240" w:lineRule="auto"/>
        <w:rPr>
          <w:rStyle w:val="ANMheading1Car"/>
          <w:b w:val="0"/>
          <w:i w:val="0"/>
        </w:rPr>
      </w:pPr>
    </w:p>
    <w:p w:rsidR="00B542E3" w:rsidRPr="00B542E3" w:rsidRDefault="00B542E3" w:rsidP="00B542E3">
      <w:pPr>
        <w:pStyle w:val="ANMTabtitle"/>
        <w:spacing w:line="240" w:lineRule="auto"/>
        <w:rPr>
          <w:rStyle w:val="ANMheading1Car"/>
          <w:b w:val="0"/>
          <w:i w:val="0"/>
        </w:rPr>
      </w:pPr>
      <w:r w:rsidRPr="00B542E3">
        <w:rPr>
          <w:rStyle w:val="ANMheading1Car"/>
          <w:b w:val="0"/>
          <w:i w:val="0"/>
        </w:rPr>
        <w:t xml:space="preserve">M. Škrlep, M. </w:t>
      </w:r>
      <w:proofErr w:type="spellStart"/>
      <w:r w:rsidRPr="00B542E3">
        <w:rPr>
          <w:rStyle w:val="ANMheading1Car"/>
          <w:b w:val="0"/>
          <w:i w:val="0"/>
        </w:rPr>
        <w:t>Čandek</w:t>
      </w:r>
      <w:proofErr w:type="spellEnd"/>
      <w:r w:rsidRPr="00B542E3">
        <w:rPr>
          <w:rStyle w:val="ANMheading1Car"/>
          <w:b w:val="0"/>
          <w:i w:val="0"/>
        </w:rPr>
        <w:t>-Potokar, U. Tomažin, N. Batorek Lukač and M. Flores</w:t>
      </w:r>
    </w:p>
    <w:p w:rsidR="00B542E3" w:rsidRPr="00B542E3" w:rsidRDefault="00B542E3" w:rsidP="00B542E3">
      <w:pPr>
        <w:pStyle w:val="ANMTabtitle"/>
        <w:spacing w:line="240" w:lineRule="auto"/>
        <w:rPr>
          <w:rStyle w:val="ANMheading1Car"/>
          <w:b w:val="0"/>
          <w:i w:val="0"/>
        </w:rPr>
      </w:pPr>
    </w:p>
    <w:p w:rsidR="00404CA6" w:rsidRPr="00274B36" w:rsidRDefault="00404CA6" w:rsidP="00B542E3">
      <w:pPr>
        <w:pStyle w:val="ANMTabtitle"/>
        <w:spacing w:line="240" w:lineRule="auto"/>
      </w:pPr>
      <w:r w:rsidRPr="00404CA6">
        <w:rPr>
          <w:rStyle w:val="ANMheading1Car"/>
          <w:i w:val="0"/>
        </w:rPr>
        <w:t>Supplementary Table S1</w:t>
      </w:r>
      <w:r w:rsidRPr="00274B36">
        <w:t xml:space="preserve"> Composition of feed mixtures</w:t>
      </w:r>
      <w:r w:rsidR="00EC24D0" w:rsidRPr="00085179">
        <w:rPr>
          <w:vertAlign w:val="superscript"/>
        </w:rPr>
        <w:t>1</w:t>
      </w:r>
      <w:r w:rsidR="00C86B0F">
        <w:t xml:space="preserve"> and performance of </w:t>
      </w:r>
      <w:r w:rsidR="00347CEC" w:rsidRPr="00347CEC">
        <w:t>pigs raised in organic (ECO) and conventional (CON) production system</w:t>
      </w:r>
    </w:p>
    <w:tbl>
      <w:tblPr>
        <w:tblStyle w:val="ANMTabStubheading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701"/>
      </w:tblGrid>
      <w:tr w:rsidR="00404CA6" w:rsidRPr="00A71345" w:rsidTr="00085179">
        <w:trPr>
          <w:trHeight w:val="34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04CA6" w:rsidRPr="00404CA6" w:rsidRDefault="00404CA6" w:rsidP="00404CA6">
            <w:pPr>
              <w:keepNext/>
              <w:spacing w:before="0" w:after="0"/>
              <w:rPr>
                <w:color w:val="auto"/>
                <w:sz w:val="22"/>
                <w:szCs w:val="22"/>
                <w:lang w:val="en-GB"/>
              </w:rPr>
            </w:pPr>
            <w:bookmarkStart w:id="0" w:name="OLE_LINK1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4CA6" w:rsidRPr="00404CA6" w:rsidRDefault="00347CEC" w:rsidP="00404CA6">
            <w:pPr>
              <w:pStyle w:val="ANMTabcolumnheading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</w:t>
            </w:r>
            <w:r w:rsidRPr="00404C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4CA6" w:rsidRPr="00404CA6" w:rsidRDefault="00347CEC" w:rsidP="00404CA6">
            <w:pPr>
              <w:pStyle w:val="ANMTabcolumnheading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 w:rsidRPr="00404CA6">
              <w:rPr>
                <w:sz w:val="22"/>
                <w:szCs w:val="22"/>
              </w:rPr>
              <w:t xml:space="preserve"> 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tcBorders>
              <w:top w:val="single" w:sz="4" w:space="0" w:color="auto"/>
            </w:tcBorders>
            <w:noWrap/>
            <w:hideMark/>
          </w:tcPr>
          <w:p w:rsidR="00404CA6" w:rsidRPr="00404CA6" w:rsidRDefault="00404CA6" w:rsidP="00404CA6">
            <w:pPr>
              <w:pStyle w:val="ANMTabrow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Ingredients (%)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Barley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76.4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74.5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Soybean cake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6.0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Sunflower cake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8.0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Wheat feed flour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5.4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Molasses (sugarcane)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3.0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Calcium carbonate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0.96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Salt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0.34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proofErr w:type="spellStart"/>
            <w:r w:rsidRPr="00404CA6">
              <w:rPr>
                <w:sz w:val="22"/>
                <w:szCs w:val="22"/>
              </w:rPr>
              <w:t>Monocalcium</w:t>
            </w:r>
            <w:proofErr w:type="spellEnd"/>
            <w:r w:rsidRPr="00404CA6">
              <w:rPr>
                <w:sz w:val="22"/>
                <w:szCs w:val="22"/>
              </w:rPr>
              <w:t xml:space="preserve"> phosphate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0.69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0.24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Vitamin and trace mineral mixture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0.50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 xml:space="preserve">Amino acid supplement 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0.87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Lignosulphonate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0.25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  <w:lang w:val="fr-FR"/>
              </w:rPr>
            </w:pPr>
            <w:r w:rsidRPr="00404CA6">
              <w:rPr>
                <w:sz w:val="22"/>
                <w:szCs w:val="22"/>
                <w:lang w:val="fr-FR"/>
              </w:rPr>
              <w:t>Mineral supplement (Fe, Cu, Zn, Mn, Se)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/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Vitamin A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/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Vitamin E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/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Chemical composition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bookmarkEnd w:id="0"/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Dry matter (DM; g/kg)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876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880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Crude ash (g/kg DM)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49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B542E3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  <w:lang w:val="fr-FR"/>
              </w:rPr>
            </w:pPr>
            <w:r w:rsidRPr="00B542E3">
              <w:rPr>
                <w:sz w:val="22"/>
                <w:szCs w:val="22"/>
                <w:lang w:val="fr-FR"/>
              </w:rPr>
              <w:t>Crude protein (g/kg DM)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154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Crude fat (g/kg DM)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noWrap/>
            <w:hideMark/>
          </w:tcPr>
          <w:p w:rsidR="00404CA6" w:rsidRPr="00B542E3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  <w:lang w:val="fr-FR"/>
              </w:rPr>
            </w:pPr>
            <w:r w:rsidRPr="00B542E3">
              <w:rPr>
                <w:sz w:val="22"/>
                <w:szCs w:val="22"/>
                <w:lang w:val="fr-FR"/>
              </w:rPr>
              <w:t>Crude fibre (g/kg DM)</w:t>
            </w:r>
          </w:p>
        </w:tc>
        <w:tc>
          <w:tcPr>
            <w:tcW w:w="1559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701" w:type="dxa"/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tcBorders>
              <w:bottom w:val="nil"/>
            </w:tcBorders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r w:rsidRPr="00404CA6">
              <w:rPr>
                <w:sz w:val="22"/>
                <w:szCs w:val="22"/>
              </w:rPr>
              <w:t>Nitrogen-free extract (g/kg DM)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697</w:t>
            </w:r>
          </w:p>
        </w:tc>
      </w:tr>
      <w:tr w:rsidR="00404CA6" w:rsidRPr="00274B36" w:rsidTr="00085179">
        <w:trPr>
          <w:trHeight w:val="340"/>
        </w:trPr>
        <w:tc>
          <w:tcPr>
            <w:tcW w:w="4361" w:type="dxa"/>
            <w:tcBorders>
              <w:top w:val="nil"/>
              <w:bottom w:val="nil"/>
            </w:tcBorders>
            <w:noWrap/>
            <w:hideMark/>
          </w:tcPr>
          <w:p w:rsidR="00404CA6" w:rsidRPr="00404CA6" w:rsidRDefault="00404CA6" w:rsidP="00404CA6">
            <w:pPr>
              <w:pStyle w:val="ANMTabrowsubheading"/>
              <w:spacing w:line="240" w:lineRule="auto"/>
              <w:rPr>
                <w:sz w:val="22"/>
                <w:szCs w:val="22"/>
              </w:rPr>
            </w:pPr>
            <w:proofErr w:type="spellStart"/>
            <w:r w:rsidRPr="00404CA6">
              <w:rPr>
                <w:sz w:val="22"/>
                <w:szCs w:val="22"/>
              </w:rPr>
              <w:t>Metabolisable</w:t>
            </w:r>
            <w:proofErr w:type="spellEnd"/>
            <w:r w:rsidRPr="00404CA6">
              <w:rPr>
                <w:sz w:val="22"/>
                <w:szCs w:val="22"/>
              </w:rPr>
              <w:t xml:space="preserve"> energy (MJ/kg DM)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14.2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404CA6" w:rsidRPr="00404CA6" w:rsidRDefault="00404CA6" w:rsidP="00404CA6">
            <w:pPr>
              <w:pStyle w:val="ANMTabcolumnheading"/>
              <w:spacing w:line="240" w:lineRule="auto"/>
              <w:rPr>
                <w:color w:val="000000"/>
                <w:sz w:val="22"/>
                <w:szCs w:val="22"/>
              </w:rPr>
            </w:pPr>
            <w:r w:rsidRPr="00404CA6">
              <w:rPr>
                <w:color w:val="000000"/>
                <w:sz w:val="22"/>
                <w:szCs w:val="22"/>
              </w:rPr>
              <w:t>14.4</w:t>
            </w:r>
          </w:p>
        </w:tc>
      </w:tr>
      <w:tr w:rsidR="005D7F32" w:rsidRPr="00274B36" w:rsidTr="00085179">
        <w:trPr>
          <w:trHeight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C7C0E" w:rsidRPr="00085179" w:rsidRDefault="002C7C0E" w:rsidP="00085179">
            <w:pPr>
              <w:pStyle w:val="ANMTabrowheading"/>
              <w:spacing w:line="240" w:lineRule="auto"/>
              <w:rPr>
                <w:rFonts w:cs="Arial"/>
                <w:sz w:val="22"/>
                <w:szCs w:val="22"/>
              </w:rPr>
            </w:pPr>
            <w:r w:rsidRPr="00085179">
              <w:rPr>
                <w:rFonts w:cs="Arial"/>
                <w:sz w:val="22"/>
                <w:szCs w:val="22"/>
              </w:rPr>
              <w:t>Pig performance</w:t>
            </w:r>
            <w:r w:rsidR="005D7F32" w:rsidRPr="00085179">
              <w:rPr>
                <w:rFonts w:cs="Arial"/>
                <w:sz w:val="22"/>
                <w:szCs w:val="22"/>
              </w:rPr>
              <w:t xml:space="preserve"> traits</w:t>
            </w:r>
            <w:r w:rsidR="00EC24D0" w:rsidRPr="00085179">
              <w:rPr>
                <w:rFonts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0E" w:rsidRPr="00085179" w:rsidRDefault="002C7C0E" w:rsidP="00085179">
            <w:pPr>
              <w:pStyle w:val="ANMTabrowheading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0E" w:rsidRPr="00085179" w:rsidRDefault="002C7C0E" w:rsidP="00085179">
            <w:pPr>
              <w:pStyle w:val="ANMTabrowheading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D7F32" w:rsidRPr="00274B36" w:rsidTr="00085179">
        <w:trPr>
          <w:trHeight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F32" w:rsidRPr="00085179" w:rsidRDefault="008A53EC" w:rsidP="008A53EC">
            <w:pPr>
              <w:pStyle w:val="ANMTabrowsubheading"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Initial l</w:t>
            </w:r>
            <w:r w:rsidR="002C7C0E" w:rsidRPr="00085179">
              <w:rPr>
                <w:rFonts w:cs="Arial"/>
                <w:sz w:val="22"/>
                <w:szCs w:val="22"/>
              </w:rPr>
              <w:t>ive weight, 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7F32" w:rsidRPr="00085179" w:rsidRDefault="002C7C0E" w:rsidP="00C86B0F">
            <w:pPr>
              <w:pStyle w:val="ANMTabcolumnheading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085179">
              <w:rPr>
                <w:rFonts w:cs="Arial"/>
                <w:color w:val="000000"/>
                <w:sz w:val="22"/>
                <w:szCs w:val="22"/>
              </w:rPr>
              <w:t>66.4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±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7F32" w:rsidRPr="00085179" w:rsidRDefault="002C7C0E" w:rsidP="00C86B0F">
            <w:pPr>
              <w:pStyle w:val="ANMTabcolumnheading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085179">
              <w:rPr>
                <w:rFonts w:cs="Arial"/>
                <w:color w:val="000000"/>
                <w:sz w:val="22"/>
                <w:szCs w:val="22"/>
              </w:rPr>
              <w:t>69.4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±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11.8</w:t>
            </w:r>
          </w:p>
        </w:tc>
      </w:tr>
      <w:tr w:rsidR="005D7F32" w:rsidRPr="00274B36" w:rsidTr="00085179">
        <w:trPr>
          <w:trHeight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F32" w:rsidRPr="00085179" w:rsidRDefault="008A53EC" w:rsidP="008A53EC">
            <w:pPr>
              <w:pStyle w:val="ANMTabrowsubheading"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Final l</w:t>
            </w:r>
            <w:r w:rsidRPr="00085179">
              <w:rPr>
                <w:rFonts w:cs="Arial"/>
                <w:sz w:val="22"/>
                <w:szCs w:val="22"/>
              </w:rPr>
              <w:t xml:space="preserve">ive </w:t>
            </w:r>
            <w:r w:rsidR="002C7C0E" w:rsidRPr="00085179">
              <w:rPr>
                <w:rFonts w:cs="Arial"/>
                <w:sz w:val="22"/>
                <w:szCs w:val="22"/>
              </w:rPr>
              <w:t>weight, 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7F32" w:rsidRPr="00085179" w:rsidRDefault="002C7C0E" w:rsidP="00C86B0F">
            <w:pPr>
              <w:pStyle w:val="ANMTabcolumnheading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085179">
              <w:rPr>
                <w:rFonts w:cs="Arial"/>
                <w:color w:val="000000"/>
                <w:sz w:val="22"/>
                <w:szCs w:val="22"/>
              </w:rPr>
              <w:t>124.3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±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7F32" w:rsidRPr="00085179" w:rsidRDefault="002C7C0E" w:rsidP="00C86B0F">
            <w:pPr>
              <w:pStyle w:val="ANMTabcolumnheading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085179">
              <w:rPr>
                <w:rFonts w:cs="Arial"/>
                <w:color w:val="000000"/>
                <w:sz w:val="22"/>
                <w:szCs w:val="22"/>
              </w:rPr>
              <w:t>120.4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±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15.8</w:t>
            </w:r>
          </w:p>
        </w:tc>
      </w:tr>
      <w:tr w:rsidR="00430A59" w:rsidRPr="00274B36" w:rsidTr="00085179">
        <w:trPr>
          <w:trHeight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0A59" w:rsidRPr="00085179" w:rsidRDefault="00430A59" w:rsidP="00430A59">
            <w:pPr>
              <w:pStyle w:val="ANMTabrowsubheading"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</w:rPr>
            </w:pPr>
            <w:r w:rsidRPr="00430A59">
              <w:rPr>
                <w:rFonts w:cs="Arial"/>
                <w:sz w:val="22"/>
                <w:szCs w:val="22"/>
              </w:rPr>
              <w:t>Feed disappearance, kg/pig/day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30A59" w:rsidRPr="00430A59" w:rsidRDefault="00430A59" w:rsidP="00C86B0F">
            <w:pPr>
              <w:pStyle w:val="ANMTabcolumnheading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430A59">
              <w:rPr>
                <w:rFonts w:cs="Arial"/>
                <w:color w:val="000000"/>
                <w:sz w:val="22"/>
                <w:szCs w:val="22"/>
              </w:rPr>
              <w:t>3.37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0A59" w:rsidRPr="00430A59" w:rsidRDefault="00430A59" w:rsidP="00C86B0F">
            <w:pPr>
              <w:pStyle w:val="ANMTabcolumnheading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430A59">
              <w:rPr>
                <w:rFonts w:cs="Arial"/>
                <w:color w:val="000000"/>
                <w:sz w:val="22"/>
                <w:szCs w:val="22"/>
              </w:rPr>
              <w:t>3.38</w:t>
            </w:r>
          </w:p>
        </w:tc>
      </w:tr>
      <w:tr w:rsidR="005D7F32" w:rsidRPr="00274B36" w:rsidTr="00085179">
        <w:trPr>
          <w:trHeight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F32" w:rsidRPr="00085179" w:rsidRDefault="002C7C0E" w:rsidP="008A53EC">
            <w:pPr>
              <w:pStyle w:val="ANMTabrowsubheading"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 w:val="22"/>
                <w:szCs w:val="22"/>
              </w:rPr>
            </w:pPr>
            <w:r w:rsidRPr="00085179">
              <w:rPr>
                <w:rFonts w:cs="Arial"/>
                <w:sz w:val="22"/>
                <w:szCs w:val="22"/>
              </w:rPr>
              <w:t>Daily gain, g/day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7F32" w:rsidRPr="00085179" w:rsidRDefault="002C7C0E" w:rsidP="00C86B0F">
            <w:pPr>
              <w:pStyle w:val="ANMTabcolumnheading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085179">
              <w:rPr>
                <w:rFonts w:cs="Arial"/>
                <w:color w:val="000000"/>
                <w:sz w:val="22"/>
                <w:szCs w:val="22"/>
              </w:rPr>
              <w:t>792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±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7F32" w:rsidRPr="00085179" w:rsidRDefault="002C7C0E" w:rsidP="00C86B0F">
            <w:pPr>
              <w:pStyle w:val="ANMTabcolumnheading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085179">
              <w:rPr>
                <w:rFonts w:cs="Arial"/>
                <w:color w:val="000000"/>
                <w:sz w:val="22"/>
                <w:szCs w:val="22"/>
              </w:rPr>
              <w:t>700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±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151.</w:t>
            </w:r>
          </w:p>
        </w:tc>
      </w:tr>
      <w:tr w:rsidR="005D7F32" w:rsidRPr="00274B36" w:rsidTr="00085179">
        <w:trPr>
          <w:trHeight w:val="340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D7F32" w:rsidRPr="00085179" w:rsidRDefault="002C7C0E" w:rsidP="00C86B0F">
            <w:pPr>
              <w:pStyle w:val="ANMTabrowsubheading"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 w:val="22"/>
                <w:szCs w:val="22"/>
              </w:rPr>
            </w:pPr>
            <w:r w:rsidRPr="00085179">
              <w:rPr>
                <w:rFonts w:cs="Arial"/>
                <w:sz w:val="22"/>
                <w:szCs w:val="22"/>
              </w:rPr>
              <w:t>Back fat thickness at last rib,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F32" w:rsidRPr="00085179" w:rsidRDefault="002C7C0E" w:rsidP="00C86B0F">
            <w:pPr>
              <w:pStyle w:val="ANMTabcolumnheading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085179">
              <w:rPr>
                <w:rFonts w:cs="Arial"/>
                <w:color w:val="000000"/>
                <w:sz w:val="22"/>
                <w:szCs w:val="22"/>
              </w:rPr>
              <w:t>37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±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F32" w:rsidRPr="00085179" w:rsidRDefault="002C7C0E" w:rsidP="00C86B0F">
            <w:pPr>
              <w:pStyle w:val="ANMTabcolumnheading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085179">
              <w:rPr>
                <w:rFonts w:cs="Arial"/>
                <w:color w:val="000000"/>
                <w:sz w:val="22"/>
                <w:szCs w:val="22"/>
              </w:rPr>
              <w:t>37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±</w:t>
            </w:r>
            <w:r w:rsidR="00085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85179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</w:tbl>
    <w:p w:rsidR="00EC24D0" w:rsidRPr="00085179" w:rsidRDefault="00430A59" w:rsidP="00085179">
      <w:pPr>
        <w:pStyle w:val="ANMTabFootnote"/>
        <w:spacing w:line="240" w:lineRule="auto"/>
      </w:pPr>
      <w:r w:rsidRPr="00085179">
        <w:rPr>
          <w:vertAlign w:val="superscript"/>
        </w:rPr>
        <w:t>1</w:t>
      </w:r>
      <w:r>
        <w:t>Daily f</w:t>
      </w:r>
      <w:r>
        <w:t xml:space="preserve">eed </w:t>
      </w:r>
      <w:r w:rsidR="00EC24D0">
        <w:t>allowance was limited to 3.5 kg/</w:t>
      </w:r>
      <w:r>
        <w:t>pig</w:t>
      </w:r>
      <w:r>
        <w:t xml:space="preserve"> </w:t>
      </w:r>
      <w:r w:rsidR="00EC24D0">
        <w:t>for both treatments</w:t>
      </w:r>
      <w:r>
        <w:t xml:space="preserve">, actually </w:t>
      </w:r>
      <w:r>
        <w:t xml:space="preserve">registered </w:t>
      </w:r>
      <w:r>
        <w:t>feed disappearance of the concentrate was 3.37 and 3.38 kg/pig/day for ECO and CON group, respectively. P</w:t>
      </w:r>
      <w:r w:rsidR="00EC24D0">
        <w:t xml:space="preserve">igs in organic rearing system received alfalfa hay on </w:t>
      </w:r>
      <w:r w:rsidR="00EC24D0" w:rsidRPr="00085179">
        <w:rPr>
          <w:i/>
        </w:rPr>
        <w:t>ad libitum</w:t>
      </w:r>
      <w:r w:rsidR="00EC24D0">
        <w:t xml:space="preserve"> basis.</w:t>
      </w:r>
    </w:p>
    <w:p w:rsidR="002C7C0E" w:rsidRDefault="00EC24D0" w:rsidP="00085179">
      <w:pPr>
        <w:pStyle w:val="ANMTabFootnote"/>
        <w:spacing w:line="240" w:lineRule="auto"/>
      </w:pPr>
      <w:r>
        <w:rPr>
          <w:vertAlign w:val="superscript"/>
        </w:rPr>
        <w:t>2</w:t>
      </w:r>
      <w:r w:rsidR="00C86B0F">
        <w:t>The values are reported as means±standard deviation. Statistical analysis showed no significant differences (P&lt;0.05) among the treatments (data not shown).</w:t>
      </w:r>
    </w:p>
    <w:p w:rsidR="00623C21" w:rsidRDefault="00623C21"/>
    <w:sectPr w:rsidR="00623C21" w:rsidSect="0039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3C21"/>
    <w:rsid w:val="00085179"/>
    <w:rsid w:val="00094276"/>
    <w:rsid w:val="002C7C0E"/>
    <w:rsid w:val="00347CEC"/>
    <w:rsid w:val="003956CD"/>
    <w:rsid w:val="00404CA6"/>
    <w:rsid w:val="00430A59"/>
    <w:rsid w:val="004B5AD2"/>
    <w:rsid w:val="005B028B"/>
    <w:rsid w:val="005B3E11"/>
    <w:rsid w:val="005D7F32"/>
    <w:rsid w:val="00623C21"/>
    <w:rsid w:val="006B5930"/>
    <w:rsid w:val="0071538D"/>
    <w:rsid w:val="007B0AA2"/>
    <w:rsid w:val="008526A3"/>
    <w:rsid w:val="008A53EC"/>
    <w:rsid w:val="008C1DFF"/>
    <w:rsid w:val="00970F16"/>
    <w:rsid w:val="00B542E3"/>
    <w:rsid w:val="00C10785"/>
    <w:rsid w:val="00C86B0F"/>
    <w:rsid w:val="00CD7893"/>
    <w:rsid w:val="00DF7BAB"/>
    <w:rsid w:val="00E55B50"/>
    <w:rsid w:val="00E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3C21"/>
    <w:pPr>
      <w:spacing w:before="360" w:after="120" w:line="240" w:lineRule="auto"/>
    </w:pPr>
    <w:rPr>
      <w:rFonts w:ascii="Times New Roman" w:hAnsi="Times New Roman"/>
      <w:color w:val="404040" w:themeColor="text1" w:themeTint="BF"/>
      <w:sz w:val="24"/>
      <w:szCs w:val="20"/>
      <w:lang w:val="es-ES" w:eastAsia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1538D"/>
    <w:pPr>
      <w:spacing w:after="0" w:line="240" w:lineRule="auto"/>
    </w:pPr>
    <w:rPr>
      <w:color w:val="404040" w:themeColor="text1" w:themeTint="BF"/>
      <w:sz w:val="18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Mheading1">
    <w:name w:val="ANM heading 1"/>
    <w:next w:val="Navaden"/>
    <w:link w:val="ANMheading1Car"/>
    <w:uiPriority w:val="99"/>
    <w:qFormat/>
    <w:rsid w:val="00404CA6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404CA6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title">
    <w:name w:val="ANM Tab title"/>
    <w:next w:val="Navaden"/>
    <w:qFormat/>
    <w:rsid w:val="00404CA6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Tabcolumnheading">
    <w:name w:val="ANM Tab column heading"/>
    <w:rsid w:val="00404CA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lang w:val="en-GB" w:eastAsia="fr-FR"/>
    </w:rPr>
  </w:style>
  <w:style w:type="table" w:customStyle="1" w:styleId="ANMTabStubheading">
    <w:name w:val="ANM Tab Stub heading"/>
    <w:basedOn w:val="Tabelamrea"/>
    <w:uiPriority w:val="99"/>
    <w:rsid w:val="00404CA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color w:val="auto"/>
      <w:sz w:val="20"/>
      <w:lang w:val="sl-SI" w:eastAsia="sl-SI"/>
    </w:rPr>
    <w:tblPr/>
    <w:tcPr>
      <w:vAlign w:val="bottom"/>
    </w:tcPr>
  </w:style>
  <w:style w:type="paragraph" w:customStyle="1" w:styleId="ANMTabrowheading">
    <w:name w:val="ANM Tab row heading"/>
    <w:rsid w:val="00404CA6"/>
    <w:pPr>
      <w:spacing w:after="0" w:line="360" w:lineRule="auto"/>
    </w:pPr>
    <w:rPr>
      <w:rFonts w:ascii="Arial" w:eastAsia="Times New Roman" w:hAnsi="Arial" w:cs="Times New Roman"/>
      <w:lang w:val="en-GB" w:eastAsia="fr-FR"/>
    </w:rPr>
  </w:style>
  <w:style w:type="paragraph" w:customStyle="1" w:styleId="ANMTabrowsubheading">
    <w:name w:val="ANM Tab row subheading"/>
    <w:next w:val="ANMTabrowheading"/>
    <w:rsid w:val="00404CA6"/>
    <w:pPr>
      <w:spacing w:after="0" w:line="360" w:lineRule="auto"/>
      <w:ind w:firstLine="142"/>
    </w:pPr>
    <w:rPr>
      <w:rFonts w:ascii="Arial" w:eastAsia="Times New Roman" w:hAnsi="Arial" w:cs="Times New Roman"/>
      <w:lang w:val="en-GB" w:eastAsia="fr-F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7B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7BAB"/>
    <w:rPr>
      <w:rFonts w:ascii="Tahoma" w:hAnsi="Tahoma" w:cs="Tahoma"/>
      <w:color w:val="404040" w:themeColor="text1" w:themeTint="BF"/>
      <w:sz w:val="16"/>
      <w:szCs w:val="16"/>
      <w:lang w:val="es-ES" w:eastAsia="es-ES"/>
    </w:rPr>
  </w:style>
  <w:style w:type="paragraph" w:customStyle="1" w:styleId="ANMsuperscript">
    <w:name w:val="ANM superscript"/>
    <w:next w:val="Navaden"/>
    <w:link w:val="ANMsuperscriptCar"/>
    <w:uiPriority w:val="99"/>
    <w:qFormat/>
    <w:rsid w:val="006B5930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6B5930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paragraph" w:customStyle="1" w:styleId="ANMTabFootnote">
    <w:name w:val="ANM Tab Footnote"/>
    <w:rsid w:val="006B5930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3C21"/>
    <w:pPr>
      <w:spacing w:before="360" w:after="120" w:line="240" w:lineRule="auto"/>
    </w:pPr>
    <w:rPr>
      <w:rFonts w:ascii="Times New Roman" w:hAnsi="Times New Roman"/>
      <w:color w:val="404040" w:themeColor="text1" w:themeTint="BF"/>
      <w:sz w:val="24"/>
      <w:szCs w:val="20"/>
      <w:lang w:val="es-ES" w:eastAsia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01CF-D3C9-4925-8B44-C75D9014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Tomažin</dc:creator>
  <cp:lastModifiedBy>Reviewer</cp:lastModifiedBy>
  <cp:revision>2</cp:revision>
  <dcterms:created xsi:type="dcterms:W3CDTF">2017-07-06T10:35:00Z</dcterms:created>
  <dcterms:modified xsi:type="dcterms:W3CDTF">2017-07-06T10:35:00Z</dcterms:modified>
</cp:coreProperties>
</file>