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7" w:rsidRPr="00DD616D" w:rsidRDefault="00EE67C7" w:rsidP="00390970">
      <w:pPr>
        <w:spacing w:line="360" w:lineRule="auto"/>
        <w:rPr>
          <w:rFonts w:ascii="Arial" w:hAnsi="Arial" w:cs="Arial"/>
          <w:kern w:val="0"/>
          <w:sz w:val="24"/>
          <w:szCs w:val="20"/>
          <w:lang w:val="en-GB"/>
        </w:rPr>
      </w:pPr>
      <w:r w:rsidRPr="00DD616D">
        <w:rPr>
          <w:rFonts w:ascii="Arial" w:eastAsia="Times New Roman" w:hAnsi="Arial" w:cs="Arial"/>
          <w:i/>
          <w:kern w:val="0"/>
          <w:sz w:val="24"/>
          <w:szCs w:val="20"/>
          <w:lang w:val="en-GB" w:eastAsia="en-GB"/>
        </w:rPr>
        <w:t xml:space="preserve">animal </w:t>
      </w:r>
      <w:r w:rsidRPr="00DD616D">
        <w:rPr>
          <w:rFonts w:ascii="Arial" w:eastAsia="Times New Roman" w:hAnsi="Arial" w:cs="Arial"/>
          <w:kern w:val="0"/>
          <w:sz w:val="24"/>
          <w:szCs w:val="20"/>
          <w:lang w:val="en-GB" w:eastAsia="en-GB"/>
        </w:rPr>
        <w:t>journal</w:t>
      </w:r>
    </w:p>
    <w:p w:rsidR="00EE67C7" w:rsidRPr="00DD616D" w:rsidRDefault="00EE67C7" w:rsidP="00390970">
      <w:pPr>
        <w:spacing w:line="360" w:lineRule="auto"/>
        <w:rPr>
          <w:rFonts w:ascii="Arial" w:hAnsi="Arial" w:cs="Arial"/>
          <w:bCs/>
          <w:kern w:val="0"/>
          <w:sz w:val="24"/>
          <w:szCs w:val="24"/>
        </w:rPr>
      </w:pPr>
    </w:p>
    <w:p w:rsidR="00390970" w:rsidRPr="00DD616D" w:rsidRDefault="00390970" w:rsidP="00390970">
      <w:pPr>
        <w:spacing w:line="360" w:lineRule="auto"/>
        <w:rPr>
          <w:rFonts w:ascii="Arial" w:eastAsia="SimSun" w:hAnsi="Arial" w:cs="Arial"/>
          <w:b/>
          <w:bCs/>
          <w:kern w:val="0"/>
          <w:sz w:val="24"/>
          <w:szCs w:val="24"/>
        </w:rPr>
      </w:pP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 xml:space="preserve">High-grain diet feeding altered the composition and functions of the rumen bacterial community and caused the damage to the laminar tissues of goats </w:t>
      </w:r>
    </w:p>
    <w:p w:rsidR="00390970" w:rsidRPr="00DD616D" w:rsidRDefault="00390970" w:rsidP="00390970">
      <w:pPr>
        <w:spacing w:line="360" w:lineRule="auto"/>
        <w:ind w:rightChars="254" w:right="533"/>
        <w:jc w:val="left"/>
        <w:outlineLvl w:val="0"/>
        <w:rPr>
          <w:rFonts w:ascii="Arial" w:eastAsia="SimSun" w:hAnsi="Arial" w:cs="Arial"/>
          <w:bCs/>
          <w:kern w:val="0"/>
          <w:sz w:val="24"/>
          <w:szCs w:val="24"/>
        </w:rPr>
      </w:pPr>
    </w:p>
    <w:p w:rsidR="00390970" w:rsidRPr="00DD616D" w:rsidRDefault="00390970" w:rsidP="00390970">
      <w:pPr>
        <w:spacing w:line="360" w:lineRule="auto"/>
        <w:ind w:rightChars="254" w:right="533"/>
        <w:jc w:val="left"/>
        <w:outlineLvl w:val="0"/>
        <w:rPr>
          <w:rFonts w:ascii="Arial" w:eastAsia="SimSun" w:hAnsi="Arial" w:cs="Arial"/>
          <w:b/>
          <w:bCs/>
          <w:kern w:val="0"/>
          <w:sz w:val="24"/>
          <w:szCs w:val="24"/>
        </w:rPr>
      </w:pP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Ruiyang Zhang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  <w:vertAlign w:val="superscript"/>
        </w:rPr>
        <w:t>1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, Wei jin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  <w:vertAlign w:val="superscript"/>
        </w:rPr>
        <w:t>2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, Panfei Feng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  <w:vertAlign w:val="superscript"/>
        </w:rPr>
        <w:t>2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, Junhua Liu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  <w:vertAlign w:val="superscript"/>
        </w:rPr>
        <w:t>2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, Shengyong Mao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  <w:vertAlign w:val="superscript"/>
        </w:rPr>
        <w:t>2</w:t>
      </w:r>
      <w:r w:rsidRPr="00DD616D">
        <w:rPr>
          <w:rFonts w:ascii="Arial" w:eastAsia="SimSun" w:hAnsi="Arial" w:cs="Arial"/>
          <w:b/>
          <w:bCs/>
          <w:kern w:val="0"/>
          <w:sz w:val="24"/>
          <w:szCs w:val="24"/>
        </w:rPr>
        <w:t>*</w:t>
      </w:r>
    </w:p>
    <w:p w:rsidR="00390970" w:rsidRPr="00DD616D" w:rsidRDefault="00390970" w:rsidP="00390970">
      <w:pPr>
        <w:tabs>
          <w:tab w:val="left" w:pos="2650"/>
        </w:tabs>
        <w:spacing w:line="480" w:lineRule="auto"/>
        <w:ind w:rightChars="254" w:right="533"/>
        <w:jc w:val="left"/>
        <w:outlineLvl w:val="0"/>
        <w:rPr>
          <w:rFonts w:ascii="Arial" w:eastAsia="SimSun" w:hAnsi="Arial" w:cs="Arial"/>
          <w:bCs/>
          <w:kern w:val="0"/>
          <w:sz w:val="24"/>
          <w:szCs w:val="24"/>
        </w:rPr>
      </w:pPr>
      <w:r w:rsidRPr="00DD616D">
        <w:rPr>
          <w:rFonts w:ascii="Arial" w:eastAsia="SimSun" w:hAnsi="Arial" w:cs="Arial"/>
          <w:bCs/>
          <w:kern w:val="0"/>
          <w:sz w:val="24"/>
          <w:szCs w:val="24"/>
        </w:rPr>
        <w:tab/>
      </w:r>
    </w:p>
    <w:p w:rsidR="00390970" w:rsidRPr="00DD616D" w:rsidRDefault="00390970" w:rsidP="0083503A">
      <w:pPr>
        <w:spacing w:line="360" w:lineRule="auto"/>
        <w:ind w:left="360" w:hangingChars="150" w:hanging="360"/>
        <w:rPr>
          <w:rFonts w:ascii="Arial" w:eastAsia="SimSun" w:hAnsi="Arial" w:cs="Arial"/>
          <w:sz w:val="24"/>
          <w:szCs w:val="24"/>
        </w:rPr>
      </w:pPr>
      <w:r w:rsidRPr="00DD616D">
        <w:rPr>
          <w:rFonts w:ascii="Arial" w:eastAsia="SimSun" w:hAnsi="Arial" w:cs="Arial"/>
          <w:sz w:val="24"/>
          <w:szCs w:val="24"/>
        </w:rPr>
        <w:t>1 Key Laboratory of Zoonosis of Liaoning Province, College of Animal Science and Veterinary Medicine, Shenyang Agricultural University, Shenyang, 110866, China</w:t>
      </w:r>
    </w:p>
    <w:p w:rsidR="00390970" w:rsidRPr="00DD616D" w:rsidRDefault="00390970" w:rsidP="0083503A">
      <w:pPr>
        <w:widowControl/>
        <w:spacing w:line="360" w:lineRule="auto"/>
        <w:ind w:left="240" w:hangingChars="100" w:hanging="240"/>
        <w:rPr>
          <w:rFonts w:ascii="Arial" w:eastAsia="SimSun" w:hAnsi="Arial" w:cs="Arial"/>
          <w:kern w:val="0"/>
          <w:sz w:val="24"/>
          <w:szCs w:val="24"/>
          <w:lang w:val="en-GB"/>
        </w:rPr>
      </w:pPr>
      <w:r w:rsidRPr="00DD616D">
        <w:rPr>
          <w:rFonts w:ascii="Arial" w:eastAsia="SimSun" w:hAnsi="Arial" w:cs="Arial"/>
          <w:kern w:val="0"/>
          <w:sz w:val="24"/>
          <w:szCs w:val="24"/>
          <w:lang w:val="en-GB"/>
        </w:rPr>
        <w:t xml:space="preserve">2 </w:t>
      </w:r>
      <w:r w:rsidRPr="00DD616D">
        <w:rPr>
          <w:rFonts w:ascii="Arial" w:eastAsia="SimSun" w:hAnsi="Arial" w:cs="Arial"/>
          <w:kern w:val="0"/>
          <w:sz w:val="24"/>
          <w:szCs w:val="24"/>
          <w:lang w:val="en-GB" w:eastAsia="en-US"/>
        </w:rPr>
        <w:t>Jiangsu Key Laboratory of Gastrointestinal Nutrition and Animal Health, Laboratory of Gastrointestinal Microbiology, College of Animal Science and Technology, Nanjing Agricultural University, Nanjing</w:t>
      </w:r>
      <w:r w:rsidRPr="00DD616D">
        <w:rPr>
          <w:rFonts w:ascii="Arial" w:eastAsia="SimSun" w:hAnsi="Arial" w:cs="Arial"/>
          <w:kern w:val="0"/>
          <w:sz w:val="24"/>
          <w:szCs w:val="24"/>
          <w:lang w:val="en-GB"/>
        </w:rPr>
        <w:t>,</w:t>
      </w:r>
      <w:r w:rsidRPr="00DD616D">
        <w:rPr>
          <w:rFonts w:ascii="Arial" w:eastAsia="SimSun" w:hAnsi="Arial" w:cs="Arial"/>
          <w:kern w:val="0"/>
          <w:sz w:val="24"/>
          <w:szCs w:val="24"/>
          <w:lang w:val="en-GB" w:eastAsia="en-US"/>
        </w:rPr>
        <w:t xml:space="preserve"> 210095, China</w:t>
      </w:r>
    </w:p>
    <w:p w:rsidR="00390970" w:rsidRPr="00DD616D" w:rsidRDefault="00390970" w:rsidP="00390970">
      <w:pPr>
        <w:widowControl/>
        <w:spacing w:line="480" w:lineRule="auto"/>
        <w:ind w:rightChars="98" w:right="206"/>
        <w:jc w:val="left"/>
        <w:outlineLvl w:val="0"/>
        <w:rPr>
          <w:rFonts w:ascii="Times New Roman" w:eastAsia="SimSun" w:hAnsi="Times New Roman" w:cs="Times New Roman"/>
          <w:kern w:val="0"/>
          <w:szCs w:val="21"/>
          <w:lang w:val="en-GB"/>
        </w:rPr>
      </w:pPr>
    </w:p>
    <w:p w:rsidR="00390970" w:rsidRPr="00DD616D" w:rsidRDefault="00390970" w:rsidP="00390970">
      <w:pPr>
        <w:widowControl/>
        <w:spacing w:line="480" w:lineRule="auto"/>
        <w:ind w:rightChars="98" w:right="206"/>
        <w:jc w:val="left"/>
        <w:outlineLvl w:val="0"/>
        <w:rPr>
          <w:rFonts w:ascii="Times New Roman" w:eastAsia="SimSun" w:hAnsi="Times New Roman" w:cs="Times New Roman"/>
          <w:kern w:val="0"/>
          <w:szCs w:val="21"/>
          <w:lang w:val="en-GB"/>
        </w:rPr>
      </w:pPr>
    </w:p>
    <w:p w:rsidR="00390970" w:rsidRPr="00DD616D" w:rsidRDefault="00390970" w:rsidP="00390970">
      <w:pPr>
        <w:widowControl/>
        <w:spacing w:line="480" w:lineRule="auto"/>
        <w:ind w:rightChars="98" w:right="206"/>
        <w:jc w:val="left"/>
        <w:outlineLvl w:val="0"/>
        <w:rPr>
          <w:rFonts w:ascii="Times New Roman" w:eastAsia="SimSun" w:hAnsi="Times New Roman" w:cs="Times New Roman"/>
          <w:kern w:val="0"/>
          <w:szCs w:val="21"/>
          <w:lang w:val="en-GB"/>
        </w:rPr>
      </w:pPr>
    </w:p>
    <w:p w:rsidR="00390970" w:rsidRPr="00DD616D" w:rsidRDefault="00390970" w:rsidP="00390970">
      <w:pPr>
        <w:widowControl/>
        <w:spacing w:line="480" w:lineRule="auto"/>
        <w:ind w:rightChars="98" w:right="206"/>
        <w:jc w:val="left"/>
        <w:outlineLvl w:val="0"/>
        <w:rPr>
          <w:rFonts w:ascii="Times New Roman" w:eastAsia="SimSun" w:hAnsi="Times New Roman" w:cs="Times New Roman"/>
          <w:kern w:val="0"/>
          <w:szCs w:val="21"/>
          <w:lang w:val="en-GB"/>
        </w:rPr>
      </w:pPr>
    </w:p>
    <w:p w:rsidR="00390970" w:rsidRPr="00DD616D" w:rsidRDefault="00390970" w:rsidP="00390970">
      <w:pPr>
        <w:spacing w:line="360" w:lineRule="auto"/>
        <w:rPr>
          <w:rFonts w:ascii="Arial" w:eastAsia="SimSun" w:hAnsi="Arial" w:cs="Arial"/>
          <w:sz w:val="24"/>
          <w:szCs w:val="24"/>
        </w:rPr>
      </w:pPr>
      <w:r w:rsidRPr="00DD616D">
        <w:rPr>
          <w:rFonts w:ascii="Arial" w:eastAsia="SimSun" w:hAnsi="Arial" w:cs="Arial"/>
          <w:sz w:val="24"/>
          <w:szCs w:val="24"/>
        </w:rPr>
        <w:t xml:space="preserve">* Correspondence to: Shengyong Mao, Jiangsu Key Laboratory of Gastrointestinal Nutrition and Animal Health, Laboratory of Gastrointestinal Microbiology, College of Animal Science and Technology, Nanjing Agricultural University, Nanjing, 210095, China. Email: </w:t>
      </w:r>
      <w:hyperlink r:id="rId6" w:history="1">
        <w:r w:rsidRPr="00DD616D">
          <w:rPr>
            <w:rFonts w:ascii="Arial" w:eastAsia="SimSun" w:hAnsi="Arial" w:cs="Arial"/>
            <w:sz w:val="24"/>
            <w:szCs w:val="24"/>
          </w:rPr>
          <w:t>maoshengyong@163.com</w:t>
        </w:r>
      </w:hyperlink>
      <w:r w:rsidRPr="00DD616D">
        <w:rPr>
          <w:rFonts w:ascii="Arial" w:eastAsia="SimSun" w:hAnsi="Arial" w:cs="Arial"/>
          <w:sz w:val="24"/>
          <w:szCs w:val="24"/>
        </w:rPr>
        <w:t>; Telephone: +86-25-84395523; Fax: +86-25-84395314.</w:t>
      </w:r>
    </w:p>
    <w:p w:rsidR="00390970" w:rsidRPr="00DD616D" w:rsidRDefault="00390970" w:rsidP="00390970">
      <w:pPr>
        <w:widowControl/>
        <w:spacing w:line="480" w:lineRule="auto"/>
        <w:jc w:val="left"/>
        <w:rPr>
          <w:rFonts w:ascii="Times New Roman" w:hAnsi="Times New Roman" w:cs="Times New Roman"/>
          <w:szCs w:val="21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5A31B0" w:rsidRPr="00DD616D" w:rsidRDefault="005A31B0">
      <w:pPr>
        <w:rPr>
          <w:rFonts w:ascii="Times New Roman" w:hAnsi="Times New Roman" w:cs="Times New Roman"/>
        </w:rPr>
      </w:pPr>
    </w:p>
    <w:p w:rsidR="005A31B0" w:rsidRPr="00DD616D" w:rsidRDefault="005A31B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90970" w:rsidRPr="00DD616D" w:rsidRDefault="00390970">
      <w:pPr>
        <w:rPr>
          <w:rFonts w:ascii="Times New Roman" w:hAnsi="Times New Roman" w:cs="Times New Roman"/>
        </w:rPr>
      </w:pPr>
    </w:p>
    <w:p w:rsidR="003E3331" w:rsidRPr="00DD616D" w:rsidRDefault="00C87A97" w:rsidP="003E3331">
      <w:pPr>
        <w:rPr>
          <w:rFonts w:ascii="Arial" w:hAnsi="Arial" w:cs="Arial"/>
          <w:sz w:val="24"/>
          <w:szCs w:val="24"/>
        </w:rPr>
      </w:pPr>
      <w:r w:rsidRPr="00DD616D">
        <w:rPr>
          <w:noProof/>
          <w:lang w:val="en-GB" w:eastAsia="en-GB"/>
        </w:rPr>
        <w:lastRenderedPageBreak/>
        <w:drawing>
          <wp:inline distT="0" distB="0" distL="0" distR="0" wp14:anchorId="7EC754DE" wp14:editId="400FBF2F">
            <wp:extent cx="5120640" cy="3551623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50" cy="3553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331" w:rsidRPr="00DD616D">
        <w:rPr>
          <w:rFonts w:ascii="Arial" w:hAnsi="Arial" w:cs="Arial"/>
          <w:sz w:val="24"/>
          <w:szCs w:val="24"/>
        </w:rPr>
        <w:t xml:space="preserve"> </w:t>
      </w:r>
    </w:p>
    <w:p w:rsidR="003E3331" w:rsidRPr="00DD616D" w:rsidRDefault="003E3331" w:rsidP="003E3331">
      <w:pPr>
        <w:rPr>
          <w:rFonts w:ascii="Arial" w:hAnsi="Arial" w:cs="Arial"/>
          <w:sz w:val="24"/>
          <w:szCs w:val="24"/>
        </w:rPr>
      </w:pPr>
      <w:r w:rsidRPr="00DD616D">
        <w:rPr>
          <w:rFonts w:ascii="Arial" w:hAnsi="Arial" w:cs="Arial"/>
          <w:sz w:val="24"/>
          <w:szCs w:val="24"/>
        </w:rPr>
        <w:t>Fig</w:t>
      </w:r>
      <w:r w:rsidRPr="00DD616D">
        <w:rPr>
          <w:rFonts w:ascii="Arial" w:hAnsi="Arial" w:cs="Arial" w:hint="eastAsia"/>
          <w:sz w:val="24"/>
          <w:szCs w:val="24"/>
        </w:rPr>
        <w:t>ure</w:t>
      </w:r>
      <w:r w:rsidRPr="00DD616D">
        <w:rPr>
          <w:rFonts w:ascii="Arial" w:hAnsi="Arial" w:cs="Arial"/>
          <w:sz w:val="24"/>
          <w:szCs w:val="24"/>
        </w:rPr>
        <w:t xml:space="preserve"> S1 The distribution of phyla for each sample. HG, high-grain.</w:t>
      </w:r>
    </w:p>
    <w:p w:rsidR="00B87725" w:rsidRPr="00DD616D" w:rsidRDefault="00B87725"/>
    <w:p w:rsidR="00B87725" w:rsidRPr="00DD616D" w:rsidRDefault="00B87725">
      <w:bookmarkStart w:id="0" w:name="_GoBack"/>
      <w:bookmarkEnd w:id="0"/>
    </w:p>
    <w:p w:rsidR="00AC2680" w:rsidRPr="00DD616D" w:rsidRDefault="00AC2680"/>
    <w:p w:rsidR="00AC2680" w:rsidRPr="00DD616D" w:rsidRDefault="00AC2680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390970" w:rsidRPr="00DD616D" w:rsidRDefault="00390970"/>
    <w:p w:rsidR="00390970" w:rsidRPr="00DD616D" w:rsidRDefault="00390970"/>
    <w:p w:rsidR="000743FF" w:rsidRPr="00DD616D" w:rsidRDefault="000743FF"/>
    <w:p w:rsidR="00AC2680" w:rsidRPr="00DD616D" w:rsidRDefault="008C2B36">
      <w:r w:rsidRPr="00DD616D">
        <w:rPr>
          <w:noProof/>
          <w:lang w:val="en-GB" w:eastAsia="en-GB"/>
        </w:rPr>
        <w:lastRenderedPageBreak/>
        <w:drawing>
          <wp:inline distT="0" distB="0" distL="0" distR="0" wp14:anchorId="6396CA0E" wp14:editId="2AD274D9">
            <wp:extent cx="6615485" cy="622587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89" cy="62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31" w:rsidRPr="00DD616D" w:rsidRDefault="003E3331" w:rsidP="003E3331">
      <w:pPr>
        <w:rPr>
          <w:rFonts w:ascii="Arial" w:hAnsi="Arial" w:cs="Arial"/>
          <w:sz w:val="24"/>
        </w:rPr>
      </w:pPr>
      <w:r w:rsidRPr="00DD616D">
        <w:rPr>
          <w:rFonts w:ascii="Arial" w:hAnsi="Arial" w:cs="Arial"/>
          <w:sz w:val="24"/>
        </w:rPr>
        <w:t xml:space="preserve">Figure S2 A double hierarchical analysis of the top 50 most abundant bacterial genera in the rumen of goats in the Hay-fed and high grain </w:t>
      </w:r>
      <w:r w:rsidR="009F0426" w:rsidRPr="00DD616D">
        <w:rPr>
          <w:rFonts w:ascii="Arial" w:hAnsi="Arial" w:cs="Arial"/>
          <w:sz w:val="24"/>
        </w:rPr>
        <w:t>(HG)</w:t>
      </w:r>
      <w:r w:rsidR="009F0426" w:rsidRPr="00DD616D">
        <w:rPr>
          <w:rFonts w:ascii="Arial" w:hAnsi="Arial" w:cs="Arial" w:hint="eastAsia"/>
          <w:sz w:val="24"/>
        </w:rPr>
        <w:t xml:space="preserve"> </w:t>
      </w:r>
      <w:r w:rsidR="009F0426" w:rsidRPr="00DD616D">
        <w:rPr>
          <w:rFonts w:ascii="Arial" w:hAnsi="Arial" w:cs="Arial"/>
          <w:sz w:val="24"/>
        </w:rPr>
        <w:t>diet</w:t>
      </w:r>
      <w:r w:rsidRPr="00DD616D">
        <w:rPr>
          <w:rFonts w:ascii="Arial" w:hAnsi="Arial" w:cs="Arial"/>
          <w:sz w:val="24"/>
        </w:rPr>
        <w:t xml:space="preserve">-fed samples. </w:t>
      </w:r>
    </w:p>
    <w:p w:rsidR="003E3331" w:rsidRPr="00DD616D" w:rsidRDefault="003E3331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0743FF" w:rsidRPr="00DD616D" w:rsidRDefault="000743FF"/>
    <w:p w:rsidR="00390970" w:rsidRPr="00DD616D" w:rsidRDefault="00390970"/>
    <w:p w:rsidR="00390970" w:rsidRPr="00DD616D" w:rsidRDefault="00390970"/>
    <w:p w:rsidR="000743FF" w:rsidRPr="00DD616D" w:rsidRDefault="000743FF"/>
    <w:p w:rsidR="000743FF" w:rsidRPr="00DD616D" w:rsidRDefault="000743FF"/>
    <w:p w:rsidR="00B87725" w:rsidRPr="00DD616D" w:rsidRDefault="00B87725">
      <w:r w:rsidRPr="00DD616D">
        <w:rPr>
          <w:noProof/>
          <w:lang w:val="en-GB" w:eastAsia="en-GB"/>
        </w:rPr>
        <w:lastRenderedPageBreak/>
        <w:drawing>
          <wp:inline distT="0" distB="0" distL="0" distR="0" wp14:anchorId="66D962AD" wp14:editId="3CAB6961">
            <wp:extent cx="5643378" cy="3672904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35" cy="3673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331" w:rsidRPr="00DD616D" w:rsidRDefault="003E3331" w:rsidP="003E3331">
      <w:pPr>
        <w:rPr>
          <w:rFonts w:ascii="Arial" w:hAnsi="Arial" w:cs="Arial"/>
          <w:sz w:val="24"/>
        </w:rPr>
      </w:pPr>
      <w:r w:rsidRPr="00DD616D">
        <w:rPr>
          <w:rFonts w:ascii="Arial" w:hAnsi="Arial" w:cs="Arial"/>
          <w:sz w:val="24"/>
        </w:rPr>
        <w:t>Figure S3 rarefaction results based on operational taxonomic unit (OTUs) (3% divergence). Hay group: Hay-1, Hay-2, Hay-3, Hay-4, Hay-5, Hay-6; High-grain group: HG-1, HG-2, HG-3, HG-4, HG-5, HG-6.</w:t>
      </w:r>
    </w:p>
    <w:p w:rsidR="003E3331" w:rsidRPr="00DD616D" w:rsidRDefault="003E3331"/>
    <w:p w:rsidR="00B87725" w:rsidRPr="00DD616D" w:rsidRDefault="00B87725"/>
    <w:p w:rsidR="00B87725" w:rsidRPr="00DD616D" w:rsidRDefault="00B87725"/>
    <w:p w:rsidR="00B87725" w:rsidRPr="00DD616D" w:rsidRDefault="00B87725"/>
    <w:p w:rsidR="00200454" w:rsidRPr="00DD616D" w:rsidRDefault="00200454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B87725" w:rsidRPr="00DD616D" w:rsidRDefault="00B87725"/>
    <w:p w:rsidR="00037A8E" w:rsidRPr="00DD616D" w:rsidRDefault="00037A8E">
      <w:pPr>
        <w:rPr>
          <w:rFonts w:ascii="Times New Roman" w:hAnsi="Times New Roman" w:cs="Times New Roman"/>
        </w:rPr>
      </w:pPr>
    </w:p>
    <w:p w:rsidR="00037A8E" w:rsidRPr="00DD616D" w:rsidRDefault="00037A8E">
      <w:pPr>
        <w:rPr>
          <w:rFonts w:ascii="Times New Roman" w:hAnsi="Times New Roman" w:cs="Times New Roman"/>
        </w:rPr>
      </w:pPr>
    </w:p>
    <w:p w:rsidR="00037A8E" w:rsidRPr="00DD616D" w:rsidRDefault="00037A8E">
      <w:pPr>
        <w:rPr>
          <w:rFonts w:ascii="Times New Roman" w:hAnsi="Times New Roman" w:cs="Times New Roman"/>
        </w:rPr>
      </w:pPr>
    </w:p>
    <w:p w:rsidR="00037A8E" w:rsidRPr="00DD616D" w:rsidRDefault="00037A8E">
      <w:pPr>
        <w:rPr>
          <w:rFonts w:ascii="Times New Roman" w:hAnsi="Times New Roman" w:cs="Times New Roman"/>
        </w:rPr>
      </w:pPr>
    </w:p>
    <w:p w:rsidR="003501FC" w:rsidRPr="00DD616D" w:rsidRDefault="00C22C13" w:rsidP="00C22C13">
      <w:pPr>
        <w:jc w:val="center"/>
        <w:rPr>
          <w:rFonts w:ascii="Times New Roman" w:hAnsi="Times New Roman" w:cs="Times New Roman"/>
        </w:rPr>
      </w:pPr>
      <w:r w:rsidRPr="00DD616D">
        <w:rPr>
          <w:rFonts w:ascii="Times New Roman" w:hAnsi="Times New Roman" w:cs="Times New Roman"/>
          <w:noProof/>
          <w:lang w:val="en-GB" w:eastAsia="en-GB"/>
        </w:rPr>
        <w:lastRenderedPageBreak/>
        <w:drawing>
          <wp:inline distT="0" distB="0" distL="0" distR="0" wp14:anchorId="16F6829C" wp14:editId="09FD6262">
            <wp:extent cx="6546581" cy="502920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97" cy="5035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331" w:rsidRPr="00DD616D" w:rsidRDefault="003E3331" w:rsidP="003E3331">
      <w:pPr>
        <w:rPr>
          <w:rFonts w:ascii="Arial" w:hAnsi="Arial" w:cs="Arial"/>
          <w:sz w:val="24"/>
        </w:rPr>
      </w:pPr>
      <w:r w:rsidRPr="00DD616D">
        <w:rPr>
          <w:rFonts w:ascii="Arial" w:hAnsi="Arial" w:cs="Arial"/>
          <w:sz w:val="24"/>
        </w:rPr>
        <w:t>Figure S</w:t>
      </w:r>
      <w:r w:rsidRPr="00DD616D">
        <w:rPr>
          <w:rFonts w:ascii="Arial" w:hAnsi="Arial" w:cs="Arial" w:hint="eastAsia"/>
          <w:sz w:val="24"/>
        </w:rPr>
        <w:t>4</w:t>
      </w:r>
      <w:r w:rsidRPr="00DD616D">
        <w:rPr>
          <w:rFonts w:ascii="Arial" w:hAnsi="Arial" w:cs="Arial"/>
          <w:sz w:val="24"/>
        </w:rPr>
        <w:t xml:space="preserve"> Variations in the abundance of Kyoto Encyclopedia of Genes and Genomes </w:t>
      </w:r>
      <w:r w:rsidRPr="00DD616D">
        <w:rPr>
          <w:rFonts w:ascii="Arial" w:hAnsi="Arial" w:cs="Arial" w:hint="eastAsia"/>
          <w:sz w:val="24"/>
        </w:rPr>
        <w:t>(</w:t>
      </w:r>
      <w:r w:rsidRPr="00DD616D">
        <w:rPr>
          <w:rFonts w:ascii="Arial" w:hAnsi="Arial" w:cs="Arial"/>
          <w:sz w:val="24"/>
        </w:rPr>
        <w:t>KEGG</w:t>
      </w:r>
      <w:r w:rsidRPr="00DD616D">
        <w:rPr>
          <w:rFonts w:ascii="Arial" w:hAnsi="Arial" w:cs="Arial" w:hint="eastAsia"/>
          <w:sz w:val="24"/>
        </w:rPr>
        <w:t>)</w:t>
      </w:r>
      <w:r w:rsidRPr="00DD616D">
        <w:rPr>
          <w:rFonts w:ascii="Arial" w:hAnsi="Arial" w:cs="Arial"/>
          <w:sz w:val="24"/>
        </w:rPr>
        <w:t xml:space="preserve"> pathways in functional bacterial communities of all samples from goats. High-grain group: HG-1, HG-2, HG-3, HG-4, HG-5, HG-6.</w:t>
      </w:r>
    </w:p>
    <w:p w:rsidR="003E3331" w:rsidRPr="00DD616D" w:rsidRDefault="003E3331" w:rsidP="00C22C13">
      <w:pPr>
        <w:jc w:val="center"/>
        <w:rPr>
          <w:rFonts w:ascii="Times New Roman" w:hAnsi="Times New Roman" w:cs="Times New Roman"/>
        </w:rPr>
      </w:pPr>
    </w:p>
    <w:p w:rsidR="003501FC" w:rsidRPr="00DD616D" w:rsidRDefault="003501FC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Arial" w:hAnsi="Arial" w:cs="Arial"/>
          <w:sz w:val="24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  <w:r w:rsidRPr="00DD616D">
        <w:rPr>
          <w:rFonts w:ascii="Times New Roman" w:hAnsi="Times New Roman" w:cs="Times New Roman"/>
          <w:noProof/>
          <w:lang w:val="en-GB" w:eastAsia="en-GB"/>
        </w:rPr>
        <w:lastRenderedPageBreak/>
        <w:drawing>
          <wp:inline distT="0" distB="0" distL="0" distR="0" wp14:anchorId="58B3F68F" wp14:editId="0B06A531">
            <wp:extent cx="6120130" cy="3730672"/>
            <wp:effectExtent l="0" t="0" r="0" b="3175"/>
            <wp:docPr id="1" name="图片 1" descr="C:\Users\youluo5620\Desktop\代谢通路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luo5620\Desktop\代谢通路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31" w:rsidRPr="00DD616D" w:rsidRDefault="003E3331" w:rsidP="00E0055E">
      <w:pPr>
        <w:jc w:val="left"/>
        <w:rPr>
          <w:rFonts w:ascii="Times New Roman" w:hAnsi="Times New Roman" w:cs="Times New Roman"/>
        </w:rPr>
      </w:pPr>
      <w:r w:rsidRPr="00DD616D">
        <w:rPr>
          <w:rFonts w:ascii="Arial" w:hAnsi="Arial" w:cs="Arial"/>
          <w:sz w:val="24"/>
        </w:rPr>
        <w:t>Figure S</w:t>
      </w:r>
      <w:r w:rsidRPr="00DD616D">
        <w:rPr>
          <w:rFonts w:ascii="Arial" w:hAnsi="Arial" w:cs="Arial" w:hint="eastAsia"/>
          <w:sz w:val="24"/>
        </w:rPr>
        <w:t>5</w:t>
      </w:r>
      <w:r w:rsidRPr="00DD616D">
        <w:rPr>
          <w:rFonts w:ascii="Arial" w:hAnsi="Arial" w:cs="Arial"/>
          <w:sz w:val="24"/>
        </w:rPr>
        <w:t xml:space="preserve"> The overall metabolic map constructed using the significantly affected</w:t>
      </w:r>
      <w:r w:rsidRPr="00DD616D">
        <w:t xml:space="preserve"> </w:t>
      </w:r>
      <w:r w:rsidRPr="00DD616D">
        <w:rPr>
          <w:rFonts w:ascii="Arial" w:hAnsi="Arial" w:cs="Arial"/>
          <w:sz w:val="24"/>
        </w:rPr>
        <w:t>Kyoto Encyclopedia of Genes and Genomes</w:t>
      </w:r>
      <w:r w:rsidRPr="00DD616D">
        <w:rPr>
          <w:rFonts w:ascii="Arial" w:hAnsi="Arial" w:cs="Arial" w:hint="eastAsia"/>
          <w:sz w:val="24"/>
        </w:rPr>
        <w:t>(</w:t>
      </w:r>
      <w:r w:rsidRPr="00DD616D">
        <w:rPr>
          <w:rFonts w:ascii="Arial" w:hAnsi="Arial" w:cs="Arial"/>
          <w:sz w:val="24"/>
        </w:rPr>
        <w:t xml:space="preserve"> KEGG</w:t>
      </w:r>
      <w:r w:rsidRPr="00DD616D">
        <w:rPr>
          <w:rFonts w:ascii="Arial" w:hAnsi="Arial" w:cs="Arial" w:hint="eastAsia"/>
          <w:sz w:val="24"/>
        </w:rPr>
        <w:t>)</w:t>
      </w:r>
      <w:r w:rsidRPr="00DD616D">
        <w:rPr>
          <w:rFonts w:ascii="Arial" w:hAnsi="Arial" w:cs="Arial"/>
          <w:sz w:val="24"/>
        </w:rPr>
        <w:t xml:space="preserve"> orthology groups (the false discovery ration &lt;0.05, and the relative abundance ≥0.1% at least in one group).</w:t>
      </w: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E0055E" w:rsidRPr="00DD616D" w:rsidRDefault="00E0055E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243625" w:rsidRPr="00DD616D" w:rsidRDefault="00243625" w:rsidP="00E0055E">
      <w:pPr>
        <w:jc w:val="left"/>
        <w:rPr>
          <w:rFonts w:ascii="Times New Roman" w:hAnsi="Times New Roman" w:cs="Times New Roman"/>
        </w:rPr>
      </w:pPr>
    </w:p>
    <w:p w:rsidR="005E2E68" w:rsidRPr="00DD616D" w:rsidRDefault="005E2E68" w:rsidP="00E0055E">
      <w:pPr>
        <w:jc w:val="left"/>
        <w:rPr>
          <w:rFonts w:ascii="Times New Roman" w:hAnsi="Times New Roman" w:cs="Times New Roman"/>
        </w:rPr>
      </w:pPr>
    </w:p>
    <w:p w:rsidR="009F0426" w:rsidRPr="00DD616D" w:rsidRDefault="009F0426" w:rsidP="00E0055E">
      <w:pPr>
        <w:jc w:val="left"/>
        <w:rPr>
          <w:rFonts w:ascii="Times New Roman" w:hAnsi="Times New Roman" w:cs="Times New Roman"/>
        </w:rPr>
      </w:pPr>
    </w:p>
    <w:p w:rsidR="00390970" w:rsidRPr="00DD616D" w:rsidRDefault="00390970" w:rsidP="00390970">
      <w:pPr>
        <w:pStyle w:val="Default"/>
        <w:spacing w:line="360" w:lineRule="auto"/>
        <w:rPr>
          <w:rFonts w:ascii="Arial" w:hAnsi="Arial" w:cs="Arial"/>
          <w:i/>
          <w:color w:val="auto"/>
          <w:szCs w:val="21"/>
        </w:rPr>
      </w:pPr>
      <w:r w:rsidRPr="00DD616D">
        <w:rPr>
          <w:rFonts w:ascii="Arial" w:eastAsiaTheme="majorEastAsia" w:hAnsi="Arial" w:cs="Arial"/>
          <w:color w:val="auto"/>
          <w:szCs w:val="21"/>
        </w:rPr>
        <w:lastRenderedPageBreak/>
        <w:t xml:space="preserve">Table S1 </w:t>
      </w:r>
      <w:r w:rsidRPr="00DD616D">
        <w:rPr>
          <w:rFonts w:ascii="Arial" w:eastAsiaTheme="majorEastAsia" w:hAnsi="Arial" w:cs="Arial"/>
          <w:i/>
          <w:color w:val="auto"/>
          <w:szCs w:val="21"/>
        </w:rPr>
        <w:t>Ingredient and nutrient levels of the diets</w:t>
      </w:r>
    </w:p>
    <w:tbl>
      <w:tblPr>
        <w:tblStyle w:val="Ombrageclai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2268"/>
        <w:gridCol w:w="2268"/>
      </w:tblGrid>
      <w:tr w:rsidR="00DD616D" w:rsidRPr="00DD616D" w:rsidTr="00397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widowControl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Item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Diet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DD616D">
              <w:rPr>
                <w:rFonts w:ascii="Arial" w:hAnsi="Arial" w:cs="Arial"/>
                <w:b/>
                <w:color w:val="auto"/>
                <w:sz w:val="22"/>
              </w:rPr>
              <w:t>Hay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90970" w:rsidRPr="00DD616D" w:rsidRDefault="00C87A97" w:rsidP="00397987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</w:rPr>
            </w:pPr>
            <w:r w:rsidRPr="00DD616D">
              <w:rPr>
                <w:rFonts w:ascii="Arial" w:hAnsi="Arial" w:cs="Arial"/>
                <w:b/>
                <w:color w:val="auto"/>
                <w:sz w:val="22"/>
              </w:rPr>
              <w:t>HG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eastAsiaTheme="majorEastAsia" w:hAnsi="Arial" w:cs="Arial"/>
                <w:i/>
                <w:color w:val="auto"/>
                <w:sz w:val="22"/>
              </w:rPr>
              <w:t>Ingredients composition</w:t>
            </w:r>
            <w:r w:rsidRPr="00DD616D">
              <w:rPr>
                <w:rFonts w:ascii="Arial" w:eastAsiaTheme="majorEastAsia" w:hAnsi="Arial" w:cs="Arial"/>
                <w:b w:val="0"/>
                <w:color w:val="auto"/>
                <w:sz w:val="22"/>
              </w:rPr>
              <w:t>, % DM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Chinese wildrye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80.00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18.00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Alfalfa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7.00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Corn meal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20.00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Wheat meal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36.50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Soybean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15.00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Limestone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1.00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Sodium chloride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0.50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Calcium phosphate dihydrate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1.00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83503A">
            <w:pPr>
              <w:widowControl/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 xml:space="preserve">Premix </w:t>
            </w:r>
            <w:r w:rsidRPr="00DD616D">
              <w:rPr>
                <w:rFonts w:ascii="Arial" w:hAnsi="Arial" w:cs="Arial"/>
                <w:b w:val="0"/>
                <w:color w:val="auto"/>
                <w:sz w:val="22"/>
                <w:vertAlign w:val="superscript"/>
              </w:rPr>
              <w:t>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1.00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left"/>
              <w:rPr>
                <w:rFonts w:ascii="Arial" w:hAnsi="Arial" w:cs="Arial"/>
                <w:i/>
                <w:color w:val="auto"/>
                <w:sz w:val="22"/>
              </w:rPr>
            </w:pPr>
            <w:r w:rsidRPr="00DD616D">
              <w:rPr>
                <w:rFonts w:ascii="Arial" w:hAnsi="Arial" w:cs="Arial"/>
                <w:i/>
                <w:color w:val="auto"/>
                <w:sz w:val="22"/>
              </w:rPr>
              <w:t xml:space="preserve">Nutrient </w:t>
            </w:r>
            <w:r w:rsidRPr="00DD616D">
              <w:rPr>
                <w:rFonts w:ascii="Arial" w:eastAsiaTheme="majorEastAsia" w:hAnsi="Arial" w:cs="Arial"/>
                <w:i/>
                <w:color w:val="auto"/>
                <w:sz w:val="22"/>
              </w:rPr>
              <w:t>composition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390970" w:rsidRPr="00DD616D" w:rsidRDefault="00390970" w:rsidP="00397987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Metabolic energy , MJ/Kg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8.32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11.56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Crude fat,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3.54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2.82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Crude fiber 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30.13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10.13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Crude protein,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10.16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17.19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Acid detergent fiber,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35.70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12.78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Neutral detergent fiber,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56.84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22.75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Calcium,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1.24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0.82</w:t>
            </w:r>
          </w:p>
        </w:tc>
      </w:tr>
      <w:tr w:rsidR="00DD616D" w:rsidRPr="00DD616D" w:rsidTr="003979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:rsidR="00390970" w:rsidRPr="00DD616D" w:rsidRDefault="00390970" w:rsidP="0083503A">
            <w:pPr>
              <w:spacing w:line="360" w:lineRule="auto"/>
              <w:ind w:firstLineChars="100" w:firstLine="220"/>
              <w:jc w:val="lef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Phosphorus, % DM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0.55</w:t>
            </w:r>
          </w:p>
        </w:tc>
      </w:tr>
    </w:tbl>
    <w:p w:rsidR="00390970" w:rsidRPr="00DD616D" w:rsidRDefault="009F0426" w:rsidP="00390970">
      <w:r w:rsidRPr="00DD616D">
        <w:rPr>
          <w:rFonts w:hint="eastAsia"/>
        </w:rPr>
        <w:t xml:space="preserve">HG, high </w:t>
      </w:r>
      <w:r w:rsidR="00AF1F3B" w:rsidRPr="00DD616D">
        <w:rPr>
          <w:rFonts w:hint="eastAsia"/>
        </w:rPr>
        <w:t>grain</w:t>
      </w:r>
    </w:p>
    <w:p w:rsidR="00390970" w:rsidRPr="00DD616D" w:rsidRDefault="00390970" w:rsidP="00390970">
      <w:pPr>
        <w:spacing w:line="300" w:lineRule="auto"/>
        <w:rPr>
          <w:rFonts w:ascii="Arial" w:eastAsia="SimSun" w:hAnsi="Arial" w:cs="Arial"/>
          <w:sz w:val="20"/>
          <w:szCs w:val="18"/>
        </w:rPr>
      </w:pPr>
      <w:r w:rsidRPr="00DD616D">
        <w:rPr>
          <w:rFonts w:ascii="Arial" w:eastAsia="SimSun" w:hAnsi="Arial" w:cs="Arial"/>
          <w:sz w:val="20"/>
          <w:szCs w:val="18"/>
          <w:vertAlign w:val="superscript"/>
        </w:rPr>
        <w:t xml:space="preserve">a </w:t>
      </w:r>
      <w:r w:rsidRPr="00DD616D">
        <w:rPr>
          <w:rFonts w:ascii="Arial" w:eastAsia="SimSun" w:hAnsi="Arial" w:cs="Arial"/>
          <w:sz w:val="20"/>
          <w:szCs w:val="18"/>
        </w:rPr>
        <w:t>Goat premix contained (per kg as mixed): Mn, 10,000 mg; Zn, 20,000 mg; Fe, 5,000 mg; Co, 100 mg; I, 300 mg; Cu, 6,000 mg; Se,</w:t>
      </w:r>
      <w:r w:rsidRPr="00DD616D">
        <w:rPr>
          <w:rFonts w:ascii="Arial" w:hAnsi="Arial" w:cs="Arial"/>
          <w:sz w:val="22"/>
        </w:rPr>
        <w:t xml:space="preserve"> </w:t>
      </w:r>
      <w:r w:rsidRPr="00DD616D">
        <w:rPr>
          <w:rFonts w:ascii="Arial" w:eastAsia="SimSun" w:hAnsi="Arial" w:cs="Arial"/>
          <w:sz w:val="20"/>
          <w:szCs w:val="18"/>
        </w:rPr>
        <w:t>100, 000IU; vitamin A, 5,00,000 IU; vitamin D, 110,000 IU, and vitamin E, 15,000 mg.</w:t>
      </w:r>
    </w:p>
    <w:p w:rsidR="00390970" w:rsidRPr="00DD616D" w:rsidRDefault="00390970" w:rsidP="00390970">
      <w:pPr>
        <w:jc w:val="left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5E2E68" w:rsidRPr="00DD616D" w:rsidRDefault="005E2E68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501FC">
      <w:pPr>
        <w:jc w:val="center"/>
        <w:rPr>
          <w:rFonts w:ascii="Times New Roman" w:hAnsi="Times New Roman" w:cs="Times New Roman"/>
        </w:rPr>
      </w:pPr>
    </w:p>
    <w:p w:rsidR="00390970" w:rsidRPr="00DD616D" w:rsidRDefault="00390970" w:rsidP="00390970">
      <w:pPr>
        <w:autoSpaceDE w:val="0"/>
        <w:autoSpaceDN w:val="0"/>
        <w:adjustRightInd w:val="0"/>
        <w:spacing w:line="360" w:lineRule="auto"/>
        <w:jc w:val="left"/>
        <w:rPr>
          <w:rFonts w:ascii="Arial" w:eastAsia="AdvP4DF60E" w:hAnsi="Arial" w:cs="Arial"/>
          <w:kern w:val="0"/>
          <w:sz w:val="24"/>
          <w:szCs w:val="21"/>
        </w:rPr>
      </w:pPr>
      <w:r w:rsidRPr="00DD616D">
        <w:rPr>
          <w:rFonts w:ascii="Arial" w:eastAsia="AdvP4DF611" w:hAnsi="Arial" w:cs="Arial"/>
          <w:b/>
          <w:kern w:val="0"/>
          <w:sz w:val="24"/>
          <w:szCs w:val="21"/>
        </w:rPr>
        <w:lastRenderedPageBreak/>
        <w:t>Table S2</w:t>
      </w:r>
      <w:r w:rsidRPr="00DD616D">
        <w:rPr>
          <w:rFonts w:ascii="Arial" w:eastAsia="AdvP4DF611" w:hAnsi="Arial" w:cs="Arial"/>
          <w:kern w:val="0"/>
          <w:sz w:val="24"/>
          <w:szCs w:val="21"/>
        </w:rPr>
        <w:t xml:space="preserve"> </w:t>
      </w:r>
      <w:r w:rsidRPr="00DD616D">
        <w:rPr>
          <w:rFonts w:ascii="Arial" w:eastAsia="AdvP4DF60E" w:hAnsi="Arial" w:cs="Arial"/>
          <w:i/>
          <w:kern w:val="0"/>
          <w:sz w:val="24"/>
          <w:szCs w:val="21"/>
        </w:rPr>
        <w:t>Primer used in the present study.</w:t>
      </w:r>
    </w:p>
    <w:tbl>
      <w:tblPr>
        <w:tblStyle w:val="Ombrageclair"/>
        <w:tblW w:w="542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3961"/>
        <w:gridCol w:w="4128"/>
        <w:gridCol w:w="1221"/>
      </w:tblGrid>
      <w:tr w:rsidR="00DD616D" w:rsidRPr="00DD616D" w:rsidTr="00397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Genes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Forward primer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Reverse primer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Amplicon size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IL-1</w:t>
            </w:r>
            <w:r w:rsidRPr="00DD616D">
              <w:rPr>
                <w:rFonts w:ascii="Arial" w:eastAsia="方正兰亭超细黑简体" w:hAnsi="Arial" w:cs="Arial"/>
                <w:b w:val="0"/>
                <w:color w:val="auto"/>
                <w:kern w:val="0"/>
                <w:sz w:val="22"/>
                <w:szCs w:val="21"/>
              </w:rPr>
              <w:t>β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CATGTGTGCTGAAGGCTCTC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AGTGTCGGCGTATCACCTTT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173</w:t>
            </w:r>
          </w:p>
        </w:tc>
      </w:tr>
      <w:tr w:rsidR="00DD616D" w:rsidRPr="00DD616D" w:rsidTr="00397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IL-6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CCAATCTGGGTTCAATCAGG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ACCCACTCGTTTGAGGACTG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241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TNF-</w:t>
            </w:r>
            <w:r w:rsidRPr="00DD616D">
              <w:rPr>
                <w:rFonts w:ascii="Arial" w:eastAsia="方正兰亭超细黑简体" w:hAnsi="Arial" w:cs="Arial"/>
                <w:b w:val="0"/>
                <w:color w:val="auto"/>
                <w:kern w:val="0"/>
                <w:sz w:val="22"/>
                <w:szCs w:val="21"/>
              </w:rPr>
              <w:t>α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CAAGTAACAAGCCGGTAGCC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AGATGAGGTAAAGCCCGTCA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155</w:t>
            </w:r>
          </w:p>
        </w:tc>
      </w:tr>
      <w:tr w:rsidR="00DD616D" w:rsidRPr="00DD616D" w:rsidTr="00397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MMP-2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TTCTCACCCCCACCTGGTAA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AGGCATCTCTTTGTGGGTGG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143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MMP-9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GCACGCACGACATCTTTCAG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GGAACTCACACGCCAGAAGA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74</w:t>
            </w:r>
          </w:p>
        </w:tc>
      </w:tr>
      <w:tr w:rsidR="00DD616D" w:rsidRPr="00DD616D" w:rsidTr="00397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  <w:t>MT1-MMP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AGCACTGGGTGTTTGACGAA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  <w:t>GCATCCAGAAGAGAGCAGCA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111</w:t>
            </w:r>
          </w:p>
        </w:tc>
      </w:tr>
      <w:tr w:rsidR="00DD616D" w:rsidRPr="00DD616D" w:rsidTr="0039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</w:tcPr>
          <w:p w:rsidR="00390970" w:rsidRPr="00DD616D" w:rsidRDefault="00390970" w:rsidP="00397987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DD616D">
              <w:rPr>
                <w:rFonts w:ascii="Arial" w:hAnsi="Arial" w:cs="Arial"/>
                <w:b w:val="0"/>
                <w:color w:val="auto"/>
                <w:sz w:val="22"/>
              </w:rPr>
              <w:t>TIMP-1</w:t>
            </w:r>
          </w:p>
        </w:tc>
        <w:tc>
          <w:tcPr>
            <w:tcW w:w="1852" w:type="pct"/>
            <w:shd w:val="clear" w:color="auto" w:fill="FFFFFF" w:themeFill="background1"/>
          </w:tcPr>
          <w:p w:rsidR="00390970" w:rsidRPr="00DD616D" w:rsidRDefault="00390970" w:rsidP="0039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ATGCTGCTGGTTGTGAGGAA</w:t>
            </w:r>
          </w:p>
        </w:tc>
        <w:tc>
          <w:tcPr>
            <w:tcW w:w="1930" w:type="pct"/>
            <w:shd w:val="clear" w:color="auto" w:fill="FFFFFF" w:themeFill="background1"/>
          </w:tcPr>
          <w:p w:rsidR="00390970" w:rsidRPr="00DD616D" w:rsidRDefault="00390970" w:rsidP="0039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ATGAGTGTCGCTCTGCAGTT</w:t>
            </w:r>
          </w:p>
        </w:tc>
        <w:tc>
          <w:tcPr>
            <w:tcW w:w="571" w:type="pct"/>
            <w:shd w:val="clear" w:color="auto" w:fill="FFFFFF" w:themeFill="background1"/>
          </w:tcPr>
          <w:p w:rsidR="00390970" w:rsidRPr="00DD616D" w:rsidRDefault="00390970" w:rsidP="0039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DD616D">
              <w:rPr>
                <w:rFonts w:ascii="Arial" w:hAnsi="Arial" w:cs="Arial"/>
                <w:color w:val="auto"/>
                <w:sz w:val="22"/>
              </w:rPr>
              <w:t>74</w:t>
            </w:r>
          </w:p>
        </w:tc>
      </w:tr>
      <w:tr w:rsidR="00DD616D" w:rsidRPr="00DD616D" w:rsidTr="00397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AdvP4DF60E" w:hAnsi="Arial" w:cs="Arial"/>
                <w:b w:val="0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方正兰亭超细黑简体" w:hAnsi="Arial" w:cs="Arial"/>
                <w:b w:val="0"/>
                <w:color w:val="auto"/>
                <w:kern w:val="0"/>
                <w:sz w:val="22"/>
                <w:szCs w:val="21"/>
              </w:rPr>
              <w:t>GAPDH</w:t>
            </w:r>
          </w:p>
        </w:tc>
        <w:tc>
          <w:tcPr>
            <w:tcW w:w="1852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GGGTCATCATCTCTGCACCT</w:t>
            </w:r>
          </w:p>
        </w:tc>
        <w:tc>
          <w:tcPr>
            <w:tcW w:w="1930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1"/>
                <w:shd w:val="clear" w:color="auto" w:fill="FFFFFF"/>
              </w:rPr>
            </w:pPr>
            <w:r w:rsidRPr="00DD616D">
              <w:rPr>
                <w:rFonts w:ascii="Arial" w:eastAsia="PrestigeElite" w:hAnsi="Arial" w:cs="Arial"/>
                <w:color w:val="auto"/>
                <w:kern w:val="0"/>
                <w:sz w:val="22"/>
                <w:szCs w:val="21"/>
              </w:rPr>
              <w:t>GGTCATAAGTCCCTCCACGA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90970" w:rsidRPr="00DD616D" w:rsidRDefault="00390970" w:rsidP="0039798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</w:pPr>
            <w:r w:rsidRPr="00DD616D">
              <w:rPr>
                <w:rFonts w:ascii="Arial" w:eastAsia="AdvP4DF60E" w:hAnsi="Arial" w:cs="Arial"/>
                <w:color w:val="auto"/>
                <w:kern w:val="0"/>
                <w:sz w:val="22"/>
                <w:szCs w:val="21"/>
              </w:rPr>
              <w:t>180</w:t>
            </w:r>
          </w:p>
        </w:tc>
      </w:tr>
    </w:tbl>
    <w:p w:rsidR="00390970" w:rsidRPr="00DD616D" w:rsidRDefault="008E2B35" w:rsidP="00390970">
      <w:pPr>
        <w:widowControl/>
        <w:jc w:val="left"/>
        <w:rPr>
          <w:rFonts w:ascii="Arial" w:hAnsi="Arial" w:cs="Arial"/>
          <w:sz w:val="20"/>
          <w:szCs w:val="20"/>
        </w:rPr>
      </w:pPr>
      <w:r w:rsidRPr="00DD616D">
        <w:rPr>
          <w:rFonts w:ascii="Arial" w:hAnsi="Arial" w:cs="Arial"/>
          <w:sz w:val="20"/>
          <w:szCs w:val="20"/>
        </w:rPr>
        <w:t>IL-1β</w:t>
      </w:r>
      <w:r w:rsidRPr="00DD616D">
        <w:rPr>
          <w:rFonts w:ascii="Arial" w:hAnsi="Arial" w:cs="Arial" w:hint="eastAsia"/>
          <w:sz w:val="20"/>
          <w:szCs w:val="20"/>
        </w:rPr>
        <w:t xml:space="preserve">, </w:t>
      </w:r>
      <w:r w:rsidRPr="00DD616D">
        <w:rPr>
          <w:rFonts w:ascii="Arial" w:hAnsi="Arial" w:cs="Arial"/>
          <w:sz w:val="20"/>
          <w:szCs w:val="20"/>
        </w:rPr>
        <w:t>interleukin-1 beta; IL-6, interleukin-6; TNF-α, tumour necrosis factor-alpha</w:t>
      </w:r>
      <w:r w:rsidRPr="00DD616D">
        <w:rPr>
          <w:rFonts w:ascii="Arial" w:hAnsi="Arial" w:cs="Arial" w:hint="eastAsia"/>
          <w:sz w:val="20"/>
          <w:szCs w:val="20"/>
        </w:rPr>
        <w:t xml:space="preserve">; MMP-2, </w:t>
      </w:r>
      <w:r w:rsidRPr="00DD616D">
        <w:rPr>
          <w:rFonts w:ascii="Arial" w:hAnsi="Arial" w:cs="Arial"/>
          <w:sz w:val="20"/>
          <w:szCs w:val="20"/>
        </w:rPr>
        <w:t>matrix metalloproteinases</w:t>
      </w:r>
      <w:r w:rsidRPr="00DD616D">
        <w:rPr>
          <w:rFonts w:ascii="Arial" w:hAnsi="Arial" w:cs="Arial" w:hint="eastAsia"/>
          <w:sz w:val="20"/>
          <w:szCs w:val="20"/>
        </w:rPr>
        <w:t xml:space="preserve"> 2; MMP-9, </w:t>
      </w:r>
      <w:r w:rsidRPr="00DD616D">
        <w:rPr>
          <w:rFonts w:ascii="Arial" w:hAnsi="Arial" w:cs="Arial"/>
          <w:sz w:val="20"/>
          <w:szCs w:val="20"/>
        </w:rPr>
        <w:t>matrix metalloproteinases</w:t>
      </w:r>
      <w:r w:rsidRPr="00DD616D">
        <w:rPr>
          <w:rFonts w:ascii="Arial" w:hAnsi="Arial" w:cs="Arial" w:hint="eastAsia"/>
          <w:sz w:val="20"/>
          <w:szCs w:val="20"/>
        </w:rPr>
        <w:t xml:space="preserve"> 9; </w:t>
      </w:r>
      <w:r w:rsidRPr="00DD616D">
        <w:rPr>
          <w:rFonts w:ascii="Arial" w:hAnsi="Arial" w:cs="Arial"/>
          <w:sz w:val="20"/>
          <w:szCs w:val="20"/>
        </w:rPr>
        <w:t>MT1-MMP, membrane type-1 MMP; TIMP, tissue inhibitors of metalloproteinases</w:t>
      </w:r>
      <w:r w:rsidRPr="00DD616D">
        <w:rPr>
          <w:rFonts w:ascii="Arial" w:hAnsi="Arial" w:cs="Arial" w:hint="eastAsia"/>
          <w:sz w:val="20"/>
          <w:szCs w:val="20"/>
        </w:rPr>
        <w:t xml:space="preserve">; GAPDH, </w:t>
      </w:r>
      <w:r w:rsidRPr="00DD616D">
        <w:rPr>
          <w:rFonts w:ascii="Arial" w:hAnsi="Arial" w:cs="Arial"/>
          <w:sz w:val="20"/>
          <w:szCs w:val="20"/>
        </w:rPr>
        <w:t>glyceraldehyde-3-phosphate dehydrogenase</w:t>
      </w:r>
      <w:r w:rsidRPr="00DD616D">
        <w:rPr>
          <w:rFonts w:ascii="Arial" w:hAnsi="Arial" w:cs="Arial" w:hint="eastAsia"/>
          <w:sz w:val="20"/>
          <w:szCs w:val="20"/>
        </w:rPr>
        <w:t>.</w:t>
      </w: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037A8E" w:rsidRPr="00DD616D" w:rsidRDefault="00037A8E" w:rsidP="00037A8E">
      <w:pPr>
        <w:rPr>
          <w:rFonts w:ascii="Arial" w:hAnsi="Arial" w:cs="Arial"/>
          <w:sz w:val="24"/>
        </w:rPr>
      </w:pPr>
      <w:r w:rsidRPr="00DD616D">
        <w:rPr>
          <w:rFonts w:ascii="Arial" w:hAnsi="Arial" w:cs="Arial"/>
          <w:b/>
          <w:sz w:val="24"/>
        </w:rPr>
        <w:lastRenderedPageBreak/>
        <w:t>Table S3</w:t>
      </w:r>
      <w:r w:rsidRPr="00DD616D">
        <w:rPr>
          <w:rFonts w:ascii="Arial" w:hAnsi="Arial" w:cs="Arial"/>
          <w:sz w:val="24"/>
        </w:rPr>
        <w:t xml:space="preserve"> </w:t>
      </w:r>
      <w:r w:rsidR="009F0426" w:rsidRPr="00DD616D">
        <w:rPr>
          <w:rFonts w:ascii="Arial" w:hAnsi="Arial" w:cs="Arial"/>
          <w:i/>
          <w:sz w:val="24"/>
        </w:rPr>
        <w:t>Effects of high</w:t>
      </w:r>
      <w:r w:rsidR="009F0426" w:rsidRPr="00DD616D">
        <w:rPr>
          <w:rFonts w:ascii="Arial" w:hAnsi="Arial" w:cs="Arial" w:hint="eastAsia"/>
          <w:i/>
          <w:sz w:val="24"/>
        </w:rPr>
        <w:t xml:space="preserve"> </w:t>
      </w:r>
      <w:r w:rsidRPr="00DD616D">
        <w:rPr>
          <w:rFonts w:ascii="Arial" w:hAnsi="Arial" w:cs="Arial"/>
          <w:i/>
          <w:sz w:val="24"/>
        </w:rPr>
        <w:t>grain</w:t>
      </w:r>
      <w:r w:rsidR="009F0426" w:rsidRPr="00DD616D">
        <w:rPr>
          <w:rFonts w:ascii="Arial" w:hAnsi="Arial" w:cs="Arial" w:hint="eastAsia"/>
          <w:i/>
          <w:sz w:val="24"/>
        </w:rPr>
        <w:t xml:space="preserve"> (HG)</w:t>
      </w:r>
      <w:r w:rsidRPr="00DD616D">
        <w:rPr>
          <w:rFonts w:ascii="Arial" w:hAnsi="Arial" w:cs="Arial"/>
          <w:i/>
          <w:sz w:val="24"/>
        </w:rPr>
        <w:t xml:space="preserve"> diet on estimators of rumen bacterial richness and diversity.</w:t>
      </w:r>
    </w:p>
    <w:p w:rsidR="00037A8E" w:rsidRPr="00DD616D" w:rsidRDefault="00037A8E" w:rsidP="00037A8E"/>
    <w:tbl>
      <w:tblPr>
        <w:tblW w:w="7844" w:type="dxa"/>
        <w:tblInd w:w="93" w:type="dxa"/>
        <w:tblLook w:val="04A0" w:firstRow="1" w:lastRow="0" w:firstColumn="1" w:lastColumn="0" w:noHBand="0" w:noVBand="1"/>
      </w:tblPr>
      <w:tblGrid>
        <w:gridCol w:w="2126"/>
        <w:gridCol w:w="1906"/>
        <w:gridCol w:w="1906"/>
        <w:gridCol w:w="1906"/>
      </w:tblGrid>
      <w:tr w:rsidR="00DD616D" w:rsidRPr="00DD616D" w:rsidTr="00582CA6">
        <w:trPr>
          <w:trHeight w:val="288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Hay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HG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i/>
                <w:kern w:val="0"/>
                <w:sz w:val="22"/>
                <w:szCs w:val="21"/>
              </w:rPr>
              <w:t>P</w:t>
            </w: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 xml:space="preserve"> value</w:t>
            </w:r>
          </w:p>
        </w:tc>
      </w:tr>
      <w:tr w:rsidR="00DD616D" w:rsidRPr="00DD616D" w:rsidTr="00582CA6">
        <w:trPr>
          <w:trHeight w:val="28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Ace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708 ± 29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355 ± 57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&lt;0.001</w:t>
            </w:r>
          </w:p>
        </w:tc>
      </w:tr>
      <w:tr w:rsidR="00DD616D" w:rsidRPr="00DD616D" w:rsidTr="00582CA6">
        <w:trPr>
          <w:trHeight w:val="28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Chao 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717 ± 37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367 ± 58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&lt;0.001</w:t>
            </w:r>
          </w:p>
        </w:tc>
      </w:tr>
      <w:tr w:rsidR="00DD616D" w:rsidRPr="00DD616D" w:rsidTr="00582CA6">
        <w:trPr>
          <w:trHeight w:val="28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Shannon index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4.34 ± 0.10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3.30 ± 0.43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 xml:space="preserve">0.001 </w:t>
            </w:r>
          </w:p>
        </w:tc>
      </w:tr>
      <w:tr w:rsidR="00DD616D" w:rsidRPr="00DD616D" w:rsidTr="00582CA6">
        <w:trPr>
          <w:trHeight w:val="288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Simpson index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0.05 ± 0.02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>0.09 ± 0.04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A8E" w:rsidRPr="00DD616D" w:rsidRDefault="00037A8E" w:rsidP="00582CA6">
            <w:pPr>
              <w:widowControl/>
              <w:jc w:val="left"/>
              <w:rPr>
                <w:rFonts w:ascii="Arial" w:eastAsia="SimSun" w:hAnsi="Arial" w:cs="Arial"/>
                <w:kern w:val="0"/>
                <w:sz w:val="22"/>
                <w:szCs w:val="21"/>
              </w:rPr>
            </w:pPr>
            <w:r w:rsidRPr="00DD616D">
              <w:rPr>
                <w:rFonts w:ascii="Arial" w:eastAsia="SimSun" w:hAnsi="Arial" w:cs="Arial"/>
                <w:kern w:val="0"/>
                <w:sz w:val="22"/>
                <w:szCs w:val="21"/>
              </w:rPr>
              <w:t xml:space="preserve">0.040 </w:t>
            </w:r>
          </w:p>
        </w:tc>
      </w:tr>
    </w:tbl>
    <w:p w:rsidR="00037A8E" w:rsidRPr="00DD616D" w:rsidRDefault="00037A8E" w:rsidP="009F0426">
      <w:pPr>
        <w:autoSpaceDE w:val="0"/>
        <w:autoSpaceDN w:val="0"/>
        <w:adjustRightInd w:val="0"/>
        <w:rPr>
          <w:rFonts w:ascii="Arial" w:eastAsia="AdvP4DF60E" w:hAnsi="Arial" w:cs="Arial"/>
          <w:kern w:val="0"/>
          <w:sz w:val="20"/>
          <w:szCs w:val="21"/>
        </w:rPr>
      </w:pPr>
      <w:r w:rsidRPr="00DD616D">
        <w:rPr>
          <w:rFonts w:ascii="Arial" w:hAnsi="Arial" w:cs="Arial"/>
          <w:kern w:val="0"/>
          <w:sz w:val="20"/>
          <w:szCs w:val="21"/>
        </w:rPr>
        <w:t xml:space="preserve">Values are means </w:t>
      </w:r>
      <w:r w:rsidRPr="00DD616D">
        <w:rPr>
          <w:rFonts w:ascii="Arial" w:eastAsia="SimSun" w:hAnsi="Arial" w:cs="Arial"/>
          <w:kern w:val="0"/>
          <w:sz w:val="20"/>
          <w:szCs w:val="21"/>
        </w:rPr>
        <w:t xml:space="preserve">± </w:t>
      </w:r>
      <w:r w:rsidRPr="00DD616D">
        <w:rPr>
          <w:rFonts w:ascii="Arial" w:hAnsi="Arial" w:cs="Arial"/>
          <w:kern w:val="0"/>
          <w:sz w:val="20"/>
          <w:szCs w:val="21"/>
        </w:rPr>
        <w:t xml:space="preserve">SE, </w:t>
      </w:r>
      <w:r w:rsidRPr="00DD616D">
        <w:rPr>
          <w:rFonts w:ascii="Arial" w:hAnsi="Arial" w:cs="Arial"/>
          <w:i/>
          <w:iCs/>
          <w:kern w:val="0"/>
          <w:sz w:val="20"/>
          <w:szCs w:val="21"/>
        </w:rPr>
        <w:t xml:space="preserve">n </w:t>
      </w:r>
      <w:r w:rsidRPr="00DD616D">
        <w:rPr>
          <w:rFonts w:ascii="Arial" w:hAnsi="Arial" w:cs="Arial"/>
          <w:kern w:val="0"/>
          <w:sz w:val="20"/>
          <w:szCs w:val="21"/>
        </w:rPr>
        <w:t>=6</w:t>
      </w: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4D330D" w:rsidRPr="00DD616D" w:rsidRDefault="004D330D" w:rsidP="00390970">
      <w:pPr>
        <w:widowControl/>
        <w:jc w:val="left"/>
        <w:rPr>
          <w:rFonts w:ascii="Times New Roman" w:hAnsi="Times New Roman" w:cs="Times New Roman"/>
        </w:rPr>
      </w:pPr>
    </w:p>
    <w:p w:rsidR="00C9020F" w:rsidRPr="00DD616D" w:rsidRDefault="00C9020F">
      <w:pPr>
        <w:widowControl/>
        <w:jc w:val="left"/>
        <w:rPr>
          <w:rFonts w:ascii="Times New Roman" w:hAnsi="Times New Roman" w:cs="Times New Roman"/>
        </w:rPr>
      </w:pPr>
      <w:r w:rsidRPr="00DD616D">
        <w:rPr>
          <w:rFonts w:ascii="Times New Roman" w:hAnsi="Times New Roman" w:cs="Times New Roman"/>
        </w:rPr>
        <w:br w:type="page"/>
      </w:r>
    </w:p>
    <w:p w:rsidR="00C9020F" w:rsidRPr="00DD616D" w:rsidRDefault="00C9020F" w:rsidP="00390970">
      <w:pPr>
        <w:widowControl/>
        <w:jc w:val="left"/>
        <w:rPr>
          <w:rFonts w:ascii="Times New Roman" w:hAnsi="Times New Roman" w:cs="Times New Roman"/>
        </w:rPr>
        <w:sectPr w:rsidR="00C9020F" w:rsidRPr="00DD616D" w:rsidSect="0039097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4D330D" w:rsidRPr="00DD616D" w:rsidRDefault="004D330D" w:rsidP="00390970">
      <w:pPr>
        <w:widowControl/>
        <w:jc w:val="left"/>
        <w:rPr>
          <w:rFonts w:ascii="Arial" w:hAnsi="Arial" w:cs="Arial"/>
          <w:sz w:val="24"/>
        </w:rPr>
      </w:pPr>
      <w:r w:rsidRPr="00DD616D">
        <w:rPr>
          <w:rFonts w:ascii="Arial" w:hAnsi="Arial" w:cs="Arial"/>
          <w:b/>
          <w:sz w:val="24"/>
        </w:rPr>
        <w:lastRenderedPageBreak/>
        <w:t>Table S</w:t>
      </w:r>
      <w:r w:rsidR="00037A8E" w:rsidRPr="00DD616D">
        <w:rPr>
          <w:rFonts w:ascii="Arial" w:hAnsi="Arial" w:cs="Arial"/>
          <w:b/>
          <w:sz w:val="24"/>
        </w:rPr>
        <w:t>4</w:t>
      </w:r>
      <w:r w:rsidRPr="00DD616D">
        <w:rPr>
          <w:rFonts w:ascii="Arial" w:hAnsi="Arial" w:cs="Arial"/>
          <w:sz w:val="24"/>
        </w:rPr>
        <w:t xml:space="preserve"> </w:t>
      </w:r>
      <w:r w:rsidRPr="00DD616D">
        <w:rPr>
          <w:rFonts w:ascii="Arial" w:hAnsi="Arial" w:cs="Arial"/>
          <w:i/>
          <w:sz w:val="24"/>
        </w:rPr>
        <w:t xml:space="preserve">Effects of </w:t>
      </w:r>
      <w:r w:rsidR="009F0426" w:rsidRPr="00DD616D">
        <w:rPr>
          <w:rFonts w:ascii="Arial" w:hAnsi="Arial" w:cs="Arial" w:hint="eastAsia"/>
          <w:i/>
          <w:sz w:val="24"/>
        </w:rPr>
        <w:t>high grain (</w:t>
      </w:r>
      <w:r w:rsidRPr="00DD616D">
        <w:rPr>
          <w:rFonts w:ascii="Arial" w:hAnsi="Arial" w:cs="Arial"/>
          <w:i/>
          <w:sz w:val="24"/>
        </w:rPr>
        <w:t>HG</w:t>
      </w:r>
      <w:r w:rsidR="009F0426" w:rsidRPr="00DD616D">
        <w:rPr>
          <w:rFonts w:ascii="Arial" w:hAnsi="Arial" w:cs="Arial" w:hint="eastAsia"/>
          <w:i/>
          <w:sz w:val="24"/>
        </w:rPr>
        <w:t>)</w:t>
      </w:r>
      <w:r w:rsidRPr="00DD616D">
        <w:rPr>
          <w:rFonts w:ascii="Arial" w:hAnsi="Arial" w:cs="Arial"/>
          <w:i/>
          <w:sz w:val="24"/>
        </w:rPr>
        <w:t xml:space="preserve"> diet feeding on the relative abundance of </w:t>
      </w:r>
      <w:r w:rsidR="00EA0C18" w:rsidRPr="00DD616D">
        <w:rPr>
          <w:rFonts w:ascii="Arial" w:hAnsi="Arial" w:cs="Arial"/>
          <w:i/>
          <w:sz w:val="24"/>
        </w:rPr>
        <w:t xml:space="preserve">the predicted </w:t>
      </w:r>
      <w:r w:rsidRPr="00DD616D">
        <w:rPr>
          <w:rFonts w:ascii="Arial" w:hAnsi="Arial" w:cs="Arial"/>
          <w:i/>
          <w:sz w:val="24"/>
        </w:rPr>
        <w:t>carbohydrate-active enzymes</w:t>
      </w:r>
      <w:r w:rsidR="00EA0C18" w:rsidRPr="00DD616D">
        <w:rPr>
          <w:rFonts w:ascii="Arial" w:hAnsi="Arial" w:cs="Arial"/>
          <w:i/>
          <w:sz w:val="24"/>
        </w:rPr>
        <w:t xml:space="preserve">. Only the </w:t>
      </w:r>
      <w:r w:rsidR="00707CD0" w:rsidRPr="00DD616D">
        <w:rPr>
          <w:rFonts w:ascii="Arial" w:hAnsi="Arial" w:cs="Arial"/>
          <w:i/>
          <w:sz w:val="24"/>
        </w:rPr>
        <w:t xml:space="preserve">enzymes that were </w:t>
      </w:r>
      <w:r w:rsidR="00EA0C18" w:rsidRPr="00DD616D">
        <w:rPr>
          <w:rFonts w:ascii="Arial" w:hAnsi="Arial" w:cs="Arial"/>
          <w:i/>
          <w:sz w:val="24"/>
        </w:rPr>
        <w:t>high-abundant (</w:t>
      </w:r>
      <w:r w:rsidR="00707CD0" w:rsidRPr="00DD616D">
        <w:rPr>
          <w:rFonts w:ascii="Arial" w:hAnsi="Arial" w:cs="Arial"/>
          <w:i/>
          <w:sz w:val="24"/>
        </w:rPr>
        <w:t>the relative abundance ≥0.1% at least in one group</w:t>
      </w:r>
      <w:r w:rsidR="00EA0C18" w:rsidRPr="00DD616D">
        <w:rPr>
          <w:rFonts w:ascii="Arial" w:hAnsi="Arial" w:cs="Arial"/>
          <w:i/>
          <w:sz w:val="24"/>
        </w:rPr>
        <w:t>)</w:t>
      </w:r>
      <w:r w:rsidR="00707CD0" w:rsidRPr="00DD616D">
        <w:rPr>
          <w:rFonts w:ascii="Arial" w:hAnsi="Arial" w:cs="Arial"/>
          <w:i/>
          <w:sz w:val="24"/>
        </w:rPr>
        <w:t xml:space="preserve"> and exhibited dramatic changes (False discovery ration &lt;0.05 and the fold change &gt;1.5 or &lt;0.6) were presented.</w:t>
      </w:r>
    </w:p>
    <w:tbl>
      <w:tblPr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9642"/>
        <w:gridCol w:w="1134"/>
        <w:gridCol w:w="839"/>
        <w:gridCol w:w="987"/>
        <w:gridCol w:w="1151"/>
        <w:gridCol w:w="1006"/>
      </w:tblGrid>
      <w:tr w:rsidR="00DD616D" w:rsidRPr="00DD616D" w:rsidTr="002C2D71">
        <w:trPr>
          <w:trHeight w:val="753"/>
          <w:jc w:val="center"/>
        </w:trPr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KEGG 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KEGG</w:t>
            </w:r>
          </w:p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orthology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Hay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HG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False discovery ration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Fold change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T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wo-component system, sensor histidine kinase YesM [EC:2.7.13.3]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K07718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0.18%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1.77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lpha-N-arabinofuranosidase [EC:3.2.1.55]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0.09%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0.17%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1.85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R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ibose 5-phosphate isomerase B [EC:5.3.1.6]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K01808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0.17%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1.57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O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rotate phosphoribosyltransferase [EC:2.4.2.10]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K00762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0.08%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0.13%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1.55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S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ortase B;sortase B [EC:3.4.22.70]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K08600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1.80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DNA polymerase IV [EC:2.7.7.7]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K02346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1.96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sparagine synthase (glutamine-hydrolysing) [EC:6.3.5.4]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K01953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0.07%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1.57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spartyl-tRNA(Asn)/glutamyl-tRNA (Gln) amidotransferase subunit A [EC:6.3.5.6 6.3.5.7]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K02433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0.10%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1.59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B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eta-galactosidase [EC:3.2.1.23]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K01190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0.25%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0.14%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C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arboxyl-terminal processing protease [EC:3.4.21.102]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K03797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0.09%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0.60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P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hosphopantothenoylcysteine decarboxylase / phosphopantothenate--cysteine ligase [EC:4.1.1.36 6.3.2.5]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K13038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0.09%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H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exosaminidase [EC:3.2.1.52]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K12373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0.08%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0.49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3,4-dihydroxy 2-butanone 4-phosphate synthase / GTP cyclohydrolase II [EC:4.1.99.12 3.5.4.25]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K14652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0.07%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0.53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lpha-glucosidase [EC:3.2.1.20]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0.13%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0.50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L-serine dehydratase [EC:4.3.1.17]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K01752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0.57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D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ipeptidase D [EC:3.4.13.-]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0.11%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0.58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131FE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D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iaminohydroxyphosphoribosylaminopyrimidine deaminase / 5-amino-6-(5-phosphoribosylamino)uracil </w:t>
            </w: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R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eductase [EC:3.5.4.26 1.1.1.193]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K11752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0.54</w:t>
            </w:r>
          </w:p>
        </w:tc>
      </w:tr>
      <w:tr w:rsidR="00DD616D" w:rsidRPr="00DD616D" w:rsidTr="002C2D71">
        <w:trPr>
          <w:trHeight w:val="377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P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eptide methionine sulfoxide reductase msrA/msrB [EC:1.8.4.11 1.8.4.12]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K12267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0.60</w:t>
            </w:r>
          </w:p>
        </w:tc>
      </w:tr>
      <w:tr w:rsidR="00243625" w:rsidRPr="00DD616D" w:rsidTr="002C2D71">
        <w:trPr>
          <w:trHeight w:val="186"/>
          <w:jc w:val="center"/>
        </w:trPr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E131FE" w:rsidP="00EE664B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L</w:t>
            </w:r>
            <w:r w:rsidR="00C9020F"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actoylglutathione lyase [EC:4.4.1.5]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K01759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0.026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0F" w:rsidRPr="00DD616D" w:rsidRDefault="00C9020F" w:rsidP="00C9020F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DD616D">
              <w:rPr>
                <w:rFonts w:ascii="Arial" w:eastAsia="SimSun" w:hAnsi="Arial" w:cs="Arial"/>
                <w:kern w:val="0"/>
                <w:sz w:val="20"/>
                <w:szCs w:val="20"/>
              </w:rPr>
              <w:t>0.54</w:t>
            </w:r>
          </w:p>
        </w:tc>
      </w:tr>
    </w:tbl>
    <w:p w:rsidR="00C9020F" w:rsidRPr="00DD616D" w:rsidRDefault="00C9020F" w:rsidP="002C2D71">
      <w:pPr>
        <w:widowControl/>
        <w:jc w:val="left"/>
        <w:rPr>
          <w:rFonts w:ascii="Times New Roman" w:hAnsi="Times New Roman" w:cs="Times New Roman"/>
        </w:rPr>
      </w:pPr>
    </w:p>
    <w:sectPr w:rsidR="00C9020F" w:rsidRPr="00DD616D" w:rsidSect="00C9020F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E1" w:rsidRDefault="00185CE1" w:rsidP="00B87725">
      <w:r>
        <w:separator/>
      </w:r>
    </w:p>
  </w:endnote>
  <w:endnote w:type="continuationSeparator" w:id="0">
    <w:p w:rsidR="00185CE1" w:rsidRDefault="00185CE1" w:rsidP="00B8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KEOI J+ Univers">
    <w:altName w:val="Malgun Gothic Semilight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4DF611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dvP4DF60E">
    <w:altName w:val="SimSun"/>
    <w:charset w:val="86"/>
    <w:family w:val="auto"/>
    <w:pitch w:val="default"/>
    <w:sig w:usb0="00000000" w:usb1="080E0000" w:usb2="00000010" w:usb3="00000000" w:csb0="00040000" w:csb1="00000000"/>
  </w:font>
  <w:font w:name="方正兰亭超细黑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PrestigeElite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E1" w:rsidRDefault="00185CE1" w:rsidP="00B87725">
      <w:r>
        <w:separator/>
      </w:r>
    </w:p>
  </w:footnote>
  <w:footnote w:type="continuationSeparator" w:id="0">
    <w:p w:rsidR="00185CE1" w:rsidRDefault="00185CE1" w:rsidP="00B8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TcxsjQ0MDQ1MzdV0lEKTi0uzszPAykwrAUA9ae+ViwAAAA="/>
  </w:docVars>
  <w:rsids>
    <w:rsidRoot w:val="00C73C86"/>
    <w:rsid w:val="00037A8E"/>
    <w:rsid w:val="000743FF"/>
    <w:rsid w:val="000C5738"/>
    <w:rsid w:val="000D4FBB"/>
    <w:rsid w:val="000F5168"/>
    <w:rsid w:val="001502D8"/>
    <w:rsid w:val="00176ED4"/>
    <w:rsid w:val="00185CE1"/>
    <w:rsid w:val="00187DA0"/>
    <w:rsid w:val="00200454"/>
    <w:rsid w:val="00203C96"/>
    <w:rsid w:val="00243625"/>
    <w:rsid w:val="00295EBB"/>
    <w:rsid w:val="002C2D71"/>
    <w:rsid w:val="00301647"/>
    <w:rsid w:val="00345CFB"/>
    <w:rsid w:val="003501FC"/>
    <w:rsid w:val="00390970"/>
    <w:rsid w:val="003D3769"/>
    <w:rsid w:val="003E3331"/>
    <w:rsid w:val="00466A27"/>
    <w:rsid w:val="004B713E"/>
    <w:rsid w:val="004D108B"/>
    <w:rsid w:val="004D330D"/>
    <w:rsid w:val="00582009"/>
    <w:rsid w:val="005A31B0"/>
    <w:rsid w:val="005E2E68"/>
    <w:rsid w:val="00662867"/>
    <w:rsid w:val="006C00B2"/>
    <w:rsid w:val="00707CD0"/>
    <w:rsid w:val="00720739"/>
    <w:rsid w:val="0074141E"/>
    <w:rsid w:val="007A384A"/>
    <w:rsid w:val="007C24A5"/>
    <w:rsid w:val="007C6CAC"/>
    <w:rsid w:val="008225D2"/>
    <w:rsid w:val="0083503A"/>
    <w:rsid w:val="00896249"/>
    <w:rsid w:val="008C2B36"/>
    <w:rsid w:val="008E2B35"/>
    <w:rsid w:val="008E2D62"/>
    <w:rsid w:val="009D4EEA"/>
    <w:rsid w:val="009E6498"/>
    <w:rsid w:val="009F0426"/>
    <w:rsid w:val="00A751CB"/>
    <w:rsid w:val="00AC2680"/>
    <w:rsid w:val="00AD10BC"/>
    <w:rsid w:val="00AF1F3B"/>
    <w:rsid w:val="00B87725"/>
    <w:rsid w:val="00B90CDA"/>
    <w:rsid w:val="00C10211"/>
    <w:rsid w:val="00C22C13"/>
    <w:rsid w:val="00C70281"/>
    <w:rsid w:val="00C73C86"/>
    <w:rsid w:val="00C818FB"/>
    <w:rsid w:val="00C83467"/>
    <w:rsid w:val="00C87A97"/>
    <w:rsid w:val="00C9020F"/>
    <w:rsid w:val="00CB3FAF"/>
    <w:rsid w:val="00CC2F7A"/>
    <w:rsid w:val="00DD616D"/>
    <w:rsid w:val="00E0055E"/>
    <w:rsid w:val="00E125D2"/>
    <w:rsid w:val="00E131FE"/>
    <w:rsid w:val="00EA0C18"/>
    <w:rsid w:val="00EE67C7"/>
    <w:rsid w:val="00EF6CA5"/>
    <w:rsid w:val="00F72A94"/>
    <w:rsid w:val="00F73A3F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6D55C-7AD2-4BCD-A329-6B481DD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B8772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8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87725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72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725"/>
    <w:rPr>
      <w:sz w:val="18"/>
      <w:szCs w:val="18"/>
    </w:rPr>
  </w:style>
  <w:style w:type="paragraph" w:customStyle="1" w:styleId="Default">
    <w:name w:val="Default"/>
    <w:rsid w:val="00390970"/>
    <w:pPr>
      <w:widowControl w:val="0"/>
      <w:autoSpaceDE w:val="0"/>
      <w:autoSpaceDN w:val="0"/>
      <w:adjustRightInd w:val="0"/>
    </w:pPr>
    <w:rPr>
      <w:rFonts w:ascii="PKEOI J+ Univers" w:eastAsia="PKEOI J+ Univers" w:cs="PKEOI J+ Univers"/>
      <w:color w:val="000000"/>
      <w:kern w:val="0"/>
      <w:sz w:val="24"/>
      <w:szCs w:val="24"/>
    </w:rPr>
  </w:style>
  <w:style w:type="table" w:styleId="Ombrageclair">
    <w:name w:val="Light Shading"/>
    <w:basedOn w:val="TableauNormal"/>
    <w:uiPriority w:val="60"/>
    <w:rsid w:val="003909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shengyong@163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ANM</cp:lastModifiedBy>
  <cp:revision>4</cp:revision>
  <cp:lastPrinted>2017-08-04T11:57:00Z</cp:lastPrinted>
  <dcterms:created xsi:type="dcterms:W3CDTF">2018-02-09T13:43:00Z</dcterms:created>
  <dcterms:modified xsi:type="dcterms:W3CDTF">2018-02-09T13:44:00Z</dcterms:modified>
</cp:coreProperties>
</file>