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87" w:rsidRDefault="008D7887" w:rsidP="008D7887">
      <w:pPr>
        <w:jc w:val="left"/>
        <w:rPr>
          <w:rFonts w:eastAsia="Times New Roman"/>
          <w:b/>
          <w:kern w:val="0"/>
          <w:szCs w:val="24"/>
          <w:lang w:val="en-GB" w:eastAsia="fr-FR"/>
        </w:rPr>
      </w:pPr>
      <w:bookmarkStart w:id="0" w:name="_GoBack"/>
      <w:bookmarkEnd w:id="0"/>
      <w:r w:rsidRPr="00A054B1">
        <w:rPr>
          <w:rFonts w:eastAsia="Times New Roman"/>
          <w:b/>
          <w:kern w:val="0"/>
          <w:szCs w:val="24"/>
          <w:lang w:val="en-GB" w:eastAsia="fr-FR"/>
        </w:rPr>
        <w:t xml:space="preserve">Postnatal differential expression of chemoreceptors of free fatty acids along the gastrointestinal tract of supplemental feeding versus grazing </w:t>
      </w:r>
      <w:r w:rsidR="00352E4B">
        <w:rPr>
          <w:rFonts w:eastAsia="Times New Roman"/>
          <w:b/>
          <w:kern w:val="0"/>
          <w:szCs w:val="24"/>
          <w:lang w:val="en-GB" w:eastAsia="fr-FR"/>
        </w:rPr>
        <w:t xml:space="preserve">kid </w:t>
      </w:r>
      <w:r w:rsidR="00393260" w:rsidRPr="00A054B1">
        <w:rPr>
          <w:rFonts w:eastAsia="Times New Roman"/>
          <w:b/>
          <w:kern w:val="0"/>
          <w:szCs w:val="24"/>
          <w:lang w:val="en-GB" w:eastAsia="fr-FR"/>
        </w:rPr>
        <w:t>goat</w:t>
      </w:r>
      <w:r w:rsidR="00352E4B">
        <w:rPr>
          <w:rFonts w:eastAsia="Times New Roman"/>
          <w:b/>
          <w:kern w:val="0"/>
          <w:szCs w:val="24"/>
          <w:lang w:val="en-GB" w:eastAsia="fr-FR"/>
        </w:rPr>
        <w:t>s</w:t>
      </w:r>
    </w:p>
    <w:p w:rsidR="008D7887" w:rsidRDefault="008D7887" w:rsidP="008D7887">
      <w:pPr>
        <w:pStyle w:val="Titre1"/>
        <w:spacing w:before="0" w:after="0" w:line="480" w:lineRule="auto"/>
        <w:jc w:val="left"/>
        <w:rPr>
          <w:b w:val="0"/>
          <w:szCs w:val="24"/>
        </w:rPr>
      </w:pPr>
    </w:p>
    <w:p w:rsidR="008D7887" w:rsidRDefault="008D7887" w:rsidP="008D7887">
      <w:pPr>
        <w:rPr>
          <w:rFonts w:eastAsia="Times New Roman"/>
          <w:kern w:val="0"/>
          <w:szCs w:val="24"/>
          <w:lang w:val="en-GB" w:eastAsia="fr-FR"/>
        </w:rPr>
      </w:pPr>
      <w:r w:rsidRPr="00A054B1">
        <w:rPr>
          <w:rFonts w:eastAsia="Times New Roman"/>
          <w:kern w:val="0"/>
          <w:szCs w:val="24"/>
          <w:lang w:val="en-GB" w:eastAsia="fr-FR"/>
        </w:rPr>
        <w:t>T</w:t>
      </w:r>
      <w:r>
        <w:rPr>
          <w:rFonts w:eastAsia="Times New Roman"/>
          <w:kern w:val="0"/>
          <w:szCs w:val="24"/>
          <w:lang w:val="en-GB" w:eastAsia="fr-FR"/>
        </w:rPr>
        <w:t>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Ran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1, 2</w:t>
      </w:r>
      <w:r w:rsidRPr="00A054B1">
        <w:rPr>
          <w:rFonts w:eastAsia="Times New Roman"/>
          <w:kern w:val="0"/>
          <w:szCs w:val="24"/>
          <w:lang w:val="en-GB" w:eastAsia="fr-FR"/>
        </w:rPr>
        <w:t>, Y</w:t>
      </w:r>
      <w:r>
        <w:rPr>
          <w:rFonts w:eastAsia="Times New Roman"/>
          <w:kern w:val="0"/>
          <w:szCs w:val="24"/>
          <w:lang w:val="en-GB" w:eastAsia="fr-FR"/>
        </w:rPr>
        <w:t>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Liu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</w:t>
      </w:r>
      <w:r w:rsidRPr="00A054B1">
        <w:rPr>
          <w:rFonts w:eastAsia="Times New Roman"/>
          <w:kern w:val="0"/>
          <w:szCs w:val="24"/>
          <w:lang w:val="en-GB" w:eastAsia="fr-FR"/>
        </w:rPr>
        <w:t>, J</w:t>
      </w:r>
      <w:r>
        <w:rPr>
          <w:rFonts w:eastAsia="Times New Roman"/>
          <w:kern w:val="0"/>
          <w:szCs w:val="24"/>
          <w:lang w:val="en-GB" w:eastAsia="fr-FR"/>
        </w:rPr>
        <w:t>. Z.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Jiao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</w:t>
      </w:r>
      <w:r w:rsidRPr="00A054B1">
        <w:rPr>
          <w:rFonts w:eastAsia="Times New Roman"/>
          <w:kern w:val="0"/>
          <w:szCs w:val="24"/>
          <w:lang w:val="en-GB" w:eastAsia="fr-FR"/>
        </w:rPr>
        <w:t>, C</w:t>
      </w:r>
      <w:r>
        <w:rPr>
          <w:rFonts w:eastAsia="Times New Roman"/>
          <w:kern w:val="0"/>
          <w:szCs w:val="24"/>
          <w:lang w:val="en-GB" w:eastAsia="fr-FR"/>
        </w:rPr>
        <w:t>. S.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Zhou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 xml:space="preserve">1, 3, </w:t>
      </w:r>
      <w:r w:rsidRPr="00A054B1">
        <w:rPr>
          <w:rFonts w:eastAsia="Times New Roman"/>
          <w:kern w:val="0"/>
          <w:szCs w:val="24"/>
          <w:lang w:val="en-GB" w:eastAsia="fr-FR"/>
        </w:rPr>
        <w:t>*, S</w:t>
      </w:r>
      <w:r>
        <w:rPr>
          <w:rFonts w:eastAsia="Times New Roman"/>
          <w:kern w:val="0"/>
          <w:szCs w:val="24"/>
          <w:lang w:val="en-GB" w:eastAsia="fr-FR"/>
        </w:rPr>
        <w:t>. X.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Tang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1, 3</w:t>
      </w:r>
      <w:r w:rsidRPr="00A054B1">
        <w:rPr>
          <w:rFonts w:eastAsia="Times New Roman"/>
          <w:kern w:val="0"/>
          <w:szCs w:val="24"/>
          <w:lang w:val="en-GB" w:eastAsia="fr-FR"/>
        </w:rPr>
        <w:t>, M</w:t>
      </w:r>
      <w:r>
        <w:rPr>
          <w:rFonts w:eastAsia="Times New Roman"/>
          <w:kern w:val="0"/>
          <w:szCs w:val="24"/>
          <w:lang w:val="en-GB" w:eastAsia="fr-FR"/>
        </w:rPr>
        <w:t>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Wang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1, 3</w:t>
      </w:r>
      <w:r w:rsidRPr="00A054B1">
        <w:rPr>
          <w:rFonts w:eastAsia="Times New Roman"/>
          <w:kern w:val="0"/>
          <w:szCs w:val="24"/>
          <w:lang w:val="en-GB" w:eastAsia="fr-FR"/>
        </w:rPr>
        <w:t>, Z</w:t>
      </w:r>
      <w:r>
        <w:rPr>
          <w:rFonts w:eastAsia="Times New Roman"/>
          <w:kern w:val="0"/>
          <w:szCs w:val="24"/>
          <w:lang w:val="en-GB" w:eastAsia="fr-FR"/>
        </w:rPr>
        <w:t>. X.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He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</w:t>
      </w:r>
      <w:r w:rsidRPr="00A054B1">
        <w:rPr>
          <w:rFonts w:eastAsia="Times New Roman"/>
          <w:kern w:val="0"/>
          <w:szCs w:val="24"/>
          <w:lang w:val="en-GB" w:eastAsia="fr-FR"/>
        </w:rPr>
        <w:t>, Z</w:t>
      </w:r>
      <w:r>
        <w:rPr>
          <w:rFonts w:eastAsia="Times New Roman"/>
          <w:kern w:val="0"/>
          <w:szCs w:val="24"/>
          <w:lang w:val="en-GB" w:eastAsia="fr-FR"/>
        </w:rPr>
        <w:t xml:space="preserve">. L. 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Tan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1, 3</w:t>
      </w:r>
      <w:r w:rsidRPr="00A054B1">
        <w:rPr>
          <w:rFonts w:eastAsia="Times New Roman"/>
          <w:kern w:val="0"/>
          <w:szCs w:val="24"/>
          <w:lang w:val="en-GB" w:eastAsia="fr-FR"/>
        </w:rPr>
        <w:t>, W</w:t>
      </w:r>
      <w:r>
        <w:rPr>
          <w:rFonts w:eastAsia="Times New Roman"/>
          <w:kern w:val="0"/>
          <w:szCs w:val="24"/>
          <w:lang w:val="en-GB" w:eastAsia="fr-FR"/>
        </w:rPr>
        <w:t>. Z.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Yang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2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and K</w:t>
      </w:r>
      <w:r>
        <w:rPr>
          <w:rFonts w:eastAsia="Times New Roman"/>
          <w:kern w:val="0"/>
          <w:szCs w:val="24"/>
          <w:lang w:val="en-GB" w:eastAsia="fr-FR"/>
        </w:rPr>
        <w:t>.</w:t>
      </w:r>
      <w:r w:rsidRPr="00A054B1">
        <w:rPr>
          <w:rFonts w:eastAsia="Times New Roman"/>
          <w:kern w:val="0"/>
          <w:szCs w:val="24"/>
          <w:lang w:val="en-GB" w:eastAsia="fr-FR"/>
        </w:rPr>
        <w:t xml:space="preserve"> A. Beauchemin</w:t>
      </w:r>
      <w:r w:rsidRPr="00A054B1">
        <w:rPr>
          <w:rFonts w:eastAsia="Times New Roman"/>
          <w:kern w:val="0"/>
          <w:szCs w:val="24"/>
          <w:vertAlign w:val="superscript"/>
          <w:lang w:val="en-GB" w:eastAsia="fr-FR"/>
        </w:rPr>
        <w:t>2</w:t>
      </w:r>
    </w:p>
    <w:p w:rsidR="006B1911" w:rsidRDefault="006B1911" w:rsidP="008D7887">
      <w:pPr>
        <w:rPr>
          <w:rFonts w:eastAsiaTheme="minorEastAsia"/>
          <w:kern w:val="0"/>
          <w:szCs w:val="24"/>
          <w:lang w:val="en-GB"/>
        </w:rPr>
      </w:pPr>
    </w:p>
    <w:p w:rsidR="006B1911" w:rsidRPr="00A054B1" w:rsidRDefault="006B1911" w:rsidP="006B1911">
      <w:pPr>
        <w:pStyle w:val="Titre1"/>
        <w:spacing w:before="0" w:after="0" w:line="480" w:lineRule="auto"/>
        <w:jc w:val="left"/>
        <w:rPr>
          <w:rFonts w:eastAsia="Times New Roman" w:cs="Arial"/>
          <w:b w:val="0"/>
          <w:bCs w:val="0"/>
          <w:i/>
          <w:kern w:val="2"/>
          <w:szCs w:val="24"/>
        </w:rPr>
      </w:pPr>
      <w:r w:rsidRPr="00A054B1">
        <w:rPr>
          <w:rFonts w:eastAsia="Times New Roman" w:cs="Arial"/>
          <w:b w:val="0"/>
          <w:bCs w:val="0"/>
          <w:i/>
          <w:kern w:val="2"/>
          <w:szCs w:val="24"/>
          <w:vertAlign w:val="superscript"/>
        </w:rPr>
        <w:t>1</w:t>
      </w:r>
      <w:r w:rsidRPr="00A054B1">
        <w:rPr>
          <w:rFonts w:eastAsia="Times New Roman" w:cs="Arial"/>
          <w:b w:val="0"/>
          <w:bCs w:val="0"/>
          <w:i/>
          <w:kern w:val="2"/>
          <w:szCs w:val="24"/>
        </w:rPr>
        <w:t xml:space="preserve">Key Laboratory for Agro-Ecological Processes in Subtropical Region, and National Engineering Laboratory for Pollution Control and Waste Utilization in Livestock and Poultry Production, and South-Central Experimental Station of Animal Nutrition and Feed Science in Ministry of Agriculture, Institute of Subtropical Agriculture, the Chinese Academy of Sciences, Changsha, Hunan 410125, P.R. China; </w:t>
      </w:r>
    </w:p>
    <w:p w:rsidR="006B1911" w:rsidRPr="00A054B1" w:rsidRDefault="006B1911" w:rsidP="006B1911">
      <w:pPr>
        <w:pStyle w:val="Titre1"/>
        <w:spacing w:before="0" w:after="0" w:line="480" w:lineRule="auto"/>
        <w:jc w:val="left"/>
        <w:rPr>
          <w:rFonts w:eastAsia="Times New Roman" w:cs="Arial"/>
          <w:b w:val="0"/>
          <w:bCs w:val="0"/>
          <w:i/>
          <w:kern w:val="2"/>
          <w:szCs w:val="24"/>
        </w:rPr>
      </w:pPr>
      <w:r w:rsidRPr="00A054B1">
        <w:rPr>
          <w:rFonts w:eastAsia="Times New Roman" w:cs="Arial"/>
          <w:b w:val="0"/>
          <w:bCs w:val="0"/>
          <w:i/>
          <w:kern w:val="2"/>
          <w:szCs w:val="24"/>
          <w:vertAlign w:val="superscript"/>
        </w:rPr>
        <w:t>2</w:t>
      </w:r>
      <w:r w:rsidRPr="00A054B1">
        <w:rPr>
          <w:rFonts w:eastAsia="Times New Roman" w:cs="Arial"/>
          <w:b w:val="0"/>
          <w:bCs w:val="0"/>
          <w:i/>
          <w:kern w:val="2"/>
          <w:szCs w:val="24"/>
        </w:rPr>
        <w:t xml:space="preserve">Lethbridge Research Centre, Agriculture and </w:t>
      </w:r>
      <w:proofErr w:type="spellStart"/>
      <w:r w:rsidRPr="00A054B1">
        <w:rPr>
          <w:rFonts w:eastAsia="Times New Roman" w:cs="Arial"/>
          <w:b w:val="0"/>
          <w:bCs w:val="0"/>
          <w:i/>
          <w:kern w:val="2"/>
          <w:szCs w:val="24"/>
        </w:rPr>
        <w:t>Agri</w:t>
      </w:r>
      <w:proofErr w:type="spellEnd"/>
      <w:r w:rsidRPr="00A054B1">
        <w:rPr>
          <w:rFonts w:eastAsia="Times New Roman" w:cs="Arial"/>
          <w:b w:val="0"/>
          <w:bCs w:val="0"/>
          <w:i/>
          <w:kern w:val="2"/>
          <w:szCs w:val="24"/>
        </w:rPr>
        <w:t>-Food Canada, Lethbridge, Alberta T1J 4B1, Canada</w:t>
      </w:r>
    </w:p>
    <w:p w:rsidR="006B1911" w:rsidRPr="00A054B1" w:rsidRDefault="006B1911" w:rsidP="006B1911">
      <w:pPr>
        <w:pStyle w:val="Titre1"/>
        <w:spacing w:before="0" w:after="0" w:line="480" w:lineRule="auto"/>
        <w:jc w:val="left"/>
        <w:rPr>
          <w:rFonts w:eastAsia="Times New Roman" w:cs="Arial"/>
          <w:b w:val="0"/>
          <w:bCs w:val="0"/>
          <w:i/>
          <w:kern w:val="2"/>
          <w:szCs w:val="24"/>
        </w:rPr>
      </w:pPr>
      <w:r w:rsidRPr="00A054B1">
        <w:rPr>
          <w:rFonts w:eastAsia="Times New Roman" w:cs="Arial"/>
          <w:b w:val="0"/>
          <w:bCs w:val="0"/>
          <w:i/>
          <w:kern w:val="2"/>
          <w:szCs w:val="24"/>
          <w:vertAlign w:val="superscript"/>
        </w:rPr>
        <w:t>3</w:t>
      </w:r>
      <w:r w:rsidRPr="00A054B1">
        <w:rPr>
          <w:rFonts w:eastAsia="Times New Roman" w:cs="Arial"/>
          <w:b w:val="0"/>
          <w:bCs w:val="0"/>
          <w:i/>
          <w:kern w:val="2"/>
          <w:szCs w:val="24"/>
        </w:rPr>
        <w:t>Hunan Co-Innovation Center of Animal Production Safety, CICAPS, Changsha, Hunan 410128, P.R. China</w:t>
      </w:r>
    </w:p>
    <w:p w:rsidR="006B1911" w:rsidRPr="00A054B1" w:rsidRDefault="006B1911" w:rsidP="006B1911">
      <w:pPr>
        <w:rPr>
          <w:rFonts w:eastAsia="Times New Roman"/>
          <w:kern w:val="0"/>
          <w:szCs w:val="24"/>
          <w:lang w:eastAsia="fr-FR"/>
        </w:rPr>
      </w:pPr>
    </w:p>
    <w:p w:rsidR="006B1911" w:rsidRPr="007C4011" w:rsidRDefault="006B1911" w:rsidP="006B1911">
      <w:pPr>
        <w:pStyle w:val="Titre1"/>
        <w:spacing w:before="0" w:after="0" w:line="480" w:lineRule="auto"/>
        <w:jc w:val="left"/>
        <w:rPr>
          <w:rFonts w:eastAsia="Times New Roman" w:cs="Arial"/>
          <w:b w:val="0"/>
          <w:bCs w:val="0"/>
          <w:kern w:val="2"/>
          <w:szCs w:val="24"/>
          <w:lang w:val="en-CA"/>
        </w:rPr>
      </w:pPr>
      <w:r w:rsidRPr="00A054B1">
        <w:rPr>
          <w:rFonts w:eastAsia="Times New Roman" w:cs="Arial"/>
          <w:b w:val="0"/>
          <w:bCs w:val="0"/>
          <w:kern w:val="2"/>
          <w:szCs w:val="24"/>
        </w:rPr>
        <w:t xml:space="preserve">*Corresponding author: </w:t>
      </w:r>
      <w:proofErr w:type="spellStart"/>
      <w:r w:rsidRPr="00A054B1">
        <w:rPr>
          <w:rFonts w:eastAsia="Times New Roman" w:cs="Arial"/>
          <w:b w:val="0"/>
          <w:bCs w:val="0"/>
          <w:kern w:val="2"/>
          <w:szCs w:val="24"/>
        </w:rPr>
        <w:t>Chuanshe</w:t>
      </w:r>
      <w:proofErr w:type="spellEnd"/>
      <w:r w:rsidRPr="00A054B1">
        <w:rPr>
          <w:rFonts w:eastAsia="Times New Roman" w:cs="Arial"/>
          <w:b w:val="0"/>
          <w:bCs w:val="0"/>
          <w:kern w:val="2"/>
          <w:szCs w:val="24"/>
        </w:rPr>
        <w:t xml:space="preserve"> Zhou. </w:t>
      </w:r>
      <w:r w:rsidRPr="007C4011">
        <w:rPr>
          <w:rFonts w:eastAsia="Times New Roman" w:cs="Arial"/>
          <w:b w:val="0"/>
          <w:bCs w:val="0"/>
          <w:kern w:val="2"/>
          <w:szCs w:val="24"/>
          <w:lang w:val="en-CA"/>
        </w:rPr>
        <w:t>E-mail: zcs@isa.ac.cn</w:t>
      </w:r>
    </w:p>
    <w:p w:rsidR="008D7887" w:rsidRPr="007C4011" w:rsidRDefault="008D7887" w:rsidP="008D7887">
      <w:pPr>
        <w:rPr>
          <w:lang w:val="en-CA"/>
        </w:rPr>
      </w:pPr>
    </w:p>
    <w:p w:rsidR="006B1911" w:rsidRDefault="006B1911" w:rsidP="008D7887">
      <w:r w:rsidRPr="006B1911">
        <w:rPr>
          <w:b/>
          <w:sz w:val="28"/>
          <w:szCs w:val="28"/>
        </w:rPr>
        <w:t xml:space="preserve">Animal </w:t>
      </w:r>
      <w:r w:rsidR="008D7887" w:rsidRPr="006B1911">
        <w:rPr>
          <w:rFonts w:hint="eastAsia"/>
          <w:b/>
          <w:sz w:val="28"/>
          <w:szCs w:val="28"/>
        </w:rPr>
        <w:t>Supplementary Material S1</w:t>
      </w:r>
    </w:p>
    <w:p w:rsidR="008D7887" w:rsidRPr="008D7887" w:rsidRDefault="008D7887" w:rsidP="008D7887">
      <w:pPr>
        <w:rPr>
          <w:rFonts w:eastAsiaTheme="minorEastAsia"/>
          <w:szCs w:val="24"/>
        </w:rPr>
      </w:pPr>
      <w:r w:rsidRPr="004412FC">
        <w:t>Protein isolation and Western Blot analysis</w:t>
      </w:r>
    </w:p>
    <w:p w:rsidR="008D7887" w:rsidRDefault="00886E7A" w:rsidP="008D7887">
      <w:pPr>
        <w:rPr>
          <w:szCs w:val="24"/>
        </w:rPr>
      </w:pPr>
      <w:r>
        <w:rPr>
          <w:rFonts w:eastAsiaTheme="minorEastAsia" w:hint="eastAsia"/>
          <w:szCs w:val="24"/>
        </w:rPr>
        <w:t>M</w:t>
      </w:r>
      <w:r w:rsidR="008D7887">
        <w:rPr>
          <w:rFonts w:eastAsia="Times New Roman"/>
          <w:szCs w:val="24"/>
        </w:rPr>
        <w:t>ucosal samples (</w:t>
      </w:r>
      <w:r w:rsidR="008D7887">
        <w:rPr>
          <w:szCs w:val="24"/>
        </w:rPr>
        <w:t>0</w:t>
      </w:r>
      <w:r w:rsidR="008D7887">
        <w:rPr>
          <w:rFonts w:eastAsia="Times New Roman"/>
          <w:szCs w:val="24"/>
        </w:rPr>
        <w:t>.</w:t>
      </w:r>
      <w:r w:rsidR="008D7887">
        <w:rPr>
          <w:szCs w:val="24"/>
        </w:rPr>
        <w:t>2</w:t>
      </w:r>
      <w:r w:rsidR="008D7887">
        <w:rPr>
          <w:rFonts w:eastAsia="Times New Roman"/>
          <w:szCs w:val="24"/>
        </w:rPr>
        <w:t xml:space="preserve"> </w:t>
      </w:r>
      <w:r w:rsidR="008D7887">
        <w:rPr>
          <w:szCs w:val="24"/>
        </w:rPr>
        <w:t>g</w:t>
      </w:r>
      <w:r w:rsidR="008D7887">
        <w:rPr>
          <w:rFonts w:eastAsia="Times New Roman"/>
          <w:szCs w:val="24"/>
        </w:rPr>
        <w:t xml:space="preserve"> each) were frozen in liquid nitrogen, crushed into powder, and dissolved in 300 </w:t>
      </w:r>
      <w:proofErr w:type="spellStart"/>
      <w:r w:rsidR="008D7887">
        <w:rPr>
          <w:szCs w:val="24"/>
        </w:rPr>
        <w:t>μL</w:t>
      </w:r>
      <w:proofErr w:type="spellEnd"/>
      <w:r w:rsidR="008D7887">
        <w:rPr>
          <w:rFonts w:eastAsia="Times New Roman"/>
          <w:szCs w:val="24"/>
        </w:rPr>
        <w:t xml:space="preserve"> </w:t>
      </w:r>
      <w:r w:rsidR="008D7887">
        <w:rPr>
          <w:szCs w:val="24"/>
        </w:rPr>
        <w:t>RIPA</w:t>
      </w:r>
      <w:r w:rsidR="008D7887">
        <w:rPr>
          <w:rFonts w:eastAsia="Times New Roman"/>
          <w:szCs w:val="24"/>
        </w:rPr>
        <w:t xml:space="preserve"> lysate (</w:t>
      </w:r>
      <w:proofErr w:type="spellStart"/>
      <w:r w:rsidR="008D7887">
        <w:rPr>
          <w:rFonts w:eastAsia="Times New Roman"/>
          <w:szCs w:val="24"/>
        </w:rPr>
        <w:t>Applygen</w:t>
      </w:r>
      <w:proofErr w:type="spellEnd"/>
      <w:r w:rsidR="008D7887">
        <w:rPr>
          <w:rFonts w:eastAsia="Times New Roman"/>
          <w:szCs w:val="24"/>
        </w:rPr>
        <w:t xml:space="preserve"> Technologies, Beijing, China) with 1% protease inhibitor cocktail (Roche</w:t>
      </w:r>
      <w:r w:rsidR="008D7887">
        <w:rPr>
          <w:szCs w:val="24"/>
        </w:rPr>
        <w:t xml:space="preserve"> Diagnostics GmbH, Mannheim, Germany</w:t>
      </w:r>
      <w:r w:rsidR="008D7887">
        <w:rPr>
          <w:rFonts w:eastAsia="Times New Roman"/>
          <w:szCs w:val="24"/>
        </w:rPr>
        <w:t xml:space="preserve">), followed </w:t>
      </w:r>
      <w:r w:rsidR="008D7887">
        <w:rPr>
          <w:rFonts w:eastAsia="Times New Roman"/>
          <w:szCs w:val="24"/>
        </w:rPr>
        <w:lastRenderedPageBreak/>
        <w:t>by 30 min of cleavage on ice. Then, samples were centrifuged at 12,000 ×</w:t>
      </w:r>
      <w:r w:rsidR="008D7887">
        <w:rPr>
          <w:szCs w:val="24"/>
        </w:rPr>
        <w:t xml:space="preserve"> g</w:t>
      </w:r>
      <w:r w:rsidR="008D7887">
        <w:rPr>
          <w:rFonts w:eastAsia="Times New Roman"/>
          <w:szCs w:val="24"/>
        </w:rPr>
        <w:t xml:space="preserve"> for 15 min at 4</w:t>
      </w:r>
      <w:r w:rsidR="008D7887">
        <w:rPr>
          <w:szCs w:val="24"/>
        </w:rPr>
        <w:t>°C</w:t>
      </w:r>
      <w:r w:rsidR="008D7887">
        <w:rPr>
          <w:rFonts w:eastAsia="Times New Roman"/>
          <w:szCs w:val="24"/>
        </w:rPr>
        <w:t>, and the supernatant was taken. Protein concentrations were measured utilizing a BCA Protein Assay kit (</w:t>
      </w:r>
      <w:proofErr w:type="spellStart"/>
      <w:r w:rsidR="008D7887">
        <w:rPr>
          <w:rFonts w:eastAsia="Times New Roman"/>
          <w:szCs w:val="24"/>
        </w:rPr>
        <w:t>Hin</w:t>
      </w:r>
      <w:proofErr w:type="spellEnd"/>
      <w:r w:rsidR="008D7887">
        <w:rPr>
          <w:rFonts w:eastAsia="Times New Roman"/>
          <w:szCs w:val="24"/>
        </w:rPr>
        <w:t xml:space="preserve"> biotech, Beijing, China). Exact amounts of protein needed for each sample were calculated and mixed with 5 × loading buffer, incubated at 95</w:t>
      </w:r>
      <w:r w:rsidR="008D7887">
        <w:rPr>
          <w:szCs w:val="24"/>
        </w:rPr>
        <w:t>°C</w:t>
      </w:r>
      <w:r w:rsidR="008D7887">
        <w:rPr>
          <w:rFonts w:eastAsia="Times New Roman"/>
          <w:szCs w:val="24"/>
        </w:rPr>
        <w:t xml:space="preserve"> for 5 min and stored at -20</w:t>
      </w:r>
      <w:r w:rsidR="008D7887">
        <w:rPr>
          <w:szCs w:val="24"/>
        </w:rPr>
        <w:t>°C</w:t>
      </w:r>
      <w:r w:rsidR="008D7887">
        <w:rPr>
          <w:rFonts w:eastAsia="Times New Roman"/>
          <w:szCs w:val="24"/>
        </w:rPr>
        <w:t>.</w:t>
      </w:r>
    </w:p>
    <w:p w:rsidR="004835BE" w:rsidRDefault="008D7887" w:rsidP="008D7887">
      <w:r>
        <w:rPr>
          <w:rFonts w:eastAsia="Times New Roman"/>
          <w:szCs w:val="24"/>
        </w:rPr>
        <w:t xml:space="preserve">Equal amounts of protein of each sample and pre-stained standards (Bio-Rad Laboratories) were separated by electrophoresis in 10% SDS-polyacrylamide gels. Separated proteins were transferred onto </w:t>
      </w:r>
      <w:proofErr w:type="spellStart"/>
      <w:r>
        <w:rPr>
          <w:rFonts w:eastAsia="Times New Roman"/>
          <w:szCs w:val="24"/>
        </w:rPr>
        <w:t>polyvinylidene</w:t>
      </w:r>
      <w:proofErr w:type="spellEnd"/>
      <w:r>
        <w:rPr>
          <w:rFonts w:eastAsia="Times New Roman"/>
          <w:szCs w:val="24"/>
        </w:rPr>
        <w:t xml:space="preserve"> difluoride (PVDF) membranes (Bio-Rad, USA) under constant electric current of 200 mA for 70 min. The PVDF membranes were then incubated with 5% skim-milk in TBST buffer [10 mL </w:t>
      </w:r>
      <w:r>
        <w:rPr>
          <w:szCs w:val="24"/>
        </w:rPr>
        <w:t xml:space="preserve">1 </w:t>
      </w:r>
      <w:proofErr w:type="spellStart"/>
      <w:r>
        <w:rPr>
          <w:szCs w:val="24"/>
        </w:rPr>
        <w:t>mol</w:t>
      </w:r>
      <w:proofErr w:type="spellEnd"/>
      <w:r>
        <w:rPr>
          <w:szCs w:val="24"/>
        </w:rPr>
        <w:t xml:space="preserve">/L </w:t>
      </w:r>
      <w:proofErr w:type="spellStart"/>
      <w:r>
        <w:rPr>
          <w:szCs w:val="24"/>
        </w:rPr>
        <w:t>Tris·HCl</w:t>
      </w:r>
      <w:proofErr w:type="spellEnd"/>
      <w:r>
        <w:rPr>
          <w:rFonts w:eastAsia="Times New Roman"/>
          <w:szCs w:val="24"/>
        </w:rPr>
        <w:t xml:space="preserve"> (</w:t>
      </w:r>
      <w:r>
        <w:rPr>
          <w:szCs w:val="24"/>
        </w:rPr>
        <w:t>pH</w:t>
      </w:r>
      <w:r>
        <w:rPr>
          <w:rFonts w:eastAsia="Times New Roman"/>
          <w:szCs w:val="24"/>
        </w:rPr>
        <w:t xml:space="preserve"> = </w:t>
      </w:r>
      <w:r>
        <w:rPr>
          <w:szCs w:val="24"/>
        </w:rPr>
        <w:t>7.5</w:t>
      </w:r>
      <w:r>
        <w:rPr>
          <w:rFonts w:eastAsia="Times New Roman"/>
          <w:szCs w:val="24"/>
        </w:rPr>
        <w:t xml:space="preserve">) and 8.8 g </w:t>
      </w:r>
      <w:proofErr w:type="spellStart"/>
      <w:r>
        <w:rPr>
          <w:szCs w:val="24"/>
        </w:rPr>
        <w:t>NaCl</w:t>
      </w:r>
      <w:proofErr w:type="spellEnd"/>
      <w:r>
        <w:rPr>
          <w:rFonts w:eastAsia="Times New Roman"/>
          <w:szCs w:val="24"/>
        </w:rPr>
        <w:t xml:space="preserve"> dissolved in 1000 ml distilled water, containing 0.2% </w:t>
      </w:r>
      <w:r>
        <w:rPr>
          <w:szCs w:val="24"/>
        </w:rPr>
        <w:t>Tween20</w:t>
      </w:r>
      <w:r>
        <w:rPr>
          <w:rFonts w:eastAsia="Times New Roman"/>
          <w:szCs w:val="24"/>
        </w:rPr>
        <w:t xml:space="preserve">] for 1 h to suppress non-specific binding of immunoglobulins. The pre-blocked membranes were incubated with the </w:t>
      </w:r>
      <w:r>
        <w:rPr>
          <w:szCs w:val="24"/>
        </w:rPr>
        <w:t xml:space="preserve">first </w:t>
      </w:r>
      <w:r>
        <w:rPr>
          <w:rFonts w:eastAsia="Times New Roman"/>
          <w:szCs w:val="24"/>
        </w:rPr>
        <w:t>antibody (diluted 1:200 in 1 × TBST) at 4</w:t>
      </w:r>
      <w:r>
        <w:rPr>
          <w:szCs w:val="24"/>
        </w:rPr>
        <w:t>°C</w:t>
      </w:r>
      <w:r>
        <w:rPr>
          <w:rFonts w:eastAsia="Times New Roman"/>
          <w:szCs w:val="24"/>
        </w:rPr>
        <w:t xml:space="preserve"> overnight, washed in 1 × TBST for 3 times (15 min each), and then incubated with horseradish-peroxidase (HRP)-labeled secondary antibody (1:3,000 diluted in 1 × TBST) (</w:t>
      </w:r>
      <w:proofErr w:type="spellStart"/>
      <w:r>
        <w:rPr>
          <w:rFonts w:eastAsia="Times New Roman"/>
          <w:szCs w:val="24"/>
        </w:rPr>
        <w:t>Proteintech</w:t>
      </w:r>
      <w:proofErr w:type="spellEnd"/>
      <w:r>
        <w:rPr>
          <w:rFonts w:eastAsia="Times New Roman"/>
          <w:szCs w:val="24"/>
        </w:rPr>
        <w:t xml:space="preserve"> Treatment, Inc., Chicago, USA) for 1 h at room temperature, washed in 1 × TBST for 3 times (10 min each). Bands of </w:t>
      </w:r>
      <w:r>
        <w:rPr>
          <w:szCs w:val="24"/>
        </w:rPr>
        <w:t>target</w:t>
      </w:r>
      <w:r>
        <w:rPr>
          <w:rFonts w:eastAsia="Times New Roman"/>
          <w:szCs w:val="24"/>
        </w:rPr>
        <w:t xml:space="preserve"> proteins were detected by </w:t>
      </w:r>
      <w:proofErr w:type="spellStart"/>
      <w:r>
        <w:rPr>
          <w:rFonts w:eastAsia="Times New Roman"/>
          <w:szCs w:val="24"/>
        </w:rPr>
        <w:t>WesternBright</w:t>
      </w:r>
      <w:proofErr w:type="spellEnd"/>
      <w:r>
        <w:rPr>
          <w:rFonts w:eastAsia="Times New Roman"/>
          <w:szCs w:val="24"/>
        </w:rPr>
        <w:t xml:space="preserve"> ECL Western Blotting HRP Substrate (</w:t>
      </w:r>
      <w:proofErr w:type="spellStart"/>
      <w:r>
        <w:rPr>
          <w:rFonts w:eastAsia="Times New Roman"/>
          <w:szCs w:val="24"/>
        </w:rPr>
        <w:t>APGBio</w:t>
      </w:r>
      <w:proofErr w:type="spellEnd"/>
      <w:r>
        <w:rPr>
          <w:rFonts w:eastAsia="Times New Roman"/>
          <w:szCs w:val="24"/>
        </w:rPr>
        <w:t xml:space="preserve">, Shanghai, China), and the images were taken and analyzed by </w:t>
      </w:r>
      <w:proofErr w:type="spellStart"/>
      <w:r>
        <w:rPr>
          <w:rFonts w:eastAsia="Times New Roman"/>
          <w:szCs w:val="24"/>
        </w:rPr>
        <w:t>AlphaImager</w:t>
      </w:r>
      <w:proofErr w:type="spellEnd"/>
      <w:r>
        <w:rPr>
          <w:rFonts w:eastAsia="Times New Roman"/>
          <w:szCs w:val="24"/>
        </w:rPr>
        <w:t xml:space="preserve"> 2200 digital imaging system (Digital Imaging System, </w:t>
      </w:r>
      <w:proofErr w:type="spellStart"/>
      <w:r>
        <w:rPr>
          <w:rFonts w:eastAsia="Times New Roman"/>
          <w:szCs w:val="24"/>
        </w:rPr>
        <w:t>Kirchheim</w:t>
      </w:r>
      <w:proofErr w:type="spellEnd"/>
      <w:r>
        <w:rPr>
          <w:rFonts w:eastAsia="Times New Roman"/>
          <w:szCs w:val="24"/>
        </w:rPr>
        <w:t>, Germany).</w:t>
      </w:r>
    </w:p>
    <w:sectPr w:rsidR="00483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ztjA1NjA3NDIzMzVQ0lEKTi0uzszPAykwrAUA4sWCxywAAAA="/>
  </w:docVars>
  <w:rsids>
    <w:rsidRoot w:val="008C1988"/>
    <w:rsid w:val="00352E4B"/>
    <w:rsid w:val="00393260"/>
    <w:rsid w:val="004835BE"/>
    <w:rsid w:val="006A61AF"/>
    <w:rsid w:val="006B1911"/>
    <w:rsid w:val="007C4011"/>
    <w:rsid w:val="00886E7A"/>
    <w:rsid w:val="008C1988"/>
    <w:rsid w:val="008D7887"/>
    <w:rsid w:val="009B246A"/>
    <w:rsid w:val="00A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8FCD7-BDA0-4F26-A356-E24E5C7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87"/>
    <w:pPr>
      <w:widowControl w:val="0"/>
      <w:spacing w:after="0" w:line="480" w:lineRule="auto"/>
      <w:jc w:val="both"/>
    </w:pPr>
    <w:rPr>
      <w:rFonts w:ascii="Arial" w:eastAsia="SimSun" w:hAnsi="Arial" w:cs="Times New Roman"/>
      <w:kern w:val="2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D7887"/>
    <w:pPr>
      <w:keepNext/>
      <w:keepLines/>
      <w:spacing w:before="120" w:after="120" w:line="360" w:lineRule="auto"/>
      <w:outlineLvl w:val="0"/>
    </w:pPr>
    <w:rPr>
      <w:b/>
      <w:bCs/>
      <w:kern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D7887"/>
    <w:rPr>
      <w:rFonts w:ascii="Arial" w:eastAsia="SimSun" w:hAnsi="Arial" w:cs="Times New Roman"/>
      <w:b/>
      <w:bCs/>
      <w:kern w:val="44"/>
      <w:sz w:val="24"/>
      <w:szCs w:val="4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911"/>
    <w:rPr>
      <w:rFonts w:ascii="Tahoma" w:eastAsia="SimSun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Ran, Tao</dc:creator>
  <cp:keywords/>
  <dc:description/>
  <cp:lastModifiedBy>ANM</cp:lastModifiedBy>
  <cp:revision>3</cp:revision>
  <dcterms:created xsi:type="dcterms:W3CDTF">2018-05-24T12:29:00Z</dcterms:created>
  <dcterms:modified xsi:type="dcterms:W3CDTF">2018-05-24T12:29:00Z</dcterms:modified>
</cp:coreProperties>
</file>