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1A" w:rsidRDefault="00145C96" w:rsidP="00C41049">
      <w:pPr>
        <w:rPr>
          <w:rFonts w:ascii="Arial" w:hAnsi="Arial" w:cs="Arial"/>
          <w:b/>
        </w:rPr>
      </w:pPr>
      <w:r>
        <w:rPr>
          <w:rFonts w:ascii="Arial" w:hAnsi="Arial" w:cs="Arial"/>
          <w:b/>
        </w:rPr>
        <w:t>Supplementary Material S1</w:t>
      </w:r>
      <w:r w:rsidR="007A391A">
        <w:rPr>
          <w:rFonts w:ascii="Arial" w:hAnsi="Arial" w:cs="Arial"/>
          <w:b/>
        </w:rPr>
        <w:t xml:space="preserve"> </w:t>
      </w:r>
    </w:p>
    <w:p w:rsidR="00442268" w:rsidRDefault="00442268" w:rsidP="00C41049">
      <w:pPr>
        <w:rPr>
          <w:rFonts w:ascii="Arial" w:hAnsi="Arial" w:cs="Arial"/>
          <w:b/>
        </w:rPr>
      </w:pPr>
    </w:p>
    <w:p w:rsidR="00145C96" w:rsidRPr="00483B59" w:rsidRDefault="00145C96" w:rsidP="00145C96">
      <w:pPr>
        <w:spacing w:line="480" w:lineRule="auto"/>
        <w:jc w:val="both"/>
        <w:rPr>
          <w:rFonts w:ascii="Arial" w:hAnsi="Arial" w:cs="Arial"/>
          <w:b/>
          <w:color w:val="000000" w:themeColor="text1"/>
          <w:sz w:val="28"/>
          <w:szCs w:val="28"/>
        </w:rPr>
      </w:pPr>
      <w:r w:rsidRPr="00483B59">
        <w:rPr>
          <w:rFonts w:ascii="Arial" w:hAnsi="Arial" w:cs="Arial"/>
          <w:b/>
          <w:color w:val="000000" w:themeColor="text1"/>
          <w:sz w:val="28"/>
          <w:szCs w:val="28"/>
        </w:rPr>
        <w:t xml:space="preserve">Added </w:t>
      </w:r>
      <w:r>
        <w:rPr>
          <w:rFonts w:ascii="Arial" w:hAnsi="Arial" w:cs="Arial"/>
          <w:b/>
          <w:color w:val="000000" w:themeColor="text1"/>
          <w:sz w:val="28"/>
          <w:szCs w:val="28"/>
        </w:rPr>
        <w:t xml:space="preserve">dietary </w:t>
      </w:r>
      <w:r w:rsidRPr="00483B59">
        <w:rPr>
          <w:rFonts w:ascii="Arial" w:hAnsi="Arial" w:cs="Arial"/>
          <w:b/>
          <w:color w:val="000000" w:themeColor="text1"/>
          <w:sz w:val="28"/>
          <w:szCs w:val="28"/>
        </w:rPr>
        <w:t>cobalt or vitamin B</w:t>
      </w:r>
      <w:r w:rsidRPr="00483B59">
        <w:rPr>
          <w:rFonts w:ascii="Arial" w:hAnsi="Arial" w:cs="Arial"/>
          <w:b/>
          <w:color w:val="000000" w:themeColor="text1"/>
          <w:sz w:val="28"/>
          <w:szCs w:val="28"/>
          <w:vertAlign w:val="subscript"/>
        </w:rPr>
        <w:t>12</w:t>
      </w:r>
      <w:r>
        <w:rPr>
          <w:rFonts w:ascii="Arial" w:hAnsi="Arial" w:cs="Arial"/>
          <w:b/>
          <w:color w:val="000000" w:themeColor="text1"/>
          <w:sz w:val="28"/>
          <w:szCs w:val="28"/>
        </w:rPr>
        <w:t>,</w:t>
      </w:r>
      <w:r w:rsidRPr="00483B59">
        <w:rPr>
          <w:rFonts w:ascii="Arial" w:hAnsi="Arial" w:cs="Arial"/>
          <w:b/>
          <w:color w:val="000000" w:themeColor="text1"/>
          <w:sz w:val="28"/>
          <w:szCs w:val="28"/>
        </w:rPr>
        <w:t xml:space="preserve"> </w:t>
      </w:r>
      <w:r>
        <w:rPr>
          <w:rFonts w:ascii="Arial" w:hAnsi="Arial" w:cs="Arial"/>
          <w:b/>
          <w:color w:val="000000" w:themeColor="text1"/>
          <w:sz w:val="28"/>
          <w:szCs w:val="28"/>
        </w:rPr>
        <w:t xml:space="preserve">or injecting </w:t>
      </w:r>
      <w:r w:rsidRPr="005E70AD">
        <w:rPr>
          <w:rFonts w:ascii="Arial" w:hAnsi="Arial" w:cs="Arial"/>
          <w:b/>
          <w:color w:val="000000" w:themeColor="text1"/>
          <w:sz w:val="28"/>
          <w:szCs w:val="28"/>
        </w:rPr>
        <w:t>vitamin B</w:t>
      </w:r>
      <w:r w:rsidRPr="005E70AD">
        <w:rPr>
          <w:rFonts w:ascii="Arial" w:hAnsi="Arial" w:cs="Arial"/>
          <w:b/>
          <w:color w:val="000000" w:themeColor="text1"/>
          <w:sz w:val="28"/>
          <w:szCs w:val="28"/>
          <w:vertAlign w:val="subscript"/>
        </w:rPr>
        <w:t>12</w:t>
      </w:r>
      <w:r>
        <w:rPr>
          <w:rFonts w:ascii="Arial" w:hAnsi="Arial" w:cs="Arial"/>
          <w:b/>
          <w:color w:val="000000" w:themeColor="text1"/>
          <w:sz w:val="28"/>
          <w:szCs w:val="28"/>
          <w:vertAlign w:val="subscript"/>
        </w:rPr>
        <w:t xml:space="preserve"> </w:t>
      </w:r>
      <w:r w:rsidRPr="00483B59">
        <w:rPr>
          <w:rFonts w:ascii="Arial" w:hAnsi="Arial" w:cs="Arial"/>
          <w:b/>
          <w:color w:val="000000" w:themeColor="text1"/>
          <w:sz w:val="28"/>
          <w:szCs w:val="28"/>
        </w:rPr>
        <w:t>does not improve performance or indicato</w:t>
      </w:r>
      <w:r>
        <w:rPr>
          <w:rFonts w:ascii="Arial" w:hAnsi="Arial" w:cs="Arial"/>
          <w:b/>
          <w:color w:val="000000" w:themeColor="text1"/>
          <w:sz w:val="28"/>
          <w:szCs w:val="28"/>
        </w:rPr>
        <w:t>rs of ketosis in pre- and post-</w:t>
      </w:r>
      <w:r w:rsidRPr="00483B59">
        <w:rPr>
          <w:rFonts w:ascii="Arial" w:hAnsi="Arial" w:cs="Arial"/>
          <w:b/>
          <w:color w:val="000000" w:themeColor="text1"/>
          <w:sz w:val="28"/>
          <w:szCs w:val="28"/>
        </w:rPr>
        <w:t>partum Holstein-Friesian dairy cows</w:t>
      </w:r>
    </w:p>
    <w:p w:rsidR="00145C96" w:rsidRPr="00BE34C9" w:rsidRDefault="00145C96" w:rsidP="00145C96">
      <w:pPr>
        <w:spacing w:line="480" w:lineRule="auto"/>
        <w:jc w:val="center"/>
        <w:rPr>
          <w:b/>
        </w:rPr>
      </w:pPr>
    </w:p>
    <w:p w:rsidR="00145C96" w:rsidRDefault="00145C96" w:rsidP="00145C96">
      <w:pPr>
        <w:pStyle w:val="BodyText"/>
        <w:spacing w:line="480" w:lineRule="auto"/>
        <w:jc w:val="left"/>
        <w:rPr>
          <w:rFonts w:ascii="Arial" w:hAnsi="Arial" w:cs="Arial"/>
          <w:szCs w:val="24"/>
          <w:lang w:val="en-US"/>
        </w:rPr>
      </w:pPr>
      <w:r>
        <w:rPr>
          <w:rFonts w:ascii="Arial" w:hAnsi="Arial" w:cs="Arial"/>
          <w:szCs w:val="24"/>
          <w:lang w:val="en-US"/>
        </w:rPr>
        <w:t>W.A.D.V. Weerathilake</w:t>
      </w:r>
      <w:r w:rsidRPr="00483B59">
        <w:rPr>
          <w:rFonts w:ascii="Arial" w:hAnsi="Arial" w:cs="Arial"/>
          <w:szCs w:val="24"/>
          <w:vertAlign w:val="superscript"/>
          <w:lang w:val="en-US"/>
        </w:rPr>
        <w:t>1*</w:t>
      </w:r>
      <w:r w:rsidRPr="00483B59">
        <w:rPr>
          <w:rFonts w:ascii="Arial" w:hAnsi="Arial" w:cs="Arial"/>
          <w:bCs/>
          <w:szCs w:val="24"/>
        </w:rPr>
        <w:t>, A.H. Brassington</w:t>
      </w:r>
      <w:r w:rsidRPr="00483B59">
        <w:rPr>
          <w:rFonts w:ascii="Arial" w:hAnsi="Arial" w:cs="Arial"/>
          <w:bCs/>
          <w:szCs w:val="24"/>
          <w:vertAlign w:val="superscript"/>
        </w:rPr>
        <w:t>2</w:t>
      </w:r>
      <w:r w:rsidRPr="00483B59">
        <w:rPr>
          <w:rFonts w:ascii="Arial" w:hAnsi="Arial" w:cs="Arial"/>
          <w:bCs/>
          <w:szCs w:val="24"/>
        </w:rPr>
        <w:t>, S.J. Williams</w:t>
      </w:r>
      <w:r w:rsidRPr="00483B59">
        <w:rPr>
          <w:rFonts w:ascii="Arial" w:hAnsi="Arial" w:cs="Arial"/>
          <w:szCs w:val="24"/>
          <w:vertAlign w:val="superscript"/>
          <w:lang w:val="en-US"/>
        </w:rPr>
        <w:t>1</w:t>
      </w:r>
      <w:r w:rsidRPr="00483B59">
        <w:rPr>
          <w:rFonts w:ascii="Arial" w:hAnsi="Arial" w:cs="Arial"/>
          <w:bCs/>
          <w:szCs w:val="24"/>
        </w:rPr>
        <w:t xml:space="preserve">, W.Y. </w:t>
      </w:r>
      <w:proofErr w:type="spellStart"/>
      <w:r w:rsidRPr="00483B59">
        <w:rPr>
          <w:rFonts w:ascii="Arial" w:hAnsi="Arial" w:cs="Arial"/>
          <w:bCs/>
          <w:szCs w:val="24"/>
        </w:rPr>
        <w:t>Kwong</w:t>
      </w:r>
      <w:proofErr w:type="spellEnd"/>
      <w:r w:rsidRPr="00483B59">
        <w:rPr>
          <w:rFonts w:ascii="Arial" w:hAnsi="Arial" w:cs="Arial"/>
          <w:b w:val="0"/>
          <w:szCs w:val="24"/>
          <w:vertAlign w:val="superscript"/>
          <w:lang w:val="en-US"/>
        </w:rPr>
        <w:t>2</w:t>
      </w:r>
      <w:r w:rsidRPr="00483B59">
        <w:rPr>
          <w:rFonts w:ascii="Arial" w:hAnsi="Arial" w:cs="Arial"/>
          <w:bCs/>
          <w:szCs w:val="24"/>
        </w:rPr>
        <w:t xml:space="preserve">, </w:t>
      </w:r>
      <w:r w:rsidRPr="00483B59">
        <w:rPr>
          <w:rFonts w:ascii="Arial" w:hAnsi="Arial" w:cs="Arial"/>
          <w:szCs w:val="24"/>
          <w:lang w:val="en-US"/>
        </w:rPr>
        <w:t>L.A. Sinclair</w:t>
      </w:r>
      <w:r w:rsidRPr="00483B59">
        <w:rPr>
          <w:rFonts w:ascii="Arial" w:hAnsi="Arial" w:cs="Arial"/>
          <w:szCs w:val="24"/>
          <w:vertAlign w:val="superscript"/>
          <w:lang w:val="en-US"/>
        </w:rPr>
        <w:t>1</w:t>
      </w:r>
      <w:r w:rsidRPr="005E70AD">
        <w:rPr>
          <w:rFonts w:ascii="Arial" w:hAnsi="Arial" w:cs="Arial"/>
          <w:vertAlign w:val="superscript"/>
          <w:lang w:val="en-US"/>
        </w:rPr>
        <w:t>†</w:t>
      </w:r>
      <w:r>
        <w:rPr>
          <w:rFonts w:ascii="Arial" w:hAnsi="Arial" w:cs="Arial"/>
          <w:vertAlign w:val="superscript"/>
          <w:lang w:val="en-US"/>
        </w:rPr>
        <w:t xml:space="preserve"> </w:t>
      </w:r>
      <w:r>
        <w:rPr>
          <w:rFonts w:ascii="Arial" w:hAnsi="Arial" w:cs="Arial"/>
          <w:lang w:val="en-US"/>
        </w:rPr>
        <w:t>and</w:t>
      </w:r>
      <w:r w:rsidRPr="00483B59">
        <w:rPr>
          <w:rFonts w:ascii="Arial" w:hAnsi="Arial" w:cs="Arial"/>
          <w:bCs/>
          <w:szCs w:val="24"/>
        </w:rPr>
        <w:t xml:space="preserve"> K.D. Sinclair</w:t>
      </w:r>
      <w:r w:rsidRPr="00483B59">
        <w:rPr>
          <w:rFonts w:ascii="Arial" w:hAnsi="Arial" w:cs="Arial"/>
          <w:b w:val="0"/>
          <w:szCs w:val="24"/>
          <w:vertAlign w:val="superscript"/>
          <w:lang w:val="en-US"/>
        </w:rPr>
        <w:t>2</w:t>
      </w:r>
      <w:r w:rsidRPr="00483B59">
        <w:rPr>
          <w:rFonts w:ascii="Arial" w:hAnsi="Arial" w:cs="Arial"/>
          <w:szCs w:val="24"/>
          <w:lang w:val="en-US"/>
        </w:rPr>
        <w:t xml:space="preserve"> </w:t>
      </w:r>
    </w:p>
    <w:p w:rsidR="00D70EF2" w:rsidRDefault="00D70EF2" w:rsidP="00145C96">
      <w:pPr>
        <w:pStyle w:val="BodyText"/>
        <w:spacing w:line="480" w:lineRule="auto"/>
        <w:jc w:val="left"/>
        <w:rPr>
          <w:rFonts w:ascii="Arial" w:hAnsi="Arial" w:cs="Arial"/>
          <w:szCs w:val="24"/>
          <w:lang w:val="en-US"/>
        </w:rPr>
      </w:pPr>
    </w:p>
    <w:p w:rsidR="00D70EF2" w:rsidRPr="00D70EF2" w:rsidRDefault="00D70EF2" w:rsidP="00145C96">
      <w:pPr>
        <w:pStyle w:val="BodyText"/>
        <w:spacing w:line="480" w:lineRule="auto"/>
        <w:jc w:val="left"/>
        <w:rPr>
          <w:rFonts w:ascii="Arial" w:hAnsi="Arial" w:cs="Arial"/>
          <w:b w:val="0"/>
          <w:szCs w:val="24"/>
          <w:vertAlign w:val="superscript"/>
          <w:lang w:val="en-US"/>
        </w:rPr>
      </w:pPr>
      <w:r>
        <w:rPr>
          <w:rFonts w:ascii="Arial" w:hAnsi="Arial" w:cs="Arial"/>
          <w:i/>
          <w:szCs w:val="24"/>
          <w:lang w:val="en-US"/>
        </w:rPr>
        <w:t xml:space="preserve">Animal </w:t>
      </w:r>
      <w:r>
        <w:rPr>
          <w:rFonts w:ascii="Arial" w:hAnsi="Arial" w:cs="Arial"/>
          <w:b w:val="0"/>
          <w:szCs w:val="24"/>
          <w:lang w:val="en-US"/>
        </w:rPr>
        <w:t>Journal</w:t>
      </w:r>
    </w:p>
    <w:p w:rsidR="00145C96" w:rsidRDefault="00145C96" w:rsidP="00442268">
      <w:pPr>
        <w:spacing w:line="480" w:lineRule="auto"/>
        <w:jc w:val="both"/>
        <w:rPr>
          <w:rFonts w:ascii="Arial" w:hAnsi="Arial" w:cs="Arial"/>
        </w:rPr>
      </w:pPr>
    </w:p>
    <w:p w:rsidR="00442268" w:rsidRPr="00D03075" w:rsidRDefault="00442268" w:rsidP="00442268">
      <w:pPr>
        <w:spacing w:line="480" w:lineRule="auto"/>
        <w:jc w:val="both"/>
        <w:rPr>
          <w:rFonts w:ascii="Arial" w:eastAsiaTheme="minorHAnsi" w:hAnsi="Arial" w:cs="Arial"/>
        </w:rPr>
      </w:pPr>
      <w:r w:rsidRPr="00D03075">
        <w:rPr>
          <w:rFonts w:ascii="Arial" w:hAnsi="Arial" w:cs="Arial"/>
        </w:rPr>
        <w:t>Plasma vitamin B</w:t>
      </w:r>
      <w:r w:rsidRPr="00D03075">
        <w:rPr>
          <w:rFonts w:ascii="Arial" w:hAnsi="Arial" w:cs="Arial"/>
          <w:vertAlign w:val="subscript"/>
        </w:rPr>
        <w:t>12</w:t>
      </w:r>
      <w:r>
        <w:rPr>
          <w:rFonts w:ascii="Arial" w:hAnsi="Arial" w:cs="Arial"/>
        </w:rPr>
        <w:t xml:space="preserve"> analysis </w:t>
      </w:r>
      <w:r w:rsidRPr="00D03075">
        <w:rPr>
          <w:rFonts w:ascii="Arial" w:hAnsi="Arial" w:cs="Arial"/>
        </w:rPr>
        <w:t xml:space="preserve">was conducted using the ADIVA Centaur CP VB12 assay at the AHVLA laboratory, Shrewsbury, Shropshire, UK. The limit of detection was 33 </w:t>
      </w:r>
      <w:proofErr w:type="spellStart"/>
      <w:r w:rsidRPr="00D03075">
        <w:rPr>
          <w:rFonts w:ascii="Arial" w:hAnsi="Arial" w:cs="Arial"/>
        </w:rPr>
        <w:t>pmol</w:t>
      </w:r>
      <w:proofErr w:type="spellEnd"/>
      <w:r w:rsidRPr="00D03075">
        <w:rPr>
          <w:rFonts w:ascii="Arial" w:hAnsi="Arial" w:cs="Arial"/>
        </w:rPr>
        <w:t xml:space="preserve">/l, and </w:t>
      </w:r>
      <w:r w:rsidRPr="00D03075">
        <w:rPr>
          <w:rFonts w:ascii="Arial" w:eastAsiaTheme="minorHAnsi" w:hAnsi="Arial" w:cs="Arial"/>
        </w:rPr>
        <w:t xml:space="preserve">coefficients of variation (CVs) for low, medium and high quality controls were 12.2, 12.4 and 12.4% respectively. Plasma </w:t>
      </w:r>
      <w:proofErr w:type="spellStart"/>
      <w:r w:rsidRPr="00D03075">
        <w:rPr>
          <w:rFonts w:ascii="Arial" w:eastAsiaTheme="minorHAnsi" w:hAnsi="Arial" w:cs="Arial"/>
        </w:rPr>
        <w:t>homocysteine</w:t>
      </w:r>
      <w:proofErr w:type="spellEnd"/>
      <w:r w:rsidRPr="00D03075">
        <w:rPr>
          <w:rFonts w:ascii="Arial" w:eastAsiaTheme="minorHAnsi" w:hAnsi="Arial" w:cs="Arial"/>
        </w:rPr>
        <w:t xml:space="preserve"> (</w:t>
      </w:r>
      <w:proofErr w:type="spellStart"/>
      <w:r w:rsidRPr="00D03075">
        <w:rPr>
          <w:rFonts w:ascii="Arial" w:eastAsiaTheme="minorHAnsi" w:hAnsi="Arial" w:cs="Arial"/>
        </w:rPr>
        <w:t>Hcy</w:t>
      </w:r>
      <w:proofErr w:type="spellEnd"/>
      <w:r w:rsidRPr="00D03075">
        <w:rPr>
          <w:rFonts w:ascii="Arial" w:eastAsiaTheme="minorHAnsi" w:hAnsi="Arial" w:cs="Arial"/>
        </w:rPr>
        <w:t xml:space="preserve">) was determined using an </w:t>
      </w:r>
      <w:proofErr w:type="spellStart"/>
      <w:r w:rsidRPr="00D03075">
        <w:rPr>
          <w:rFonts w:ascii="Arial" w:eastAsiaTheme="minorHAnsi" w:hAnsi="Arial" w:cs="Arial"/>
        </w:rPr>
        <w:t>Imola</w:t>
      </w:r>
      <w:proofErr w:type="spellEnd"/>
      <w:r w:rsidRPr="00D03075">
        <w:rPr>
          <w:rFonts w:ascii="Arial" w:eastAsiaTheme="minorHAnsi" w:hAnsi="Arial" w:cs="Arial"/>
        </w:rPr>
        <w:t xml:space="preserve"> Auto analyser</w:t>
      </w:r>
      <w:r w:rsidRPr="00D03075">
        <w:rPr>
          <w:rFonts w:ascii="Arial" w:hAnsi="Arial" w:cs="Arial"/>
        </w:rPr>
        <w:t xml:space="preserve"> </w:t>
      </w:r>
      <w:r w:rsidRPr="00D03075">
        <w:rPr>
          <w:rFonts w:ascii="Arial" w:eastAsiaTheme="minorHAnsi" w:hAnsi="Arial" w:cs="Arial"/>
        </w:rPr>
        <w:t xml:space="preserve">(RX </w:t>
      </w:r>
      <w:proofErr w:type="spellStart"/>
      <w:r w:rsidRPr="00D03075">
        <w:rPr>
          <w:rFonts w:ascii="Arial" w:eastAsiaTheme="minorHAnsi" w:hAnsi="Arial" w:cs="Arial"/>
        </w:rPr>
        <w:t>imola</w:t>
      </w:r>
      <w:proofErr w:type="spellEnd"/>
      <w:r w:rsidRPr="00D03075">
        <w:rPr>
          <w:rFonts w:ascii="Arial" w:eastAsiaTheme="minorHAnsi" w:hAnsi="Arial" w:cs="Arial"/>
        </w:rPr>
        <w:t xml:space="preserve">; </w:t>
      </w:r>
      <w:proofErr w:type="spellStart"/>
      <w:r w:rsidRPr="00D03075">
        <w:rPr>
          <w:rFonts w:ascii="Arial" w:eastAsiaTheme="minorHAnsi" w:hAnsi="Arial" w:cs="Arial"/>
        </w:rPr>
        <w:t>Randox</w:t>
      </w:r>
      <w:proofErr w:type="spellEnd"/>
      <w:r w:rsidRPr="00D03075">
        <w:rPr>
          <w:rFonts w:ascii="Arial" w:eastAsiaTheme="minorHAnsi" w:hAnsi="Arial" w:cs="Arial"/>
        </w:rPr>
        <w:t xml:space="preserve"> Laboratories Ltd., Antrim, U.K.) using a kit supplied by </w:t>
      </w:r>
      <w:proofErr w:type="spellStart"/>
      <w:r w:rsidRPr="00D03075">
        <w:rPr>
          <w:rFonts w:ascii="Arial" w:eastAsiaTheme="minorHAnsi" w:hAnsi="Arial" w:cs="Arial"/>
        </w:rPr>
        <w:t>Randox</w:t>
      </w:r>
      <w:proofErr w:type="spellEnd"/>
      <w:r w:rsidRPr="00D03075">
        <w:rPr>
          <w:rFonts w:ascii="Arial" w:eastAsiaTheme="minorHAnsi" w:hAnsi="Arial" w:cs="Arial"/>
        </w:rPr>
        <w:t xml:space="preserve"> Laboratories (catalogue no. HY4036). The limit of detection was 1.74 µM and CV’s for low, medium and high </w:t>
      </w:r>
      <w:r w:rsidR="00451CBA">
        <w:rPr>
          <w:rFonts w:ascii="Arial" w:eastAsiaTheme="minorHAnsi" w:hAnsi="Arial" w:cs="Arial"/>
        </w:rPr>
        <w:t>quality controls</w:t>
      </w:r>
      <w:r w:rsidRPr="00D03075">
        <w:rPr>
          <w:rFonts w:ascii="Arial" w:eastAsiaTheme="minorHAnsi" w:hAnsi="Arial" w:cs="Arial"/>
        </w:rPr>
        <w:t xml:space="preserve"> were 1.03, 0.83 and 0.95% respectively. </w:t>
      </w:r>
    </w:p>
    <w:p w:rsidR="00442268" w:rsidRPr="00D03075" w:rsidRDefault="00442268" w:rsidP="00442268">
      <w:pPr>
        <w:spacing w:line="480" w:lineRule="auto"/>
        <w:ind w:firstLine="720"/>
        <w:jc w:val="both"/>
        <w:rPr>
          <w:rFonts w:ascii="Arial" w:hAnsi="Arial" w:cs="Arial"/>
        </w:rPr>
      </w:pPr>
      <w:r w:rsidRPr="00D03075">
        <w:rPr>
          <w:rFonts w:ascii="Arial" w:hAnsi="Arial" w:cs="Arial"/>
        </w:rPr>
        <w:t xml:space="preserve">Plasma </w:t>
      </w:r>
      <w:proofErr w:type="spellStart"/>
      <w:r w:rsidRPr="00D03075">
        <w:rPr>
          <w:rFonts w:ascii="Arial" w:hAnsi="Arial" w:cs="Arial"/>
        </w:rPr>
        <w:t>methylmalonic</w:t>
      </w:r>
      <w:proofErr w:type="spellEnd"/>
      <w:r w:rsidRPr="00D03075">
        <w:rPr>
          <w:rFonts w:ascii="Arial" w:hAnsi="Arial" w:cs="Arial"/>
        </w:rPr>
        <w:t xml:space="preserve"> acid (MMA) and succinic acid (SA) concentrations were determined by GC with mass spectroscopic detection (GC-MS) following </w:t>
      </w:r>
      <w:proofErr w:type="spellStart"/>
      <w:r w:rsidRPr="00D03075">
        <w:rPr>
          <w:rFonts w:ascii="Arial" w:hAnsi="Arial" w:cs="Arial"/>
        </w:rPr>
        <w:t>derivatisation</w:t>
      </w:r>
      <w:proofErr w:type="spellEnd"/>
      <w:r w:rsidRPr="00D03075">
        <w:rPr>
          <w:rFonts w:ascii="Arial" w:hAnsi="Arial" w:cs="Arial"/>
        </w:rPr>
        <w:t xml:space="preserve"> and extraction, modified from the method of </w:t>
      </w:r>
      <w:proofErr w:type="spellStart"/>
      <w:r w:rsidR="00975AE2" w:rsidRPr="007B1DE4">
        <w:rPr>
          <w:rFonts w:ascii="Arial" w:hAnsi="Arial" w:cs="Arial"/>
        </w:rPr>
        <w:t>Kanakkaparambil</w:t>
      </w:r>
      <w:proofErr w:type="spellEnd"/>
      <w:r w:rsidRPr="00D03075">
        <w:rPr>
          <w:rFonts w:ascii="Arial" w:hAnsi="Arial" w:cs="Arial"/>
        </w:rPr>
        <w:t xml:space="preserve"> </w:t>
      </w:r>
      <w:r w:rsidRPr="00D03075">
        <w:rPr>
          <w:rFonts w:ascii="Arial" w:hAnsi="Arial" w:cs="Arial"/>
          <w:i/>
        </w:rPr>
        <w:t>et al.</w:t>
      </w:r>
      <w:r w:rsidRPr="00D03075">
        <w:rPr>
          <w:rFonts w:ascii="Arial" w:hAnsi="Arial" w:cs="Arial"/>
        </w:rPr>
        <w:t xml:space="preserve"> (2009).  Briefly, 50 µl of plasma and 5 </w:t>
      </w:r>
      <w:proofErr w:type="spellStart"/>
      <w:r w:rsidRPr="00D03075">
        <w:rPr>
          <w:rFonts w:ascii="Arial" w:hAnsi="Arial" w:cs="Arial"/>
        </w:rPr>
        <w:t>ul</w:t>
      </w:r>
      <w:proofErr w:type="spellEnd"/>
      <w:r w:rsidRPr="00D03075">
        <w:rPr>
          <w:rFonts w:ascii="Arial" w:hAnsi="Arial" w:cs="Arial"/>
        </w:rPr>
        <w:t xml:space="preserve"> of internal standard (4-chlorobutyric acid (CBA) 250 µM) were added to 250 µl 12% BF</w:t>
      </w:r>
      <w:r w:rsidRPr="00D03075">
        <w:rPr>
          <w:rFonts w:ascii="Arial" w:hAnsi="Arial" w:cs="Arial"/>
          <w:vertAlign w:val="subscript"/>
        </w:rPr>
        <w:t>3</w:t>
      </w:r>
      <w:r w:rsidRPr="00D03075">
        <w:rPr>
          <w:rFonts w:ascii="Arial" w:hAnsi="Arial" w:cs="Arial"/>
        </w:rPr>
        <w:t>-methanol in a 2.5 m</w:t>
      </w:r>
      <w:bookmarkStart w:id="0" w:name="_GoBack"/>
      <w:bookmarkEnd w:id="0"/>
      <w:r w:rsidRPr="00D03075">
        <w:rPr>
          <w:rFonts w:ascii="Arial" w:hAnsi="Arial" w:cs="Arial"/>
        </w:rPr>
        <w:t>l screw capped glass vial, vortexed for 30 s and heated at 95°C for 15 minutes on a heating block. After cooling, 250 µl distilled water and 250 µl dichloromethane (CH</w:t>
      </w:r>
      <w:r w:rsidRPr="00D03075">
        <w:rPr>
          <w:rFonts w:ascii="Arial" w:hAnsi="Arial" w:cs="Arial"/>
          <w:vertAlign w:val="subscript"/>
        </w:rPr>
        <w:t>2</w:t>
      </w:r>
      <w:r w:rsidRPr="00D03075">
        <w:rPr>
          <w:rFonts w:ascii="Arial" w:hAnsi="Arial" w:cs="Arial"/>
        </w:rPr>
        <w:t>Cl</w:t>
      </w:r>
      <w:r w:rsidRPr="00D03075">
        <w:rPr>
          <w:rFonts w:ascii="Arial" w:hAnsi="Arial" w:cs="Arial"/>
          <w:vertAlign w:val="subscript"/>
        </w:rPr>
        <w:t>2</w:t>
      </w:r>
      <w:r w:rsidRPr="00D03075">
        <w:rPr>
          <w:rFonts w:ascii="Arial" w:hAnsi="Arial" w:cs="Arial"/>
        </w:rPr>
        <w:t xml:space="preserve">) was added </w:t>
      </w:r>
      <w:r w:rsidRPr="00D03075">
        <w:rPr>
          <w:rFonts w:ascii="Arial" w:hAnsi="Arial" w:cs="Arial"/>
        </w:rPr>
        <w:lastRenderedPageBreak/>
        <w:t>to the vial and vortexed for 30 s. The mixture was then centrifuged for 8 minutes at 2500 g at 4°C to separate the layers. The lower dichloromethane layer was transferred to a screw capped auto-sampler vial with insert for GC-MS analysis. The method used a DB-WAX (</w:t>
      </w:r>
      <w:proofErr w:type="spellStart"/>
      <w:r w:rsidRPr="00D03075">
        <w:rPr>
          <w:rFonts w:ascii="Arial" w:hAnsi="Arial" w:cs="Arial"/>
        </w:rPr>
        <w:t>crosslinked</w:t>
      </w:r>
      <w:proofErr w:type="spellEnd"/>
      <w:r w:rsidRPr="00D03075">
        <w:rPr>
          <w:rFonts w:ascii="Arial" w:hAnsi="Arial" w:cs="Arial"/>
        </w:rPr>
        <w:t xml:space="preserve"> polyethylene glycol; J&amp;W Scientific Agilent technology) 30 m long column of 0.25mm </w:t>
      </w:r>
      <w:proofErr w:type="spellStart"/>
      <w:r w:rsidRPr="00D03075">
        <w:rPr>
          <w:rFonts w:ascii="Arial" w:hAnsi="Arial" w:cs="Arial"/>
        </w:rPr>
        <w:t>i.d</w:t>
      </w:r>
      <w:proofErr w:type="spellEnd"/>
      <w:r w:rsidRPr="00D03075">
        <w:rPr>
          <w:rFonts w:ascii="Arial" w:hAnsi="Arial" w:cs="Arial"/>
        </w:rPr>
        <w:t xml:space="preserve"> and 0.15 µm film thickness. The carrier gas was He and flow rate was 1.0 ml/min. Injection mode was </w:t>
      </w:r>
      <w:proofErr w:type="spellStart"/>
      <w:r w:rsidRPr="00D03075">
        <w:rPr>
          <w:rFonts w:ascii="Arial" w:hAnsi="Arial" w:cs="Arial"/>
        </w:rPr>
        <w:t>splitless</w:t>
      </w:r>
      <w:proofErr w:type="spellEnd"/>
      <w:r w:rsidRPr="00D03075">
        <w:rPr>
          <w:rFonts w:ascii="Arial" w:hAnsi="Arial" w:cs="Arial"/>
        </w:rPr>
        <w:t xml:space="preserve"> and volume was 1 µl for both SCAN mode, for qualification, and SIM mode, for quantification. Injection port temperature was 260°C. The MS selective detector interference temperature was 280°C. The chromatograph was programmed for an initial temperature of 50</w:t>
      </w:r>
      <w:r w:rsidRPr="00D03075">
        <w:rPr>
          <w:rFonts w:ascii="Arial" w:hAnsi="Arial" w:cs="Arial"/>
        </w:rPr>
        <w:sym w:font="Symbol" w:char="F0B0"/>
      </w:r>
      <w:r w:rsidRPr="00D03075">
        <w:rPr>
          <w:rFonts w:ascii="Arial" w:hAnsi="Arial" w:cs="Arial"/>
        </w:rPr>
        <w:t>C for 2 minutes, increased to 150</w:t>
      </w:r>
      <w:r w:rsidRPr="00D03075">
        <w:rPr>
          <w:rFonts w:ascii="Arial" w:hAnsi="Arial" w:cs="Arial"/>
        </w:rPr>
        <w:sym w:font="Symbol" w:char="F0B0"/>
      </w:r>
      <w:r w:rsidRPr="00D03075">
        <w:rPr>
          <w:rFonts w:ascii="Arial" w:hAnsi="Arial" w:cs="Arial"/>
        </w:rPr>
        <w:t>C at 8</w:t>
      </w:r>
      <w:r w:rsidRPr="00D03075">
        <w:rPr>
          <w:rFonts w:ascii="Arial" w:hAnsi="Arial" w:cs="Arial"/>
        </w:rPr>
        <w:sym w:font="Symbol" w:char="F0B0"/>
      </w:r>
      <w:r w:rsidRPr="00D03075">
        <w:rPr>
          <w:rFonts w:ascii="Arial" w:hAnsi="Arial" w:cs="Arial"/>
        </w:rPr>
        <w:t>C per minute, then increased to 220</w:t>
      </w:r>
      <w:r w:rsidRPr="00D03075">
        <w:rPr>
          <w:rFonts w:ascii="Arial" w:hAnsi="Arial" w:cs="Arial"/>
        </w:rPr>
        <w:sym w:font="Symbol" w:char="F0B0"/>
      </w:r>
      <w:r w:rsidRPr="00D03075">
        <w:rPr>
          <w:rFonts w:ascii="Arial" w:hAnsi="Arial" w:cs="Arial"/>
        </w:rPr>
        <w:t>C at 100</w:t>
      </w:r>
      <w:r w:rsidRPr="00D03075">
        <w:rPr>
          <w:rFonts w:ascii="Arial" w:hAnsi="Arial" w:cs="Arial"/>
        </w:rPr>
        <w:sym w:font="Symbol" w:char="F0B0"/>
      </w:r>
      <w:r w:rsidRPr="00D03075">
        <w:rPr>
          <w:rFonts w:ascii="Arial" w:hAnsi="Arial" w:cs="Arial"/>
        </w:rPr>
        <w:t>C per minute and held for 5 minutes at the final temperature. The MS was operated in electron impact (EI) ionization mode with the ionization energy of 70eV. SCAN mode measured at m/z: 20-500 and SIM (selected ion-monitoring) ions were set at 105 (for CBA), 115 (for MMA and SA). The same method was used for standards of MMA and SA at concentrations 0.156, 0.313, 0.625, 1.25, 2.5, 5, 10 and 20 µ</w:t>
      </w:r>
      <w:proofErr w:type="spellStart"/>
      <w:r w:rsidRPr="00D03075">
        <w:rPr>
          <w:rFonts w:ascii="Arial" w:hAnsi="Arial" w:cs="Arial"/>
        </w:rPr>
        <w:t>mol</w:t>
      </w:r>
      <w:proofErr w:type="spellEnd"/>
      <w:r w:rsidRPr="00D03075">
        <w:rPr>
          <w:rFonts w:ascii="Arial" w:hAnsi="Arial" w:cs="Arial"/>
        </w:rPr>
        <w:t>/l. Calibration was carried out by comparison of peak areas of CBA with MMA and SA in the standards and the final results expressed in µ</w:t>
      </w:r>
      <w:proofErr w:type="spellStart"/>
      <w:r w:rsidRPr="00D03075">
        <w:rPr>
          <w:rFonts w:ascii="Arial" w:hAnsi="Arial" w:cs="Arial"/>
        </w:rPr>
        <w:t>mol</w:t>
      </w:r>
      <w:proofErr w:type="spellEnd"/>
      <w:r w:rsidRPr="00D03075">
        <w:rPr>
          <w:rFonts w:ascii="Arial" w:hAnsi="Arial" w:cs="Arial"/>
        </w:rPr>
        <w:t>/l plasma. The limit of detection and limit of quantification was 0.156 µ</w:t>
      </w:r>
      <w:proofErr w:type="spellStart"/>
      <w:r w:rsidRPr="00D03075">
        <w:rPr>
          <w:rFonts w:ascii="Arial" w:hAnsi="Arial" w:cs="Arial"/>
        </w:rPr>
        <w:t>mol</w:t>
      </w:r>
      <w:proofErr w:type="spellEnd"/>
      <w:r w:rsidRPr="00D03075">
        <w:rPr>
          <w:rFonts w:ascii="Arial" w:hAnsi="Arial" w:cs="Arial"/>
        </w:rPr>
        <w:t>/l.</w:t>
      </w:r>
      <w:r w:rsidR="00451CBA">
        <w:rPr>
          <w:rFonts w:ascii="Arial" w:hAnsi="Arial" w:cs="Arial"/>
        </w:rPr>
        <w:t xml:space="preserve"> The </w:t>
      </w:r>
      <w:r w:rsidR="00451CBA" w:rsidRPr="00D03075">
        <w:rPr>
          <w:rFonts w:ascii="Arial" w:eastAsiaTheme="minorHAnsi" w:hAnsi="Arial" w:cs="Arial"/>
        </w:rPr>
        <w:t xml:space="preserve">CV’s for low, medium and high </w:t>
      </w:r>
      <w:r w:rsidR="00451CBA">
        <w:rPr>
          <w:rFonts w:ascii="Arial" w:eastAsiaTheme="minorHAnsi" w:hAnsi="Arial" w:cs="Arial"/>
        </w:rPr>
        <w:t>quality controls</w:t>
      </w:r>
      <w:r w:rsidR="00451CBA" w:rsidRPr="00D03075">
        <w:rPr>
          <w:rFonts w:ascii="Arial" w:eastAsiaTheme="minorHAnsi" w:hAnsi="Arial" w:cs="Arial"/>
        </w:rPr>
        <w:t xml:space="preserve"> were </w:t>
      </w:r>
      <w:r w:rsidR="00451CBA">
        <w:rPr>
          <w:rFonts w:ascii="Arial" w:eastAsiaTheme="minorHAnsi" w:hAnsi="Arial" w:cs="Arial"/>
        </w:rPr>
        <w:t>0.44</w:t>
      </w:r>
      <w:r w:rsidR="00451CBA" w:rsidRPr="00D03075">
        <w:rPr>
          <w:rFonts w:ascii="Arial" w:eastAsiaTheme="minorHAnsi" w:hAnsi="Arial" w:cs="Arial"/>
        </w:rPr>
        <w:t xml:space="preserve">, </w:t>
      </w:r>
      <w:r w:rsidR="00451CBA">
        <w:rPr>
          <w:rFonts w:ascii="Arial" w:eastAsiaTheme="minorHAnsi" w:hAnsi="Arial" w:cs="Arial"/>
        </w:rPr>
        <w:t xml:space="preserve">1.03, 0.83% for MMA and 1.2, 1.1 and 2.3% for SA respectively. </w:t>
      </w:r>
    </w:p>
    <w:p w:rsidR="00442268" w:rsidRPr="00D03075" w:rsidRDefault="00442268" w:rsidP="00C8149E">
      <w:pPr>
        <w:spacing w:line="480" w:lineRule="auto"/>
        <w:ind w:firstLine="720"/>
        <w:jc w:val="both"/>
        <w:rPr>
          <w:rFonts w:ascii="Arial" w:hAnsi="Arial" w:cs="Arial"/>
        </w:rPr>
      </w:pPr>
      <w:r w:rsidRPr="00D03075">
        <w:rPr>
          <w:rFonts w:ascii="Arial" w:hAnsi="Arial" w:cs="Arial"/>
        </w:rPr>
        <w:t xml:space="preserve">For hepatic triacylglycerol (TAG) analyses, samples were reduced to powder under liquid N, and known amounts (around 90-120 mg) weighed and homogenised in 1.6 ml of 0.47 M sodium sulphate, followed by the addition of 2 ml of 0.47 M sodium sulphate and 5.4 ml </w:t>
      </w:r>
      <w:proofErr w:type="spellStart"/>
      <w:r w:rsidRPr="00D03075">
        <w:rPr>
          <w:rFonts w:ascii="Arial" w:hAnsi="Arial" w:cs="Arial"/>
        </w:rPr>
        <w:t>hexane:isopropanol</w:t>
      </w:r>
      <w:proofErr w:type="spellEnd"/>
      <w:r w:rsidRPr="00D03075">
        <w:rPr>
          <w:rFonts w:ascii="Arial" w:hAnsi="Arial" w:cs="Arial"/>
        </w:rPr>
        <w:t xml:space="preserve"> (3:2, v/v). The mixtures were vortexed for 30 s and centrifuged at 2000 g for 5 minutes at room temperature, then </w:t>
      </w:r>
      <w:r w:rsidRPr="00D03075">
        <w:rPr>
          <w:rFonts w:ascii="Arial" w:hAnsi="Arial" w:cs="Arial"/>
        </w:rPr>
        <w:lastRenderedPageBreak/>
        <w:t xml:space="preserve">2.5 ml of the top layer transferred to a glass tube and dried under nitrogen. The dried lipid was reconstituted in 1 ml of hexane and 10 or 60 µl transferred to a second tube and dried under nitrogen. </w:t>
      </w:r>
      <w:r w:rsidR="00C8149E" w:rsidRPr="00B97949">
        <w:rPr>
          <w:rFonts w:ascii="Arial" w:hAnsi="Arial" w:cs="Arial"/>
        </w:rPr>
        <w:t xml:space="preserve">Dried samples were then re-suspended in 120 µl of isopropanol and 50 µl was mixed with 250 µl of colour reagent from Wako </w:t>
      </w:r>
      <w:proofErr w:type="spellStart"/>
      <w:r w:rsidR="00C8149E" w:rsidRPr="00B97949">
        <w:rPr>
          <w:rFonts w:ascii="Arial" w:hAnsi="Arial" w:cs="Arial"/>
        </w:rPr>
        <w:t>LabAssay</w:t>
      </w:r>
      <w:proofErr w:type="spellEnd"/>
      <w:r w:rsidR="00C8149E" w:rsidRPr="00B97949">
        <w:rPr>
          <w:rFonts w:ascii="Arial" w:hAnsi="Arial" w:cs="Arial"/>
        </w:rPr>
        <w:t xml:space="preserve"> triglyceride kit (Catalogue No. 290-63701; Alpha Laboratories, Hampshire, UK) for triacylglycerol measurement. Different concentrations of </w:t>
      </w:r>
      <w:proofErr w:type="spellStart"/>
      <w:r w:rsidR="00C8149E" w:rsidRPr="00B97949">
        <w:rPr>
          <w:rFonts w:ascii="Arial" w:hAnsi="Arial" w:cs="Arial"/>
        </w:rPr>
        <w:t>triolein</w:t>
      </w:r>
      <w:proofErr w:type="spellEnd"/>
      <w:r w:rsidR="00C8149E" w:rsidRPr="00B97949">
        <w:rPr>
          <w:rFonts w:ascii="Arial" w:hAnsi="Arial" w:cs="Arial"/>
        </w:rPr>
        <w:t xml:space="preserve"> standard (Catalogue No. T7140, Sigma-Aldrich, Gillingham, UK) were processed in parallel with liver samples to generate a standard curve. </w:t>
      </w:r>
      <w:r w:rsidRPr="00D03075">
        <w:rPr>
          <w:rFonts w:ascii="Arial" w:hAnsi="Arial" w:cs="Arial"/>
        </w:rPr>
        <w:t xml:space="preserve">Different concentrations of glycerol and non-extracted </w:t>
      </w:r>
      <w:proofErr w:type="spellStart"/>
      <w:r w:rsidRPr="00D03075">
        <w:rPr>
          <w:rFonts w:ascii="Arial" w:hAnsi="Arial" w:cs="Arial"/>
        </w:rPr>
        <w:t>triolein</w:t>
      </w:r>
      <w:proofErr w:type="spellEnd"/>
      <w:r w:rsidRPr="00D03075">
        <w:rPr>
          <w:rFonts w:ascii="Arial" w:hAnsi="Arial" w:cs="Arial"/>
        </w:rPr>
        <w:t xml:space="preserve"> were included in each plate to monitor enzyme activity and completeness of lipolysis by lipoprotein lipase. In addition, a single liver analysed in each plate served as a quality control. The </w:t>
      </w:r>
      <w:r w:rsidR="00451CBA">
        <w:rPr>
          <w:rFonts w:ascii="Arial" w:hAnsi="Arial" w:cs="Arial"/>
        </w:rPr>
        <w:t>inter-</w:t>
      </w:r>
      <w:r w:rsidRPr="00D03075">
        <w:rPr>
          <w:rFonts w:ascii="Arial" w:hAnsi="Arial" w:cs="Arial"/>
        </w:rPr>
        <w:t xml:space="preserve">assay CV was 8.4%. </w:t>
      </w: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7B1DE4" w:rsidP="00C41049">
      <w:pPr>
        <w:rPr>
          <w:rFonts w:ascii="Arial" w:hAnsi="Arial" w:cs="Arial"/>
          <w:b/>
        </w:rPr>
      </w:pPr>
      <w:r>
        <w:rPr>
          <w:rFonts w:ascii="Arial" w:hAnsi="Arial" w:cs="Arial"/>
          <w:b/>
        </w:rPr>
        <w:t>References</w:t>
      </w:r>
    </w:p>
    <w:p w:rsidR="003E7312" w:rsidRDefault="003E7312" w:rsidP="00C41049">
      <w:pPr>
        <w:rPr>
          <w:rFonts w:ascii="Arial" w:hAnsi="Arial" w:cs="Arial"/>
          <w:b/>
        </w:rPr>
      </w:pPr>
    </w:p>
    <w:p w:rsidR="003E7312" w:rsidRPr="007B1DE4" w:rsidRDefault="007B1DE4" w:rsidP="007B1DE4">
      <w:pPr>
        <w:spacing w:line="360" w:lineRule="auto"/>
        <w:rPr>
          <w:rFonts w:ascii="Arial" w:hAnsi="Arial" w:cs="Arial"/>
        </w:rPr>
      </w:pPr>
      <w:proofErr w:type="spellStart"/>
      <w:r w:rsidRPr="007B1DE4">
        <w:rPr>
          <w:rFonts w:ascii="Arial" w:hAnsi="Arial" w:cs="Arial"/>
        </w:rPr>
        <w:t>Kanakkaparambil</w:t>
      </w:r>
      <w:proofErr w:type="spellEnd"/>
      <w:r w:rsidRPr="007B1DE4">
        <w:rPr>
          <w:rFonts w:ascii="Arial" w:hAnsi="Arial" w:cs="Arial"/>
        </w:rPr>
        <w:t xml:space="preserve"> R, Singh R, Li D, Webb R and Sinclair KD 2009. B-vitamin and homocysteine status determines ovarian response to gonadotrophin treatment in sheep. Biology of Reproduction 80, 743-752.  </w:t>
      </w:r>
    </w:p>
    <w:p w:rsidR="007B1DE4" w:rsidRPr="007B1DE4" w:rsidRDefault="007B1DE4" w:rsidP="00C41049">
      <w:pPr>
        <w:rPr>
          <w:rFonts w:ascii="Arial" w:hAnsi="Arial" w:cs="Arial"/>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3E7312" w:rsidRDefault="003E7312" w:rsidP="00C41049">
      <w:pPr>
        <w:rPr>
          <w:rFonts w:ascii="Arial" w:hAnsi="Arial" w:cs="Arial"/>
          <w:b/>
        </w:rPr>
      </w:pPr>
    </w:p>
    <w:p w:rsidR="000A5FD4" w:rsidRDefault="003C301C" w:rsidP="00C41049">
      <w:pPr>
        <w:rPr>
          <w:sz w:val="22"/>
          <w:szCs w:val="22"/>
        </w:rPr>
      </w:pPr>
      <w:r w:rsidRPr="00EA5DD1">
        <w:rPr>
          <w:noProof/>
          <w:lang w:val="en-IN" w:eastAsia="en-IN"/>
        </w:rPr>
        <w:lastRenderedPageBreak/>
        <w:drawing>
          <wp:anchor distT="0" distB="0" distL="114300" distR="114300" simplePos="0" relativeHeight="251659264" behindDoc="1" locked="0" layoutInCell="1" allowOverlap="1" wp14:anchorId="3DD35536" wp14:editId="6F78CD49">
            <wp:simplePos x="0" y="0"/>
            <wp:positionH relativeFrom="margin">
              <wp:align>center</wp:align>
            </wp:positionH>
            <wp:positionV relativeFrom="margin">
              <wp:posOffset>-411480</wp:posOffset>
            </wp:positionV>
            <wp:extent cx="2712085" cy="84035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2085" cy="840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FD4" w:rsidRDefault="000A5FD4" w:rsidP="00C41049">
      <w:pPr>
        <w:rPr>
          <w:sz w:val="22"/>
          <w:szCs w:val="22"/>
        </w:rPr>
      </w:pPr>
    </w:p>
    <w:p w:rsidR="000A5FD4" w:rsidRDefault="000A5FD4" w:rsidP="00C41049">
      <w:pPr>
        <w:rPr>
          <w:sz w:val="22"/>
          <w:szCs w:val="22"/>
        </w:rPr>
      </w:pPr>
    </w:p>
    <w:p w:rsidR="000A5FD4" w:rsidRDefault="000A5FD4" w:rsidP="00C41049">
      <w:pPr>
        <w:rPr>
          <w:sz w:val="22"/>
          <w:szCs w:val="22"/>
        </w:rPr>
      </w:pPr>
    </w:p>
    <w:p w:rsidR="000A5FD4" w:rsidRPr="000A5FD4" w:rsidRDefault="000A5FD4" w:rsidP="009C17C8">
      <w:pPr>
        <w:rPr>
          <w:rFonts w:ascii="Arial" w:hAnsi="Arial" w:cs="Arial"/>
          <w:sz w:val="22"/>
          <w:szCs w:val="22"/>
        </w:rPr>
      </w:pPr>
      <w:r w:rsidRPr="000A5FD4">
        <w:rPr>
          <w:rFonts w:ascii="Arial" w:hAnsi="Arial" w:cs="Arial"/>
          <w:sz w:val="22"/>
          <w:szCs w:val="22"/>
        </w:rPr>
        <w:t xml:space="preserve"> </w:t>
      </w:r>
    </w:p>
    <w:p w:rsidR="000A5FD4" w:rsidRDefault="000A5FD4"/>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9C17C8" w:rsidRDefault="009C17C8"/>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3C301C" w:rsidRDefault="003C301C" w:rsidP="009D6B25">
      <w:pPr>
        <w:jc w:val="both"/>
        <w:rPr>
          <w:rFonts w:ascii="Arial" w:hAnsi="Arial" w:cs="Arial"/>
          <w:b/>
          <w:sz w:val="22"/>
          <w:szCs w:val="22"/>
        </w:rPr>
      </w:pPr>
    </w:p>
    <w:p w:rsidR="00942E66" w:rsidRPr="003C301C" w:rsidRDefault="009D6B25" w:rsidP="002B4230">
      <w:pPr>
        <w:jc w:val="both"/>
        <w:rPr>
          <w:rFonts w:ascii="Arial" w:hAnsi="Arial" w:cs="Arial"/>
          <w:sz w:val="22"/>
          <w:szCs w:val="22"/>
        </w:rPr>
      </w:pPr>
      <w:r>
        <w:rPr>
          <w:rFonts w:ascii="Arial" w:hAnsi="Arial" w:cs="Arial"/>
          <w:b/>
          <w:sz w:val="22"/>
          <w:szCs w:val="22"/>
        </w:rPr>
        <w:t xml:space="preserve">Supplementary </w:t>
      </w:r>
      <w:r w:rsidRPr="00483B59">
        <w:rPr>
          <w:rFonts w:ascii="Arial" w:hAnsi="Arial" w:cs="Arial"/>
          <w:b/>
          <w:sz w:val="22"/>
          <w:szCs w:val="22"/>
        </w:rPr>
        <w:t xml:space="preserve">Figure </w:t>
      </w:r>
      <w:r w:rsidR="003E7312">
        <w:rPr>
          <w:rFonts w:ascii="Arial" w:hAnsi="Arial" w:cs="Arial"/>
          <w:b/>
          <w:sz w:val="22"/>
          <w:szCs w:val="22"/>
        </w:rPr>
        <w:t>1</w:t>
      </w:r>
      <w:r w:rsidRPr="00483B59">
        <w:rPr>
          <w:rFonts w:ascii="Arial" w:hAnsi="Arial" w:cs="Arial"/>
          <w:sz w:val="22"/>
          <w:szCs w:val="22"/>
        </w:rPr>
        <w:t xml:space="preserve"> Plasma glucose (a), </w:t>
      </w:r>
      <w:r w:rsidR="00BE2229">
        <w:rPr>
          <w:rFonts w:ascii="Arial" w:hAnsi="Arial" w:cs="Arial"/>
          <w:sz w:val="22"/>
          <w:szCs w:val="22"/>
        </w:rPr>
        <w:t>ß-</w:t>
      </w:r>
      <w:proofErr w:type="spellStart"/>
      <w:r w:rsidR="00BE2229">
        <w:rPr>
          <w:rFonts w:ascii="Arial" w:hAnsi="Arial" w:cs="Arial"/>
          <w:sz w:val="22"/>
          <w:szCs w:val="22"/>
        </w:rPr>
        <w:t>hydroxybutyrate</w:t>
      </w:r>
      <w:proofErr w:type="spellEnd"/>
      <w:r w:rsidR="00BE2229">
        <w:rPr>
          <w:rFonts w:ascii="Arial" w:hAnsi="Arial" w:cs="Arial"/>
          <w:sz w:val="22"/>
          <w:szCs w:val="22"/>
        </w:rPr>
        <w:t xml:space="preserve"> (3-OHB)</w:t>
      </w:r>
      <w:r w:rsidRPr="00483B59">
        <w:rPr>
          <w:rFonts w:ascii="Arial" w:hAnsi="Arial" w:cs="Arial"/>
          <w:sz w:val="22"/>
          <w:szCs w:val="22"/>
        </w:rPr>
        <w:t xml:space="preserve"> (b), </w:t>
      </w:r>
      <w:proofErr w:type="spellStart"/>
      <w:r w:rsidR="00BE2229">
        <w:rPr>
          <w:rFonts w:ascii="Arial" w:hAnsi="Arial" w:cs="Arial"/>
          <w:sz w:val="22"/>
          <w:szCs w:val="22"/>
        </w:rPr>
        <w:t>non esterified</w:t>
      </w:r>
      <w:proofErr w:type="spellEnd"/>
      <w:r w:rsidR="00BE2229">
        <w:rPr>
          <w:rFonts w:ascii="Arial" w:hAnsi="Arial" w:cs="Arial"/>
          <w:sz w:val="22"/>
          <w:szCs w:val="22"/>
        </w:rPr>
        <w:t xml:space="preserve"> fatty acids (</w:t>
      </w:r>
      <w:r w:rsidRPr="00483B59">
        <w:rPr>
          <w:rFonts w:ascii="Arial" w:hAnsi="Arial" w:cs="Arial"/>
          <w:sz w:val="22"/>
          <w:szCs w:val="22"/>
        </w:rPr>
        <w:t>NEFA</w:t>
      </w:r>
      <w:r w:rsidR="00BE2229">
        <w:rPr>
          <w:rFonts w:ascii="Arial" w:hAnsi="Arial" w:cs="Arial"/>
          <w:sz w:val="22"/>
          <w:szCs w:val="22"/>
        </w:rPr>
        <w:t>)</w:t>
      </w:r>
      <w:r w:rsidRPr="00483B59">
        <w:rPr>
          <w:rFonts w:ascii="Arial" w:hAnsi="Arial" w:cs="Arial"/>
          <w:sz w:val="22"/>
          <w:szCs w:val="22"/>
        </w:rPr>
        <w:t xml:space="preserve"> (c) and urea (d) in pre- and post-partum of dairy cows offered diets that contained no added </w:t>
      </w:r>
      <w:r w:rsidR="00145C96">
        <w:rPr>
          <w:rFonts w:ascii="Arial" w:hAnsi="Arial" w:cs="Arial"/>
          <w:sz w:val="22"/>
          <w:szCs w:val="22"/>
        </w:rPr>
        <w:t>cobalt (Co)</w:t>
      </w:r>
      <w:r w:rsidRPr="00483B59">
        <w:rPr>
          <w:rFonts w:ascii="Arial" w:hAnsi="Arial" w:cs="Arial"/>
          <w:sz w:val="22"/>
          <w:szCs w:val="22"/>
        </w:rPr>
        <w:t xml:space="preserve"> (C: </w:t>
      </w:r>
      <w:r w:rsidRPr="00483B59">
        <w:rPr>
          <w:rFonts w:ascii="Arial" w:hAnsi="Arial" w:cs="Arial"/>
          <w:sz w:val="22"/>
          <w:szCs w:val="22"/>
        </w:rPr>
        <w:sym w:font="Wingdings" w:char="F06E"/>
      </w:r>
      <w:r w:rsidRPr="00483B59">
        <w:rPr>
          <w:rFonts w:ascii="Arial" w:hAnsi="Arial" w:cs="Arial"/>
          <w:sz w:val="22"/>
          <w:szCs w:val="22"/>
        </w:rPr>
        <w:t xml:space="preserve">), added dietary Co (DC: ●), added dietary B12 (DB: ○) or injected  B12 (IB: </w:t>
      </w:r>
      <w:r w:rsidRPr="00483B59">
        <w:rPr>
          <w:rFonts w:ascii="Arial" w:hAnsi="Arial" w:cs="Arial"/>
          <w:sz w:val="22"/>
          <w:szCs w:val="22"/>
        </w:rPr>
        <w:sym w:font="Symbol" w:char="F044"/>
      </w:r>
      <w:r w:rsidRPr="00483B59">
        <w:rPr>
          <w:rFonts w:ascii="Arial" w:hAnsi="Arial" w:cs="Arial"/>
          <w:sz w:val="22"/>
          <w:szCs w:val="22"/>
        </w:rPr>
        <w:t xml:space="preserve">). </w:t>
      </w:r>
    </w:p>
    <w:sectPr w:rsidR="00942E66" w:rsidRPr="003C3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49"/>
    <w:rsid w:val="000A5FD4"/>
    <w:rsid w:val="00131018"/>
    <w:rsid w:val="00145C96"/>
    <w:rsid w:val="002B4230"/>
    <w:rsid w:val="00392C9B"/>
    <w:rsid w:val="003C301C"/>
    <w:rsid w:val="003E7312"/>
    <w:rsid w:val="00442268"/>
    <w:rsid w:val="00451CBA"/>
    <w:rsid w:val="00674FB1"/>
    <w:rsid w:val="006A5C91"/>
    <w:rsid w:val="00740616"/>
    <w:rsid w:val="007A391A"/>
    <w:rsid w:val="007B1DE4"/>
    <w:rsid w:val="00942E66"/>
    <w:rsid w:val="00975AE2"/>
    <w:rsid w:val="00980E9A"/>
    <w:rsid w:val="009C17C8"/>
    <w:rsid w:val="009D6B25"/>
    <w:rsid w:val="00A96470"/>
    <w:rsid w:val="00B97949"/>
    <w:rsid w:val="00BE2229"/>
    <w:rsid w:val="00C41049"/>
    <w:rsid w:val="00C8149E"/>
    <w:rsid w:val="00D70EF2"/>
    <w:rsid w:val="00E7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5C96"/>
    <w:pPr>
      <w:widowControl w:val="0"/>
      <w:spacing w:line="215" w:lineRule="auto"/>
      <w:jc w:val="both"/>
    </w:pPr>
    <w:rPr>
      <w:b/>
      <w:snapToGrid w:val="0"/>
      <w:szCs w:val="20"/>
    </w:rPr>
  </w:style>
  <w:style w:type="character" w:customStyle="1" w:styleId="BodyTextChar">
    <w:name w:val="Body Text Char"/>
    <w:basedOn w:val="DefaultParagraphFont"/>
    <w:link w:val="BodyText"/>
    <w:rsid w:val="00145C96"/>
    <w:rPr>
      <w:rFonts w:ascii="Times New Roman" w:eastAsia="Times New Roman" w:hAnsi="Times New Roman" w:cs="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5C96"/>
    <w:pPr>
      <w:widowControl w:val="0"/>
      <w:spacing w:line="215" w:lineRule="auto"/>
      <w:jc w:val="both"/>
    </w:pPr>
    <w:rPr>
      <w:b/>
      <w:snapToGrid w:val="0"/>
      <w:szCs w:val="20"/>
    </w:rPr>
  </w:style>
  <w:style w:type="character" w:customStyle="1" w:styleId="BodyTextChar">
    <w:name w:val="Body Text Char"/>
    <w:basedOn w:val="DefaultParagraphFont"/>
    <w:link w:val="BodyText"/>
    <w:rsid w:val="00145C96"/>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Sinclair</dc:creator>
  <cp:keywords/>
  <dc:description/>
  <cp:lastModifiedBy>priyanka m.</cp:lastModifiedBy>
  <cp:revision>14</cp:revision>
  <dcterms:created xsi:type="dcterms:W3CDTF">2018-02-23T12:34:00Z</dcterms:created>
  <dcterms:modified xsi:type="dcterms:W3CDTF">2018-09-22T10:36:00Z</dcterms:modified>
</cp:coreProperties>
</file>