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2A" w:rsidRPr="003422F7" w:rsidRDefault="00C6362A" w:rsidP="00CD293D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3422F7">
        <w:rPr>
          <w:rFonts w:ascii="Arial" w:hAnsi="Arial" w:cs="Arial"/>
          <w:b/>
          <w:bCs/>
          <w:sz w:val="24"/>
          <w:szCs w:val="24"/>
          <w:lang w:val="en-GB"/>
        </w:rPr>
        <w:t>Supplementa</w:t>
      </w:r>
      <w:r w:rsidR="00B074C9" w:rsidRPr="003422F7">
        <w:rPr>
          <w:rFonts w:ascii="Arial" w:hAnsi="Arial" w:cs="Arial"/>
          <w:b/>
          <w:bCs/>
          <w:sz w:val="24"/>
          <w:szCs w:val="24"/>
          <w:lang w:val="en-GB"/>
        </w:rPr>
        <w:t>ry M</w:t>
      </w:r>
      <w:r w:rsidRPr="003422F7">
        <w:rPr>
          <w:rFonts w:ascii="Arial" w:hAnsi="Arial" w:cs="Arial"/>
          <w:b/>
          <w:bCs/>
          <w:sz w:val="24"/>
          <w:szCs w:val="24"/>
          <w:lang w:val="en-GB"/>
        </w:rPr>
        <w:t>aterial S1</w:t>
      </w:r>
    </w:p>
    <w:p w:rsidR="00CD293D" w:rsidRPr="003422F7" w:rsidRDefault="008F38EF" w:rsidP="00CD293D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Review: </w:t>
      </w:r>
      <w:bookmarkStart w:id="0" w:name="_GoBack"/>
      <w:bookmarkEnd w:id="0"/>
      <w:r w:rsidR="00CD293D" w:rsidRPr="003422F7">
        <w:rPr>
          <w:rFonts w:ascii="Arial" w:hAnsi="Arial" w:cs="Arial"/>
          <w:b/>
          <w:bCs/>
          <w:sz w:val="24"/>
          <w:szCs w:val="24"/>
          <w:lang w:val="en-GB"/>
        </w:rPr>
        <w:t>The cellular mechanisms underlying mammary tissue plasticity during lactation</w:t>
      </w:r>
      <w:r w:rsidR="00ED0CC1" w:rsidRPr="003422F7">
        <w:rPr>
          <w:rFonts w:ascii="Arial" w:hAnsi="Arial" w:cs="Arial"/>
          <w:b/>
          <w:bCs/>
          <w:sz w:val="24"/>
          <w:szCs w:val="24"/>
          <w:lang w:val="en-GB"/>
        </w:rPr>
        <w:t xml:space="preserve"> in ruminants</w:t>
      </w:r>
    </w:p>
    <w:p w:rsidR="00CD293D" w:rsidRPr="003422F7" w:rsidRDefault="00CD293D" w:rsidP="00CD293D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C6362A" w:rsidRPr="003422F7" w:rsidRDefault="00CD293D" w:rsidP="00CD293D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Herve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H.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Quesnel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V.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F.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Dessauge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E.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Chanat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P.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C.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Charton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J.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Guinard-Flament</w:t>
      </w:r>
      <w:proofErr w:type="spellEnd"/>
    </w:p>
    <w:p w:rsidR="00C6362A" w:rsidRPr="003422F7" w:rsidRDefault="00E81C10" w:rsidP="00CD293D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gramStart"/>
      <w:r w:rsidRPr="003422F7">
        <w:rPr>
          <w:rFonts w:ascii="Arial" w:hAnsi="Arial" w:cs="Arial"/>
          <w:bCs/>
          <w:i/>
          <w:sz w:val="24"/>
          <w:szCs w:val="24"/>
          <w:lang w:val="en-GB"/>
        </w:rPr>
        <w:t>a</w:t>
      </w:r>
      <w:r w:rsidR="00ED0CC1" w:rsidRPr="003422F7">
        <w:rPr>
          <w:rFonts w:ascii="Arial" w:hAnsi="Arial" w:cs="Arial"/>
          <w:bCs/>
          <w:i/>
          <w:sz w:val="24"/>
          <w:szCs w:val="24"/>
          <w:lang w:val="en-GB"/>
        </w:rPr>
        <w:t>nimal</w:t>
      </w:r>
      <w:proofErr w:type="gramEnd"/>
      <w:r w:rsidR="00ED0CC1" w:rsidRPr="003422F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422F7">
        <w:rPr>
          <w:rFonts w:ascii="Arial" w:hAnsi="Arial" w:cs="Arial"/>
          <w:bCs/>
          <w:sz w:val="24"/>
          <w:szCs w:val="24"/>
          <w:lang w:val="en-GB"/>
        </w:rPr>
        <w:t>j</w:t>
      </w:r>
      <w:r w:rsidR="00ED0CC1" w:rsidRPr="003422F7">
        <w:rPr>
          <w:rFonts w:ascii="Arial" w:hAnsi="Arial" w:cs="Arial"/>
          <w:bCs/>
          <w:sz w:val="24"/>
          <w:szCs w:val="24"/>
          <w:lang w:val="en-GB"/>
        </w:rPr>
        <w:t>ournal</w:t>
      </w:r>
    </w:p>
    <w:p w:rsidR="00ED0CC1" w:rsidRPr="003422F7" w:rsidRDefault="00ED0CC1" w:rsidP="00CD293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E61E26" w:rsidRPr="003422F7" w:rsidRDefault="00C6362A" w:rsidP="00CD293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3422F7">
        <w:rPr>
          <w:rFonts w:ascii="Arial" w:hAnsi="Arial" w:cs="Arial"/>
          <w:b/>
          <w:bCs/>
          <w:sz w:val="24"/>
          <w:szCs w:val="24"/>
          <w:lang w:val="en-GB"/>
        </w:rPr>
        <w:t>Reference</w:t>
      </w:r>
      <w:r w:rsidR="004E6808" w:rsidRPr="003422F7">
        <w:rPr>
          <w:rFonts w:ascii="Arial" w:hAnsi="Arial" w:cs="Arial"/>
          <w:b/>
          <w:bCs/>
          <w:sz w:val="24"/>
          <w:szCs w:val="24"/>
          <w:lang w:val="en-GB"/>
        </w:rPr>
        <w:t>s</w:t>
      </w:r>
    </w:p>
    <w:p w:rsidR="00C6362A" w:rsidRPr="003422F7" w:rsidRDefault="00C6362A" w:rsidP="00CD293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Abdelatty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Iwaniuk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ME, Garcia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Moyes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Teter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BB,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Delmonte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Kadegowda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AKG, Tony MA, Mohamad FF and Erdman RA 2017. Effect of short-term feed restriction on temporal changes in milk components and mammary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lipogenic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gene expression in mid-lactation Holstein dairy cows.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100, 4000-4013.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Alex AP, Collier JL, Hadsell DL and Collier RJ 2015. Milk yield differences between </w:t>
      </w:r>
      <w:proofErr w:type="gram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1x</w:t>
      </w:r>
      <w:proofErr w:type="gram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4x milking are associated with changes in mammary mitochondrial number and milk protein gene expression, but not mammary cell apoptosis or SOCS gene expression.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98, 4439-4448.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Ben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Chedly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Marnet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PG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2013. The decrease in milk yield during once daily milking is due to regulation of synthetic activity rather than apoptosis of mammary epithelial cells in goats. Animal </w:t>
      </w:r>
      <w:proofErr w:type="gram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7</w:t>
      </w:r>
      <w:proofErr w:type="gram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, 124-133.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Ben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Chedly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Marnet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PG,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Komara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Marion S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2011. Use of milk epithelial cells to study regulation of cell activity and apoptosis during once</w:t>
      </w:r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-daily milking in goats. Animal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5, 572-579.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Bernier-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Dodier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Delbecchi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Wagner GF, Talbot BG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 2010. Effect of milking frequency on lactation persistency and mammary gland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remodeling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mid-lactation cows.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Journal of Dairy Science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93, 555-564.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Boehmer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JL, Bannerman DD,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Shefcheck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 and Ward JL 2008. Proteomic analysis of differentially expressed proteins in bovine milk during experimentally induced Escherichia coli mastitis.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91, 4206-4218.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Rousseau C,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Keisler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DH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Jammes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 2003. Growth hormone and milking frequency act differently on goat mammary gland in late lactation.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86, 509-520.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Ben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Chedly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Delamaire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Guinard-Flament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 2008. Milking and feed restriction regulate transcripts of mammary epithelial cells purified from milk.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91, 988-998.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RM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 2012. Mammary cell activity and turnover in dairy cows treated with the prolactin-release inhibitor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quinagolide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milked once daily. 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95, 177-187.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Galio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Wiart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Esquerre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Devinoy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 2013a. Unilateral once daily milking locally induces differential gene expression in both mammary tissue and milk epithelial cells revealing mammary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remodeling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. Physiol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ogical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Genomics 45, 973-985.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Yart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Debournoux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Wiart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Le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Guennec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Marnet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P-G,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Dessauge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 2013b. Exfoliation of mammary epithelial cells in milk </w:t>
      </w:r>
      <w:proofErr w:type="gram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is linked</w:t>
      </w:r>
      <w:proofErr w:type="gram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with lactation persistency in dairy cows. In </w:t>
      </w:r>
      <w:r w:rsidR="003422F7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proceedings</w:t>
      </w:r>
      <w:r w:rsidR="00EB0FEA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the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64th EAAP Annual Meeting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28-30 August 2013,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Nantes,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France, pp 503.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Connor EE,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Siferd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Elsasser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Evock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-Clover CM, Van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Tassell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Sonstegard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Fernandes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VM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Capuco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AV 2008. Effects of increased milking frequency on gene expression i</w:t>
      </w:r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>n the bovine mammary gland. BMC Genomics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9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362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-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3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74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Dessauge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Ponchon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Wiart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Cutullic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Disenhaus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Barbey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2011. Effects of nutrient restriction on mammary cell turnover and mammary gland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remodeling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lactating dairy cows.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Journal of Dairy Science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94, 4623-4635.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Farr VC,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Stelwagen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K, Kerr MA, Davis SR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Eichler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SJ 1995. Effect of once daily milking (ODM) on enzyme activities in the bovine mammary gland. Proc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eedings of the New Zealand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Soc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iety of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Anim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Prod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uction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55, 12-13.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Grala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Phyn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CV, Kay JK,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Rius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AG, Lucy MC, Littlejohn MD, Snell RG and Roche JR 2014. Gene expression in liver and adipose tissue </w:t>
      </w:r>
      <w:proofErr w:type="gram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is altered</w:t>
      </w:r>
      <w:proofErr w:type="gram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during and after temporary changes to postpartum milking frequency.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97, 2701-2717.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Gross JJ, van Dorland HA,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Wellnitz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RM 2015. Glucose transport and milk secretion during manipulated plasma insulin and glucose concentrations and during LPS-induced mastitis in dairy cows. J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ournal of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Anim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Physiol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ogy and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Anim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Nutr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ition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Berl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) 99, 747-756.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Hale SA,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Capuco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AV and Erdman RA 2003. Milk yield and mammary growth effects due to increased milking frequency during early lactation.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86, 2061-2071.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Herve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Quesnel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Veron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Portanguen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J, Gross J,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RM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2018. Milk yield loss in response to feed restriction is associated with mammary epithelial cell exfoliation in dairy cows.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Accepted Journal of Dairy Science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2007F5" w:rsidRPr="003422F7">
        <w:rPr>
          <w:lang w:val="en-GB"/>
        </w:rPr>
        <w:t xml:space="preserve"> </w:t>
      </w:r>
      <w:r w:rsidR="002007F5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DOI:10.3168/jds.2018-15398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Herve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Veron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Lamberton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Wiart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Debournoux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Philau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Mustière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Quesnel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2017. Feed restriction increases mammary epithelial cell exfoliation rate in dairy cows. Journal of Animal Science 95, 170-171.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Hillerton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JE, Knight CH,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Turvey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A, Wheatley SD and Wilde CJ 1990. Milk yield and mammary function in dairy cows milked four times daily. J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ournal of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Dairy Res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earch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57, 285-294.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Hogarth CJ, Fitzpatrick JL, Nolan AM, Young FJ, Pitt A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Eckersall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PD 2004. Differential protein composition of bovine whey: a comparison of whey from healthy animals and from those with clinical mastitis. Proteomics 4, 2094-2100.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Li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Rudland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Fernig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DG, Finch LM and Wilde CJ 1999. Modulation of mammary development and programmed cell death by the frequency of milk removal in lactating goats. J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ournal of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Physiol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ogy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519 Pt 3, 885-900.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Li X, Ding XZ, Wan YL, Liu YM and Du GZ 2014. Comparative proteomic changes of differentially expressed whey proteins in clinical mastitis and healthy yak cows. Genet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ics and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Mol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ecular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Res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earch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13, 6593-6601.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Littlejohn MD, Walker CG, Ward HE,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Lehnert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KB, Snell RG,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Verkerk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GA, Spelman RJ, Clark DA and Davis SR 2010. Effects of reduced frequency of milk removal on gene expression in the bovine mammary gland. Physiol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ogical</w:t>
      </w:r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Genomics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41, 21-32.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Angulo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Arizala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Lamberton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Wiart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Portanguen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 2015. In vivo inhibition followed by exogenous supplementation demonstrates galactopoietic effects of prolactin on mammary tissue and milk production in dairy cows.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98, 8775-8787.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Moyes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Drackley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JK, Morin DE,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Bionaz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Rodriguez-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Zas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SL, Everts RE, Lewin HA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Loor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JJ 2009. Gene network and pathway analysis of bovine mammary tissue challenged with Streptococcus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uberis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reveals induction of cell proliferation and inhibition of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PPARgamma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signaling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as potential mechanism for the negative relationships between immune response and lipid metabolism. BMC Genomics 10, 542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-570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Mudaliar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Tassi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R, Thomas FC,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McNeilly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TN,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Weidt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SK, McLaughlin M, Wilson D, Burchmore R,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Herzyk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Eckersall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PD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Zadoks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RN 2016.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Mastitomics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the integrated omics of bovine milk in an experimental model of Streptococcus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uberis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mastitis: 2. Label-free relative quantitative proteomics. Mol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ecular </w:t>
      </w:r>
      <w:proofErr w:type="spellStart"/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BioS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yst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ems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12, 2748-2761.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Murney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Stelwagen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K, Wheeler TT,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Margerison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JK and Singh K 2015. The effects of milking frequency in early lactation on milk yield, mammary cell turnover, and secretory activity in grazing dairy cows.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98, 305-311.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Norgaard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J, Sorensen A, Sorensen MT, Andersen JB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Sejrsen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K 2005. Mammary cell turnover and enzyme activity in dairy cows: effects of milking frequency and diet energy density.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88, 975-982.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Schmitz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Pfaffl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MW, Meyer HH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Bruckmaier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RM 2004. Short-term changes of mRNA expression of various inflammatory factors and milk proteins in mammary tissue during LPS-induced mastitis. Domest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ic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Anim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Endocrinol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ogy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26, 111-126.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Sigl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T, Meyer HH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Wiedemann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 2014. Gene expression analysis of protein synthesis pathways in bovine mammary epithelial cells purified from milk during lactation and short-term restricted feeding. J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ournal of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Anim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Physiol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ogy and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Anim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Nutr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ition</w:t>
      </w:r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</w:t>
      </w:r>
      <w:proofErr w:type="spellStart"/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>Berl</w:t>
      </w:r>
      <w:proofErr w:type="spellEnd"/>
      <w:r w:rsidR="003422F7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98, 84-95.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Travers MT and Barber MC 1993. Isolation of a goat acetyl-CoA carboxylase complementary DNA and effect of milking frequency on the expression of the acetyl-CoA carboxylase and fatty acid synthase genes in goat mammary gland. Comp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arative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Biochem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istry and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Physiol</w:t>
      </w:r>
      <w:r w:rsidR="001E7BB8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ogy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 105, 123-128.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Wall EH and McFadden TB 2010. The effects of milk removal or four-times-daily milking on mammary expression of genes involved in the insulin-like growth factor-I axis. Journal of Dairy Science 93, 4062-4070.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Wilde CJ and Henderson AJ 1985.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Lipogenic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enzyme activities in goat mammary gland: changes with stage of pregnancy and lactation and frequency of milking. Biochem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ical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Soc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iety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Trans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actions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13, 877-878.</w:t>
      </w: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Wilde CJ, Henderson AJ, Knight CH, Blatchford DR, Faulkner A and Vernon RG 1987. Effects of long-term thrice-daily milking on mammary enzyme activity, cell population and milk yield in the goat.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Animal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64, 533-539.</w:t>
      </w:r>
    </w:p>
    <w:p w:rsidR="00B96657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Yart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Dessauge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Barbey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S,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Marnet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PG and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V 2012.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Ovariectomy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improves lactation persistency in dairy cows. </w:t>
      </w:r>
      <w:r w:rsidR="008A3564"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Journal of Dairy Science </w:t>
      </w: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95, 3794-3802.</w:t>
      </w:r>
    </w:p>
    <w:p w:rsidR="00B96657" w:rsidRPr="003422F7" w:rsidRDefault="00B96657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:rsidR="00B96657" w:rsidRPr="003422F7" w:rsidRDefault="00B96657" w:rsidP="00B96657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3422F7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Supplementary Material S2</w:t>
      </w:r>
    </w:p>
    <w:p w:rsidR="00B96657" w:rsidRPr="003422F7" w:rsidRDefault="00B96657" w:rsidP="00B96657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3422F7">
        <w:rPr>
          <w:rFonts w:ascii="Arial" w:hAnsi="Arial" w:cs="Arial"/>
          <w:b/>
          <w:bCs/>
          <w:sz w:val="24"/>
          <w:szCs w:val="24"/>
          <w:lang w:val="en-GB"/>
        </w:rPr>
        <w:t>The cellular mechanisms underlying mammary tissue plasticity during lactation</w:t>
      </w:r>
      <w:r w:rsidR="00ED0CC1" w:rsidRPr="003422F7">
        <w:rPr>
          <w:rFonts w:ascii="Arial" w:hAnsi="Arial" w:cs="Arial"/>
          <w:b/>
          <w:bCs/>
          <w:sz w:val="24"/>
          <w:szCs w:val="24"/>
          <w:lang w:val="en-GB"/>
        </w:rPr>
        <w:t xml:space="preserve"> in ruminants</w:t>
      </w:r>
    </w:p>
    <w:p w:rsidR="00B96657" w:rsidRPr="003422F7" w:rsidRDefault="00B96657" w:rsidP="00B96657">
      <w:pPr>
        <w:spacing w:line="4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96657" w:rsidRPr="003422F7" w:rsidRDefault="00B96657" w:rsidP="00B96657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Boutinaud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Herve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H.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Quesnel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V.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Lollivier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L.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Finot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F.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Dessauge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E.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Chanat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P.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Lacasse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C.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Charton</w:t>
      </w:r>
      <w:proofErr w:type="spellEnd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J. </w:t>
      </w:r>
      <w:proofErr w:type="spellStart"/>
      <w:r w:rsidRPr="003422F7">
        <w:rPr>
          <w:rFonts w:ascii="Arial" w:hAnsi="Arial" w:cs="Arial"/>
          <w:color w:val="000000" w:themeColor="text1"/>
          <w:sz w:val="24"/>
          <w:szCs w:val="24"/>
          <w:lang w:val="en-GB"/>
        </w:rPr>
        <w:t>Guinard-Flament</w:t>
      </w:r>
      <w:proofErr w:type="spellEnd"/>
    </w:p>
    <w:p w:rsidR="00B96657" w:rsidRPr="003422F7" w:rsidRDefault="00442828" w:rsidP="00BF7E42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gramStart"/>
      <w:r w:rsidRPr="003422F7">
        <w:rPr>
          <w:rFonts w:ascii="Arial" w:hAnsi="Arial" w:cs="Arial"/>
          <w:bCs/>
          <w:i/>
          <w:sz w:val="24"/>
          <w:szCs w:val="24"/>
          <w:lang w:val="en-GB"/>
        </w:rPr>
        <w:t>animal</w:t>
      </w:r>
      <w:proofErr w:type="gramEnd"/>
      <w:r w:rsidR="00BF7E42" w:rsidRPr="003422F7">
        <w:rPr>
          <w:rFonts w:ascii="Arial" w:hAnsi="Arial" w:cs="Arial"/>
          <w:bCs/>
          <w:sz w:val="24"/>
          <w:szCs w:val="24"/>
          <w:lang w:val="en-GB"/>
        </w:rPr>
        <w:t xml:space="preserve"> journal</w:t>
      </w:r>
    </w:p>
    <w:p w:rsidR="00ED0CC1" w:rsidRPr="003422F7" w:rsidRDefault="00ED0CC1" w:rsidP="00B9665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96657" w:rsidRPr="003422F7" w:rsidRDefault="00B96657" w:rsidP="00B9665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3422F7">
        <w:rPr>
          <w:rFonts w:ascii="Arial" w:hAnsi="Arial" w:cs="Arial"/>
          <w:b/>
          <w:bCs/>
          <w:sz w:val="24"/>
          <w:szCs w:val="24"/>
          <w:lang w:val="en-GB"/>
        </w:rPr>
        <w:t>Abbreviation</w:t>
      </w:r>
      <w:r w:rsidR="004E6808" w:rsidRPr="003422F7">
        <w:rPr>
          <w:rFonts w:ascii="Arial" w:hAnsi="Arial" w:cs="Arial"/>
          <w:b/>
          <w:bCs/>
          <w:sz w:val="24"/>
          <w:szCs w:val="24"/>
          <w:lang w:val="en-GB"/>
        </w:rPr>
        <w:t>s</w:t>
      </w:r>
    </w:p>
    <w:p w:rsidR="00056F1A" w:rsidRPr="003422F7" w:rsidRDefault="00056F1A" w:rsidP="00B9665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>ACC, acetyl-CoA carboxylase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B4GALT1,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Beta-1</w:t>
      </w:r>
      <w:proofErr w:type="gramStart"/>
      <w:r w:rsidRPr="003422F7">
        <w:rPr>
          <w:rStyle w:val="st"/>
          <w:rFonts w:ascii="Arial" w:hAnsi="Arial" w:cs="Arial"/>
          <w:sz w:val="24"/>
          <w:szCs w:val="24"/>
          <w:lang w:val="en-GB"/>
        </w:rPr>
        <w:t>,4</w:t>
      </w:r>
      <w:proofErr w:type="gramEnd"/>
      <w:r w:rsidRPr="003422F7">
        <w:rPr>
          <w:rStyle w:val="st"/>
          <w:rFonts w:ascii="Arial" w:hAnsi="Arial" w:cs="Arial"/>
          <w:sz w:val="24"/>
          <w:szCs w:val="24"/>
          <w:lang w:val="en-GB"/>
        </w:rPr>
        <w:t>-Galactosyltransferase 1 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 xml:space="preserve">BAX,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BCL2 Associated X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Style w:val="st"/>
          <w:rFonts w:ascii="Arial" w:hAnsi="Arial" w:cs="Arial"/>
          <w:sz w:val="24"/>
          <w:szCs w:val="24"/>
          <w:lang w:val="en-GB"/>
        </w:rPr>
        <w:t>BCL2, B-cell lymphoma 2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Style w:val="st"/>
          <w:rFonts w:ascii="Arial" w:hAnsi="Arial" w:cs="Arial"/>
          <w:sz w:val="24"/>
          <w:szCs w:val="24"/>
          <w:lang w:val="en-GB"/>
        </w:rPr>
        <w:t>CD36, cluster of differentiation 36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Chi3L1, </w:t>
      </w:r>
      <w:proofErr w:type="spellStart"/>
      <w:r w:rsidRPr="003422F7">
        <w:rPr>
          <w:rStyle w:val="st"/>
          <w:rFonts w:ascii="Arial" w:hAnsi="Arial" w:cs="Arial"/>
          <w:sz w:val="24"/>
          <w:szCs w:val="24"/>
          <w:lang w:val="en-GB"/>
        </w:rPr>
        <w:t>Chitinase</w:t>
      </w:r>
      <w:proofErr w:type="spellEnd"/>
      <w:r w:rsidRPr="003422F7">
        <w:rPr>
          <w:rStyle w:val="st"/>
          <w:rFonts w:ascii="Arial" w:hAnsi="Arial" w:cs="Arial"/>
          <w:sz w:val="24"/>
          <w:szCs w:val="24"/>
          <w:lang w:val="en-GB"/>
        </w:rPr>
        <w:t xml:space="preserve"> 3 Like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>CSN1S1</w:t>
      </w:r>
      <w:r w:rsidR="00EB0FEA" w:rsidRPr="003422F7">
        <w:rPr>
          <w:rFonts w:ascii="Arial" w:hAnsi="Arial" w:cs="Arial"/>
          <w:sz w:val="24"/>
          <w:szCs w:val="24"/>
          <w:lang w:val="en-GB"/>
        </w:rPr>
        <w:t>,</w:t>
      </w:r>
      <w:r w:rsidRPr="003422F7">
        <w:rPr>
          <w:rFonts w:ascii="Arial" w:hAnsi="Arial" w:cs="Arial"/>
          <w:sz w:val="24"/>
          <w:szCs w:val="24"/>
          <w:lang w:val="en-GB"/>
        </w:rPr>
        <w:t xml:space="preserve"> casein alpha s1 type 1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CSN1S2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 </w:t>
      </w:r>
      <w:r w:rsidRPr="003422F7">
        <w:rPr>
          <w:rFonts w:ascii="Arial" w:hAnsi="Arial" w:cs="Arial"/>
          <w:sz w:val="24"/>
          <w:szCs w:val="24"/>
          <w:lang w:val="en-GB"/>
        </w:rPr>
        <w:t>casein alpha s1 type 2 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>CSN2</w:t>
      </w:r>
      <w:r w:rsidR="00EB0FEA" w:rsidRPr="003422F7">
        <w:rPr>
          <w:rFonts w:ascii="Arial" w:hAnsi="Arial" w:cs="Arial"/>
          <w:sz w:val="24"/>
          <w:szCs w:val="24"/>
          <w:lang w:val="en-GB"/>
        </w:rPr>
        <w:t>,</w:t>
      </w:r>
      <w:r w:rsidRPr="003422F7">
        <w:rPr>
          <w:rFonts w:ascii="Arial" w:hAnsi="Arial" w:cs="Arial"/>
          <w:sz w:val="24"/>
          <w:szCs w:val="24"/>
          <w:lang w:val="en-GB"/>
        </w:rPr>
        <w:t xml:space="preserve"> casein beta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CSN3</w:t>
      </w:r>
      <w:r w:rsidR="00EB0FEA" w:rsidRPr="003422F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 xml:space="preserve"> </w:t>
      </w: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casein kappa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Style w:val="st"/>
          <w:rFonts w:ascii="Arial" w:hAnsi="Arial" w:cs="Arial"/>
          <w:sz w:val="24"/>
          <w:szCs w:val="24"/>
          <w:lang w:val="en-GB"/>
        </w:rPr>
        <w:t>F</w:t>
      </w: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ABP3,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Fatty acid binding protein 3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>FABP4, Fatty acid binding protein 4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 xml:space="preserve"> 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>FAS, Cell surface death receptor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 xml:space="preserve">FASN, fatty acid synthase 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 xml:space="preserve">G6PD, glucose-6-phosphate dehydrogenase 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GPAM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 xml:space="preserve"> Glycerol-3-phosphate acyltransferase 1 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lastRenderedPageBreak/>
        <w:t xml:space="preserve">GT, galactosyltransferase </w:t>
      </w:r>
    </w:p>
    <w:p w:rsidR="00B96657" w:rsidRPr="008F38EF" w:rsidRDefault="00B96657" w:rsidP="00B96657">
      <w:pPr>
        <w:rPr>
          <w:rFonts w:ascii="Arial" w:eastAsia="Times New Roman" w:hAnsi="Arial" w:cs="Arial"/>
          <w:iCs/>
          <w:color w:val="000000"/>
          <w:sz w:val="24"/>
          <w:szCs w:val="24"/>
          <w:lang w:eastAsia="fr-FR"/>
        </w:rPr>
      </w:pPr>
      <w:r w:rsidRPr="008F38EF">
        <w:rPr>
          <w:rFonts w:ascii="Arial" w:eastAsia="Times New Roman" w:hAnsi="Arial" w:cs="Arial"/>
          <w:iCs/>
          <w:color w:val="000000"/>
          <w:sz w:val="24"/>
          <w:szCs w:val="24"/>
          <w:lang w:eastAsia="fr-FR"/>
        </w:rPr>
        <w:t xml:space="preserve">LALBA, </w:t>
      </w:r>
      <w:r w:rsidRPr="003422F7">
        <w:rPr>
          <w:rFonts w:ascii="Symbol" w:eastAsia="Times New Roman" w:hAnsi="Symbol" w:cs="Arial"/>
          <w:iCs/>
          <w:color w:val="000000"/>
          <w:sz w:val="24"/>
          <w:szCs w:val="24"/>
          <w:lang w:val="en-GB" w:eastAsia="fr-FR"/>
        </w:rPr>
        <w:t></w:t>
      </w:r>
      <w:r w:rsidRPr="003422F7">
        <w:rPr>
          <w:rFonts w:ascii="Symbol" w:eastAsia="Times New Roman" w:hAnsi="Symbol" w:cs="Arial"/>
          <w:iCs/>
          <w:color w:val="000000"/>
          <w:sz w:val="24"/>
          <w:szCs w:val="24"/>
          <w:lang w:val="en-GB" w:eastAsia="fr-FR"/>
        </w:rPr>
        <w:t></w:t>
      </w:r>
      <w:proofErr w:type="spellStart"/>
      <w:r w:rsidRPr="008F38EF">
        <w:rPr>
          <w:rFonts w:ascii="Arial" w:eastAsia="Times New Roman" w:hAnsi="Arial" w:cs="Arial"/>
          <w:iCs/>
          <w:color w:val="000000"/>
          <w:sz w:val="24"/>
          <w:szCs w:val="24"/>
          <w:lang w:eastAsia="fr-FR"/>
        </w:rPr>
        <w:t>lactalbumin</w:t>
      </w:r>
      <w:proofErr w:type="spellEnd"/>
      <w:r w:rsidRPr="008F38EF">
        <w:rPr>
          <w:rFonts w:ascii="Arial" w:eastAsia="Times New Roman" w:hAnsi="Arial" w:cs="Arial"/>
          <w:iCs/>
          <w:color w:val="000000"/>
          <w:sz w:val="24"/>
          <w:szCs w:val="24"/>
          <w:lang w:eastAsia="fr-FR"/>
        </w:rPr>
        <w:t xml:space="preserve"> </w:t>
      </w:r>
    </w:p>
    <w:p w:rsidR="00B96657" w:rsidRPr="008F38EF" w:rsidRDefault="00B96657" w:rsidP="00B96657">
      <w:pPr>
        <w:rPr>
          <w:rFonts w:ascii="Arial" w:hAnsi="Arial" w:cs="Arial"/>
          <w:sz w:val="24"/>
          <w:szCs w:val="24"/>
        </w:rPr>
      </w:pPr>
      <w:r w:rsidRPr="008F38EF">
        <w:rPr>
          <w:rFonts w:ascii="Arial" w:hAnsi="Arial" w:cs="Arial"/>
          <w:sz w:val="24"/>
          <w:szCs w:val="24"/>
        </w:rPr>
        <w:t xml:space="preserve">LDH, lactate </w:t>
      </w:r>
      <w:proofErr w:type="spellStart"/>
      <w:r w:rsidRPr="008F38EF">
        <w:rPr>
          <w:rFonts w:ascii="Arial" w:hAnsi="Arial" w:cs="Arial"/>
          <w:sz w:val="24"/>
          <w:szCs w:val="24"/>
        </w:rPr>
        <w:t>dehydrogenase</w:t>
      </w:r>
      <w:proofErr w:type="spellEnd"/>
    </w:p>
    <w:p w:rsidR="00B96657" w:rsidRPr="008F38EF" w:rsidRDefault="00B96657" w:rsidP="00B96657">
      <w:pPr>
        <w:rPr>
          <w:rFonts w:ascii="Arial" w:hAnsi="Arial" w:cs="Arial"/>
          <w:sz w:val="24"/>
          <w:szCs w:val="24"/>
        </w:rPr>
      </w:pPr>
      <w:r w:rsidRPr="008F38EF">
        <w:rPr>
          <w:rFonts w:ascii="Arial" w:hAnsi="Arial" w:cs="Arial"/>
          <w:sz w:val="24"/>
          <w:szCs w:val="24"/>
        </w:rPr>
        <w:t xml:space="preserve">LPL, </w:t>
      </w:r>
      <w:proofErr w:type="spellStart"/>
      <w:r w:rsidRPr="008F38EF">
        <w:rPr>
          <w:rFonts w:ascii="Arial" w:hAnsi="Arial" w:cs="Arial"/>
          <w:sz w:val="24"/>
          <w:szCs w:val="24"/>
        </w:rPr>
        <w:t>Lipoprotein</w:t>
      </w:r>
      <w:proofErr w:type="spellEnd"/>
      <w:r w:rsidRPr="008F38EF">
        <w:rPr>
          <w:rFonts w:ascii="Arial" w:hAnsi="Arial" w:cs="Arial"/>
          <w:sz w:val="24"/>
          <w:szCs w:val="24"/>
        </w:rPr>
        <w:t xml:space="preserve"> lipase </w:t>
      </w:r>
    </w:p>
    <w:p w:rsidR="00B96657" w:rsidRPr="003422F7" w:rsidRDefault="00B96657" w:rsidP="00B96657">
      <w:pPr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MEC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 Mammary Epithelial cell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PAH,</w:t>
      </w:r>
      <w:r w:rsidRPr="003422F7">
        <w:rPr>
          <w:rFonts w:ascii="Arial" w:hAnsi="Arial" w:cs="Arial"/>
          <w:sz w:val="24"/>
          <w:szCs w:val="24"/>
          <w:lang w:val="en-GB"/>
        </w:rPr>
        <w:t xml:space="preserve">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Phenylalanine hydroxylase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PARP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 </w:t>
      </w:r>
      <w:proofErr w:type="gramStart"/>
      <w:r w:rsidRPr="003422F7">
        <w:rPr>
          <w:rStyle w:val="st"/>
          <w:rFonts w:ascii="Arial" w:hAnsi="Arial" w:cs="Arial"/>
          <w:sz w:val="24"/>
          <w:szCs w:val="24"/>
          <w:lang w:val="en-GB"/>
        </w:rPr>
        <w:t>Poly(</w:t>
      </w:r>
      <w:proofErr w:type="gramEnd"/>
      <w:r w:rsidRPr="003422F7">
        <w:rPr>
          <w:rStyle w:val="st"/>
          <w:rFonts w:ascii="Arial" w:hAnsi="Arial" w:cs="Arial"/>
          <w:sz w:val="24"/>
          <w:szCs w:val="24"/>
          <w:lang w:val="en-GB"/>
        </w:rPr>
        <w:t>ADP-Ribose) polymerase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bCs/>
          <w:color w:val="000000"/>
          <w:sz w:val="24"/>
          <w:szCs w:val="24"/>
          <w:lang w:val="en-GB" w:eastAsia="fr-FR"/>
        </w:rPr>
        <w:t xml:space="preserve">PCNA,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proliferating cell nuclear antigen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PTGES,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Prostaglandin E synthase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RBP1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hAnsi="Arial" w:cs="Arial"/>
          <w:sz w:val="24"/>
          <w:szCs w:val="24"/>
          <w:lang w:val="en-GB"/>
        </w:rPr>
        <w:t xml:space="preserve">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Retinol binding protein 1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hAnsi="Arial" w:cs="Arial"/>
          <w:sz w:val="24"/>
          <w:szCs w:val="24"/>
          <w:lang w:val="en-GB"/>
        </w:rPr>
        <w:t xml:space="preserve">SCD, </w:t>
      </w:r>
      <w:proofErr w:type="spellStart"/>
      <w:r w:rsidRPr="003422F7">
        <w:rPr>
          <w:rFonts w:ascii="Arial" w:hAnsi="Arial" w:cs="Arial"/>
          <w:sz w:val="24"/>
          <w:szCs w:val="24"/>
          <w:lang w:val="en-GB"/>
        </w:rPr>
        <w:t>Stearoyl</w:t>
      </w:r>
      <w:proofErr w:type="spellEnd"/>
      <w:r w:rsidRPr="003422F7">
        <w:rPr>
          <w:rFonts w:ascii="Arial" w:hAnsi="Arial" w:cs="Arial"/>
          <w:sz w:val="24"/>
          <w:szCs w:val="24"/>
          <w:lang w:val="en-GB"/>
        </w:rPr>
        <w:t>-CoA desaturase</w:t>
      </w:r>
    </w:p>
    <w:p w:rsidR="00B96657" w:rsidRPr="003422F7" w:rsidRDefault="00B96657" w:rsidP="00B96657">
      <w:pPr>
        <w:rPr>
          <w:rStyle w:val="st"/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SLC25A24, </w:t>
      </w:r>
      <w:r w:rsidRPr="003422F7">
        <w:rPr>
          <w:rStyle w:val="st"/>
          <w:rFonts w:ascii="Arial" w:hAnsi="Arial" w:cs="Arial"/>
          <w:sz w:val="24"/>
          <w:szCs w:val="24"/>
          <w:lang w:val="en-GB"/>
        </w:rPr>
        <w:t>Solute carrier family 25 member 24,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SLC2A1, </w:t>
      </w:r>
      <w:proofErr w:type="gramStart"/>
      <w:r w:rsidRPr="003422F7">
        <w:rPr>
          <w:rStyle w:val="st"/>
          <w:rFonts w:ascii="Arial" w:hAnsi="Arial" w:cs="Arial"/>
          <w:sz w:val="24"/>
          <w:szCs w:val="24"/>
          <w:lang w:val="en-GB"/>
        </w:rPr>
        <w:t>glucose transporter protein type</w:t>
      </w:r>
      <w:proofErr w:type="gramEnd"/>
      <w:r w:rsidRPr="003422F7">
        <w:rPr>
          <w:rStyle w:val="st"/>
          <w:rFonts w:ascii="Arial" w:hAnsi="Arial" w:cs="Arial"/>
          <w:sz w:val="24"/>
          <w:szCs w:val="24"/>
          <w:lang w:val="en-GB"/>
        </w:rPr>
        <w:t xml:space="preserve"> 1.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color w:val="000000"/>
          <w:sz w:val="24"/>
          <w:szCs w:val="24"/>
          <w:lang w:val="en-GB" w:eastAsia="fr-FR"/>
        </w:rPr>
        <w:t xml:space="preserve">SREBP1, </w:t>
      </w:r>
      <w:r w:rsidRPr="003422F7">
        <w:rPr>
          <w:rFonts w:ascii="Arial" w:hAnsi="Arial" w:cs="Arial"/>
          <w:sz w:val="24"/>
          <w:szCs w:val="24"/>
          <w:lang w:val="en-GB"/>
        </w:rPr>
        <w:t>Sterol regulatory element binding transcription factor 1</w:t>
      </w:r>
    </w:p>
    <w:p w:rsidR="00B96657" w:rsidRPr="003422F7" w:rsidRDefault="00B96657" w:rsidP="00B96657">
      <w:pPr>
        <w:rPr>
          <w:rFonts w:ascii="Arial" w:hAnsi="Arial" w:cs="Arial"/>
          <w:sz w:val="24"/>
          <w:szCs w:val="24"/>
          <w:lang w:val="en-GB"/>
        </w:rPr>
      </w:pP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UGP2</w:t>
      </w:r>
      <w:r w:rsidR="00EB0FEA"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>,</w:t>
      </w:r>
      <w:r w:rsidRPr="003422F7">
        <w:rPr>
          <w:rFonts w:ascii="Arial" w:eastAsia="Times New Roman" w:hAnsi="Arial" w:cs="Arial"/>
          <w:iCs/>
          <w:color w:val="000000"/>
          <w:sz w:val="24"/>
          <w:szCs w:val="24"/>
          <w:lang w:val="en-GB" w:eastAsia="fr-FR"/>
        </w:rPr>
        <w:t xml:space="preserve"> </w:t>
      </w:r>
      <w:r w:rsidRPr="003422F7">
        <w:rPr>
          <w:rFonts w:ascii="Arial" w:hAnsi="Arial" w:cs="Arial"/>
          <w:sz w:val="24"/>
          <w:szCs w:val="24"/>
          <w:lang w:val="en-GB"/>
        </w:rPr>
        <w:t xml:space="preserve">UDP-Glucose </w:t>
      </w:r>
      <w:proofErr w:type="spellStart"/>
      <w:r w:rsidRPr="003422F7">
        <w:rPr>
          <w:rFonts w:ascii="Arial" w:hAnsi="Arial" w:cs="Arial"/>
          <w:sz w:val="24"/>
          <w:szCs w:val="24"/>
          <w:lang w:val="en-GB"/>
        </w:rPr>
        <w:t>pyrophosphorylase</w:t>
      </w:r>
      <w:proofErr w:type="spellEnd"/>
      <w:r w:rsidRPr="003422F7">
        <w:rPr>
          <w:rFonts w:ascii="Arial" w:hAnsi="Arial" w:cs="Arial"/>
          <w:sz w:val="24"/>
          <w:szCs w:val="24"/>
          <w:lang w:val="en-GB"/>
        </w:rPr>
        <w:t xml:space="preserve"> 2 </w:t>
      </w:r>
    </w:p>
    <w:p w:rsidR="00B96657" w:rsidRPr="003422F7" w:rsidRDefault="00B96657" w:rsidP="00B9665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C6362A" w:rsidRPr="003422F7" w:rsidRDefault="00C6362A" w:rsidP="00C6362A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sectPr w:rsidR="00C6362A" w:rsidRPr="0034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sDQ2NzYyszAwNTBQ0lEKTi0uzszPAykwqgUA0DFEHywAAAA="/>
  </w:docVars>
  <w:rsids>
    <w:rsidRoot w:val="00CD293D"/>
    <w:rsid w:val="00056F1A"/>
    <w:rsid w:val="00130767"/>
    <w:rsid w:val="001C1691"/>
    <w:rsid w:val="001E7BB8"/>
    <w:rsid w:val="001F6B29"/>
    <w:rsid w:val="002007F5"/>
    <w:rsid w:val="002529A9"/>
    <w:rsid w:val="003422F7"/>
    <w:rsid w:val="00442828"/>
    <w:rsid w:val="004E6808"/>
    <w:rsid w:val="008A3564"/>
    <w:rsid w:val="008F38EF"/>
    <w:rsid w:val="00A80084"/>
    <w:rsid w:val="00B074C9"/>
    <w:rsid w:val="00B96657"/>
    <w:rsid w:val="00BF7E42"/>
    <w:rsid w:val="00C27D73"/>
    <w:rsid w:val="00C6362A"/>
    <w:rsid w:val="00CD293D"/>
    <w:rsid w:val="00E81C10"/>
    <w:rsid w:val="00EB0FEA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6A09"/>
  <w15:chartTrackingRefBased/>
  <w15:docId w15:val="{F4A765B5-A912-4459-92FF-C6B1592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B9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Boutinaud</dc:creator>
  <cp:keywords/>
  <dc:description/>
  <cp:lastModifiedBy>ANM</cp:lastModifiedBy>
  <cp:revision>6</cp:revision>
  <dcterms:created xsi:type="dcterms:W3CDTF">2019-02-15T13:03:00Z</dcterms:created>
  <dcterms:modified xsi:type="dcterms:W3CDTF">2019-03-01T09:59:00Z</dcterms:modified>
</cp:coreProperties>
</file>