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9E" w:rsidRPr="004F14C0" w:rsidRDefault="00ED199E" w:rsidP="00ED199E">
      <w:pPr>
        <w:spacing w:after="0" w:line="480" w:lineRule="auto"/>
        <w:rPr>
          <w:rFonts w:ascii="Arial" w:hAnsi="Arial" w:cs="Arial"/>
          <w:sz w:val="24"/>
          <w:szCs w:val="24"/>
          <w:lang w:val="en-US"/>
        </w:rPr>
      </w:pPr>
      <w:r w:rsidRPr="004F14C0">
        <w:rPr>
          <w:rFonts w:ascii="Arial" w:hAnsi="Arial" w:cs="Arial"/>
          <w:b/>
          <w:sz w:val="24"/>
          <w:szCs w:val="24"/>
          <w:lang w:val="en-US"/>
        </w:rPr>
        <w:t>Assessment of welfare indicators in dairy farms offering pasture at differing levels</w:t>
      </w:r>
    </w:p>
    <w:p w:rsidR="00ED199E" w:rsidRPr="004F14C0" w:rsidRDefault="00ED199E" w:rsidP="00ED199E">
      <w:pPr>
        <w:spacing w:after="0" w:line="480" w:lineRule="auto"/>
        <w:rPr>
          <w:rFonts w:ascii="Arial" w:hAnsi="Arial" w:cs="Arial"/>
          <w:sz w:val="24"/>
          <w:szCs w:val="24"/>
          <w:lang w:val="en-US"/>
        </w:rPr>
      </w:pPr>
    </w:p>
    <w:p w:rsidR="00ED199E" w:rsidRPr="004F14C0" w:rsidRDefault="00ED199E" w:rsidP="00ED199E">
      <w:pPr>
        <w:spacing w:after="0" w:line="480" w:lineRule="auto"/>
        <w:rPr>
          <w:rFonts w:ascii="Arial" w:hAnsi="Arial" w:cs="Arial"/>
          <w:sz w:val="24"/>
          <w:szCs w:val="24"/>
          <w:lang w:val="en-US"/>
        </w:rPr>
      </w:pPr>
      <w:r w:rsidRPr="004F14C0">
        <w:rPr>
          <w:rFonts w:ascii="Arial" w:hAnsi="Arial" w:cs="Arial"/>
          <w:sz w:val="24"/>
          <w:szCs w:val="24"/>
          <w:lang w:val="en-US"/>
        </w:rPr>
        <w:t xml:space="preserve">L. Armbrecht </w:t>
      </w:r>
      <w:r w:rsidRPr="004F14C0">
        <w:rPr>
          <w:rFonts w:ascii="Arial" w:hAnsi="Arial" w:cs="Arial"/>
          <w:sz w:val="24"/>
          <w:szCs w:val="24"/>
          <w:vertAlign w:val="superscript"/>
          <w:lang w:val="en-US"/>
        </w:rPr>
        <w:t>1</w:t>
      </w:r>
      <w:r w:rsidRPr="004F14C0">
        <w:rPr>
          <w:rFonts w:ascii="Arial" w:hAnsi="Arial" w:cs="Arial"/>
          <w:sz w:val="24"/>
          <w:szCs w:val="24"/>
          <w:lang w:val="en-US"/>
        </w:rPr>
        <w:t xml:space="preserve">, C. Lambertz </w:t>
      </w:r>
      <w:r w:rsidRPr="004F14C0">
        <w:rPr>
          <w:rFonts w:ascii="Arial" w:hAnsi="Arial" w:cs="Arial"/>
          <w:sz w:val="24"/>
          <w:szCs w:val="24"/>
          <w:vertAlign w:val="superscript"/>
          <w:lang w:val="en-US"/>
        </w:rPr>
        <w:t>2</w:t>
      </w:r>
      <w:r w:rsidRPr="004F14C0">
        <w:rPr>
          <w:rFonts w:ascii="Arial" w:hAnsi="Arial" w:cs="Arial"/>
          <w:sz w:val="24"/>
          <w:szCs w:val="24"/>
          <w:lang w:val="en-US"/>
        </w:rPr>
        <w:t xml:space="preserve">, D. Albers </w:t>
      </w:r>
      <w:r w:rsidRPr="004F14C0">
        <w:rPr>
          <w:rFonts w:ascii="Arial" w:hAnsi="Arial" w:cs="Arial"/>
          <w:sz w:val="24"/>
          <w:szCs w:val="24"/>
          <w:vertAlign w:val="superscript"/>
          <w:lang w:val="en-US"/>
        </w:rPr>
        <w:t>3</w:t>
      </w:r>
      <w:r w:rsidRPr="004F14C0">
        <w:rPr>
          <w:rFonts w:ascii="Arial" w:hAnsi="Arial" w:cs="Arial"/>
          <w:sz w:val="24"/>
          <w:szCs w:val="24"/>
          <w:lang w:val="en-US"/>
        </w:rPr>
        <w:t xml:space="preserve"> and M. </w:t>
      </w:r>
      <w:proofErr w:type="spellStart"/>
      <w:r w:rsidRPr="004F14C0">
        <w:rPr>
          <w:rFonts w:ascii="Arial" w:hAnsi="Arial" w:cs="Arial"/>
          <w:sz w:val="24"/>
          <w:szCs w:val="24"/>
          <w:lang w:val="en-US"/>
        </w:rPr>
        <w:t>Gauly</w:t>
      </w:r>
      <w:proofErr w:type="spellEnd"/>
      <w:r w:rsidRPr="004F14C0">
        <w:rPr>
          <w:rFonts w:ascii="Arial" w:hAnsi="Arial" w:cs="Arial"/>
          <w:sz w:val="24"/>
          <w:szCs w:val="24"/>
          <w:lang w:val="en-US"/>
        </w:rPr>
        <w:t xml:space="preserve"> </w:t>
      </w:r>
      <w:r w:rsidRPr="004F14C0">
        <w:rPr>
          <w:rFonts w:ascii="Arial" w:hAnsi="Arial" w:cs="Arial"/>
          <w:sz w:val="24"/>
          <w:szCs w:val="24"/>
          <w:vertAlign w:val="superscript"/>
          <w:lang w:val="en-US"/>
        </w:rPr>
        <w:t>2</w:t>
      </w:r>
    </w:p>
    <w:p w:rsidR="00ED199E" w:rsidRPr="004F14C0" w:rsidRDefault="00ED199E" w:rsidP="00ED199E">
      <w:pPr>
        <w:spacing w:after="0" w:line="480" w:lineRule="auto"/>
        <w:rPr>
          <w:rFonts w:ascii="Arial" w:hAnsi="Arial" w:cs="Arial"/>
          <w:i/>
          <w:sz w:val="24"/>
          <w:szCs w:val="24"/>
          <w:lang w:val="en-US"/>
        </w:rPr>
      </w:pPr>
      <w:r w:rsidRPr="004F14C0">
        <w:rPr>
          <w:rFonts w:ascii="Arial" w:hAnsi="Arial" w:cs="Arial"/>
          <w:i/>
          <w:sz w:val="24"/>
          <w:szCs w:val="24"/>
          <w:vertAlign w:val="superscript"/>
          <w:lang w:val="en-US"/>
        </w:rPr>
        <w:t xml:space="preserve">1 </w:t>
      </w:r>
      <w:r w:rsidRPr="004F14C0">
        <w:rPr>
          <w:rFonts w:ascii="Arial" w:hAnsi="Arial" w:cs="Arial"/>
          <w:i/>
          <w:sz w:val="24"/>
          <w:szCs w:val="24"/>
          <w:lang w:val="en-US"/>
        </w:rPr>
        <w:t xml:space="preserve">Department of Animal Science, University of Göttingen, 37075 Göttingen, Germany </w:t>
      </w:r>
      <w:r w:rsidRPr="004F14C0">
        <w:rPr>
          <w:rFonts w:ascii="Arial" w:hAnsi="Arial" w:cs="Arial"/>
          <w:i/>
          <w:sz w:val="24"/>
          <w:szCs w:val="24"/>
          <w:vertAlign w:val="superscript"/>
          <w:lang w:val="en-US"/>
        </w:rPr>
        <w:t xml:space="preserve">2 </w:t>
      </w:r>
      <w:r w:rsidRPr="004F14C0">
        <w:rPr>
          <w:rFonts w:ascii="Arial" w:hAnsi="Arial" w:cs="Arial"/>
          <w:i/>
          <w:sz w:val="24"/>
          <w:szCs w:val="24"/>
          <w:lang w:val="en-US"/>
        </w:rPr>
        <w:t xml:space="preserve">Faculty of Science and Technology, 39100 </w:t>
      </w:r>
      <w:proofErr w:type="spellStart"/>
      <w:r w:rsidRPr="004F14C0">
        <w:rPr>
          <w:rFonts w:ascii="Arial" w:hAnsi="Arial" w:cs="Arial"/>
          <w:i/>
          <w:sz w:val="24"/>
          <w:szCs w:val="24"/>
          <w:lang w:val="en-US"/>
        </w:rPr>
        <w:t>Bozen</w:t>
      </w:r>
      <w:proofErr w:type="spellEnd"/>
      <w:r w:rsidRPr="004F14C0">
        <w:rPr>
          <w:rFonts w:ascii="Arial" w:hAnsi="Arial" w:cs="Arial"/>
          <w:i/>
          <w:sz w:val="24"/>
          <w:szCs w:val="24"/>
          <w:lang w:val="en-US"/>
        </w:rPr>
        <w:t xml:space="preserve">, Italy </w:t>
      </w:r>
    </w:p>
    <w:p w:rsidR="00ED199E" w:rsidRPr="004F14C0" w:rsidRDefault="00ED199E" w:rsidP="00ED199E">
      <w:pPr>
        <w:spacing w:after="0" w:line="480" w:lineRule="auto"/>
        <w:rPr>
          <w:rFonts w:ascii="Arial" w:hAnsi="Arial" w:cs="Arial"/>
          <w:i/>
          <w:sz w:val="24"/>
          <w:szCs w:val="24"/>
          <w:lang w:val="en-US"/>
        </w:rPr>
      </w:pPr>
      <w:r w:rsidRPr="004F14C0">
        <w:rPr>
          <w:rFonts w:ascii="Arial" w:hAnsi="Arial" w:cs="Arial"/>
          <w:i/>
          <w:sz w:val="24"/>
          <w:szCs w:val="24"/>
          <w:vertAlign w:val="superscript"/>
          <w:lang w:val="en-US"/>
        </w:rPr>
        <w:t xml:space="preserve">3 </w:t>
      </w:r>
      <w:r w:rsidRPr="004F14C0">
        <w:rPr>
          <w:rFonts w:ascii="Arial" w:hAnsi="Arial" w:cs="Arial"/>
          <w:i/>
          <w:sz w:val="24"/>
          <w:szCs w:val="24"/>
          <w:lang w:val="en-US"/>
        </w:rPr>
        <w:t>Chamber of Lower Saxony, Field Testing Station for Grassland Management and Cattle Farming, 26121 Oldenburg, Germany</w:t>
      </w:r>
    </w:p>
    <w:p w:rsidR="00ED199E" w:rsidRPr="004F14C0" w:rsidRDefault="00ED199E" w:rsidP="00ED199E">
      <w:pPr>
        <w:spacing w:after="0" w:line="480" w:lineRule="auto"/>
        <w:rPr>
          <w:rFonts w:ascii="Arial" w:hAnsi="Arial" w:cs="Arial"/>
          <w:sz w:val="24"/>
          <w:szCs w:val="24"/>
          <w:lang w:val="en-US"/>
        </w:rPr>
      </w:pPr>
      <w:r w:rsidRPr="004F14C0">
        <w:rPr>
          <w:rFonts w:ascii="Arial" w:hAnsi="Arial" w:cs="Arial"/>
          <w:sz w:val="24"/>
          <w:szCs w:val="24"/>
          <w:lang w:val="en-US"/>
        </w:rPr>
        <w:t>Corresponding author: Christian Lambertz. Email: christian.lambertz@unibz.it</w:t>
      </w:r>
    </w:p>
    <w:p w:rsidR="00ED199E" w:rsidRPr="004F14C0" w:rsidRDefault="00ED199E" w:rsidP="00384B5A">
      <w:pPr>
        <w:spacing w:after="0" w:line="480" w:lineRule="auto"/>
        <w:jc w:val="both"/>
        <w:rPr>
          <w:rFonts w:ascii="Arial" w:hAnsi="Arial" w:cs="Arial"/>
          <w:b/>
          <w:sz w:val="24"/>
          <w:szCs w:val="24"/>
          <w:lang w:val="en-US"/>
        </w:rPr>
      </w:pPr>
    </w:p>
    <w:p w:rsidR="00ED199E" w:rsidRPr="004F14C0" w:rsidRDefault="00ED199E" w:rsidP="00384B5A">
      <w:pPr>
        <w:spacing w:after="0" w:line="480" w:lineRule="auto"/>
        <w:jc w:val="both"/>
        <w:rPr>
          <w:rFonts w:ascii="Arial" w:hAnsi="Arial" w:cs="Arial"/>
          <w:sz w:val="24"/>
          <w:szCs w:val="24"/>
          <w:lang w:val="en-US"/>
        </w:rPr>
      </w:pPr>
      <w:r w:rsidRPr="004F14C0">
        <w:rPr>
          <w:rFonts w:ascii="Arial" w:hAnsi="Arial" w:cs="Arial"/>
          <w:i/>
          <w:sz w:val="24"/>
          <w:szCs w:val="24"/>
          <w:lang w:val="en-US"/>
        </w:rPr>
        <w:t>animal</w:t>
      </w:r>
      <w:r w:rsidRPr="004F14C0">
        <w:rPr>
          <w:rFonts w:ascii="Arial" w:hAnsi="Arial" w:cs="Arial"/>
          <w:sz w:val="24"/>
          <w:szCs w:val="24"/>
          <w:lang w:val="en-US"/>
        </w:rPr>
        <w:t xml:space="preserve"> journal</w:t>
      </w:r>
    </w:p>
    <w:p w:rsidR="00ED199E" w:rsidRPr="004F14C0" w:rsidRDefault="00ED199E" w:rsidP="00384B5A">
      <w:pPr>
        <w:spacing w:after="0" w:line="480" w:lineRule="auto"/>
        <w:jc w:val="both"/>
        <w:rPr>
          <w:rFonts w:ascii="Arial" w:hAnsi="Arial" w:cs="Arial"/>
          <w:b/>
          <w:sz w:val="24"/>
          <w:szCs w:val="24"/>
          <w:lang w:val="en-US"/>
        </w:rPr>
      </w:pPr>
    </w:p>
    <w:p w:rsidR="00384B5A" w:rsidRPr="004F14C0" w:rsidRDefault="00384B5A" w:rsidP="00384B5A">
      <w:pPr>
        <w:spacing w:after="0" w:line="480" w:lineRule="auto"/>
        <w:jc w:val="both"/>
        <w:rPr>
          <w:rFonts w:ascii="Arial" w:hAnsi="Arial" w:cs="Arial"/>
          <w:b/>
          <w:sz w:val="24"/>
          <w:szCs w:val="24"/>
          <w:lang w:val="en-US"/>
        </w:rPr>
      </w:pPr>
      <w:r w:rsidRPr="004F14C0">
        <w:rPr>
          <w:rFonts w:ascii="Arial" w:hAnsi="Arial" w:cs="Arial"/>
          <w:b/>
          <w:sz w:val="24"/>
          <w:szCs w:val="24"/>
          <w:lang w:val="en-US"/>
        </w:rPr>
        <w:t>Supplementary material</w:t>
      </w:r>
    </w:p>
    <w:p w:rsidR="00384B5A" w:rsidRPr="004F14C0" w:rsidRDefault="00384B5A" w:rsidP="00384B5A">
      <w:pPr>
        <w:spacing w:after="0" w:line="480" w:lineRule="auto"/>
        <w:jc w:val="both"/>
        <w:rPr>
          <w:rFonts w:ascii="Arial" w:hAnsi="Arial" w:cs="Arial"/>
          <w:sz w:val="24"/>
          <w:szCs w:val="24"/>
          <w:lang w:val="en-US"/>
        </w:rPr>
      </w:pPr>
      <w:r w:rsidRPr="004F14C0">
        <w:rPr>
          <w:rFonts w:ascii="Arial" w:hAnsi="Arial" w:cs="Arial"/>
          <w:b/>
          <w:sz w:val="24"/>
          <w:szCs w:val="24"/>
          <w:lang w:val="en-US"/>
        </w:rPr>
        <w:t xml:space="preserve">Table </w:t>
      </w:r>
      <w:r w:rsidR="00ED199E" w:rsidRPr="004F14C0">
        <w:rPr>
          <w:rFonts w:ascii="Arial" w:hAnsi="Arial" w:cs="Arial"/>
          <w:b/>
          <w:sz w:val="24"/>
          <w:szCs w:val="24"/>
          <w:lang w:val="en-US"/>
        </w:rPr>
        <w:t>S1</w:t>
      </w:r>
      <w:r w:rsidRPr="004F14C0">
        <w:rPr>
          <w:rFonts w:ascii="Arial" w:hAnsi="Arial" w:cs="Arial"/>
          <w:sz w:val="24"/>
          <w:szCs w:val="24"/>
          <w:lang w:val="en-US"/>
        </w:rPr>
        <w:t xml:space="preserve"> </w:t>
      </w:r>
      <w:r w:rsidRPr="004F14C0">
        <w:rPr>
          <w:rFonts w:ascii="Arial" w:hAnsi="Arial" w:cs="Arial"/>
          <w:i/>
          <w:sz w:val="24"/>
          <w:szCs w:val="24"/>
          <w:lang w:val="en-US"/>
        </w:rPr>
        <w:t>Data collected for the assessment of the overall score of dairy cows using the Welfare Quality® protocol (mod</w:t>
      </w:r>
      <w:r w:rsidR="00ED199E" w:rsidRPr="004F14C0">
        <w:rPr>
          <w:rFonts w:ascii="Arial" w:hAnsi="Arial" w:cs="Arial"/>
          <w:i/>
          <w:sz w:val="24"/>
          <w:szCs w:val="24"/>
          <w:lang w:val="en-US"/>
        </w:rPr>
        <w:t>ified</w:t>
      </w:r>
      <w:r w:rsidRPr="004F14C0">
        <w:rPr>
          <w:rFonts w:ascii="Arial" w:hAnsi="Arial" w:cs="Arial"/>
          <w:i/>
          <w:sz w:val="24"/>
          <w:szCs w:val="24"/>
          <w:lang w:val="en-US"/>
        </w:rPr>
        <w:t xml:space="preserve"> according to COIGNARD et al., 2013)</w:t>
      </w:r>
    </w:p>
    <w:tbl>
      <w:tblPr>
        <w:tblStyle w:val="PlainTable51"/>
        <w:tblpPr w:leftFromText="141" w:rightFromText="141" w:vertAnchor="text" w:tblpY="1"/>
        <w:tblOverlap w:val="never"/>
        <w:tblW w:w="9702" w:type="dxa"/>
        <w:tblLook w:val="04A0" w:firstRow="1" w:lastRow="0" w:firstColumn="1" w:lastColumn="0" w:noHBand="0" w:noVBand="1"/>
      </w:tblPr>
      <w:tblGrid>
        <w:gridCol w:w="1284"/>
        <w:gridCol w:w="1462"/>
        <w:gridCol w:w="1947"/>
        <w:gridCol w:w="5009"/>
      </w:tblGrid>
      <w:tr w:rsidR="00384B5A" w:rsidRPr="004F14C0" w:rsidTr="00757A2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83" w:type="dxa"/>
            <w:tcBorders>
              <w:top w:val="single" w:sz="4" w:space="0" w:color="808080" w:themeColor="background1" w:themeShade="80"/>
              <w:left w:val="single" w:sz="4" w:space="0" w:color="FFFFFF" w:themeColor="background1"/>
            </w:tcBorders>
            <w:vAlign w:val="center"/>
          </w:tcPr>
          <w:p w:rsidR="00384B5A" w:rsidRPr="004F14C0" w:rsidRDefault="00384B5A" w:rsidP="00C554CC">
            <w:pPr>
              <w:jc w:val="left"/>
              <w:rPr>
                <w:rFonts w:ascii="Arial" w:hAnsi="Arial" w:cs="Arial"/>
                <w:b/>
                <w:i w:val="0"/>
                <w:sz w:val="20"/>
                <w:lang w:val="en-US"/>
              </w:rPr>
            </w:pPr>
            <w:r w:rsidRPr="004F14C0">
              <w:rPr>
                <w:rFonts w:ascii="Arial" w:hAnsi="Arial" w:cs="Arial"/>
                <w:b/>
                <w:i w:val="0"/>
                <w:sz w:val="20"/>
                <w:lang w:val="en-US"/>
              </w:rPr>
              <w:t>Indicator</w:t>
            </w:r>
          </w:p>
        </w:tc>
        <w:tc>
          <w:tcPr>
            <w:tcW w:w="1338" w:type="dxa"/>
            <w:tcBorders>
              <w:top w:val="single" w:sz="4" w:space="0" w:color="808080" w:themeColor="background1" w:themeShade="80"/>
            </w:tcBorders>
            <w:vAlign w:val="center"/>
          </w:tcPr>
          <w:p w:rsidR="00384B5A" w:rsidRPr="004F14C0" w:rsidRDefault="00384B5A" w:rsidP="00C554CC">
            <w:pPr>
              <w:cnfStyle w:val="100000000000" w:firstRow="1" w:lastRow="0" w:firstColumn="0" w:lastColumn="0" w:oddVBand="0" w:evenVBand="0" w:oddHBand="0" w:evenHBand="0" w:firstRowFirstColumn="0" w:firstRowLastColumn="0" w:lastRowFirstColumn="0" w:lastRowLastColumn="0"/>
              <w:rPr>
                <w:rFonts w:ascii="Arial" w:hAnsi="Arial" w:cs="Arial"/>
                <w:b/>
                <w:i w:val="0"/>
                <w:sz w:val="20"/>
                <w:lang w:val="en-US"/>
              </w:rPr>
            </w:pPr>
            <w:r w:rsidRPr="004F14C0">
              <w:rPr>
                <w:rFonts w:ascii="Arial" w:hAnsi="Arial" w:cs="Arial"/>
                <w:b/>
                <w:i w:val="0"/>
                <w:sz w:val="20"/>
                <w:lang w:val="en-US"/>
              </w:rPr>
              <w:t>Type</w:t>
            </w:r>
          </w:p>
        </w:tc>
        <w:tc>
          <w:tcPr>
            <w:tcW w:w="1972" w:type="dxa"/>
            <w:tcBorders>
              <w:top w:val="single" w:sz="4" w:space="0" w:color="808080" w:themeColor="background1" w:themeShade="80"/>
            </w:tcBorders>
            <w:vAlign w:val="center"/>
          </w:tcPr>
          <w:p w:rsidR="00384B5A" w:rsidRPr="004F14C0" w:rsidRDefault="00384B5A" w:rsidP="00C554CC">
            <w:pPr>
              <w:cnfStyle w:val="100000000000" w:firstRow="1" w:lastRow="0" w:firstColumn="0" w:lastColumn="0" w:oddVBand="0" w:evenVBand="0" w:oddHBand="0" w:evenHBand="0" w:firstRowFirstColumn="0" w:firstRowLastColumn="0" w:lastRowFirstColumn="0" w:lastRowLastColumn="0"/>
              <w:rPr>
                <w:rFonts w:ascii="Arial" w:hAnsi="Arial" w:cs="Arial"/>
                <w:b/>
                <w:i w:val="0"/>
                <w:sz w:val="20"/>
                <w:lang w:val="en-US"/>
              </w:rPr>
            </w:pPr>
            <w:r w:rsidRPr="004F14C0">
              <w:rPr>
                <w:rFonts w:ascii="Arial" w:hAnsi="Arial" w:cs="Arial"/>
                <w:b/>
                <w:i w:val="0"/>
                <w:sz w:val="20"/>
                <w:lang w:val="en-US"/>
              </w:rPr>
              <w:t>Frequency calculation</w:t>
            </w:r>
          </w:p>
        </w:tc>
        <w:tc>
          <w:tcPr>
            <w:tcW w:w="5109" w:type="dxa"/>
            <w:tcBorders>
              <w:top w:val="single" w:sz="4" w:space="0" w:color="808080" w:themeColor="background1" w:themeShade="80"/>
              <w:right w:val="single" w:sz="4" w:space="0" w:color="FFFFFF" w:themeColor="background1"/>
            </w:tcBorders>
            <w:vAlign w:val="center"/>
          </w:tcPr>
          <w:p w:rsidR="00384B5A" w:rsidRPr="004F14C0" w:rsidRDefault="00384B5A" w:rsidP="00C554CC">
            <w:pPr>
              <w:cnfStyle w:val="100000000000" w:firstRow="1" w:lastRow="0" w:firstColumn="0" w:lastColumn="0" w:oddVBand="0" w:evenVBand="0" w:oddHBand="0" w:evenHBand="0" w:firstRowFirstColumn="0" w:firstRowLastColumn="0" w:lastRowFirstColumn="0" w:lastRowLastColumn="0"/>
              <w:rPr>
                <w:rFonts w:ascii="Arial" w:hAnsi="Arial" w:cs="Arial"/>
                <w:b/>
                <w:i w:val="0"/>
                <w:sz w:val="20"/>
                <w:lang w:val="en-US"/>
              </w:rPr>
            </w:pPr>
            <w:r w:rsidRPr="004F14C0">
              <w:rPr>
                <w:rFonts w:ascii="Arial" w:hAnsi="Arial" w:cs="Arial"/>
                <w:b/>
                <w:i w:val="0"/>
                <w:sz w:val="20"/>
                <w:lang w:val="en-US"/>
              </w:rPr>
              <w:t>Description of the method for collecting data</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702" w:type="dxa"/>
            <w:gridSpan w:val="4"/>
            <w:tcBorders>
              <w:left w:val="single" w:sz="4" w:space="0" w:color="FFFFFF" w:themeColor="background1"/>
              <w:bottom w:val="single" w:sz="4" w:space="0" w:color="D0CECE" w:themeColor="background2" w:themeShade="E6"/>
              <w:right w:val="single" w:sz="4" w:space="0" w:color="FFFFFF" w:themeColor="background1"/>
            </w:tcBorders>
            <w:shd w:val="clear" w:color="auto" w:fill="auto"/>
            <w:vAlign w:val="center"/>
          </w:tcPr>
          <w:p w:rsidR="00384B5A" w:rsidRPr="004F14C0" w:rsidRDefault="00384B5A" w:rsidP="00757A2E">
            <w:pPr>
              <w:jc w:val="left"/>
              <w:rPr>
                <w:rFonts w:ascii="Arial" w:hAnsi="Arial" w:cs="Arial"/>
                <w:sz w:val="20"/>
                <w:lang w:val="en-US"/>
              </w:rPr>
            </w:pPr>
            <w:r w:rsidRPr="004F14C0">
              <w:rPr>
                <w:rFonts w:ascii="Arial" w:hAnsi="Arial" w:cs="Arial"/>
                <w:sz w:val="20"/>
                <w:lang w:val="en-US"/>
              </w:rPr>
              <w:t>Principle Good Feeding</w:t>
            </w:r>
          </w:p>
        </w:tc>
      </w:tr>
      <w:tr w:rsidR="00384B5A" w:rsidRPr="004F14C0" w:rsidTr="00757A2E">
        <w:trPr>
          <w:trHeight w:val="386"/>
        </w:trPr>
        <w:tc>
          <w:tcPr>
            <w:cnfStyle w:val="001000000000" w:firstRow="0" w:lastRow="0" w:firstColumn="1" w:lastColumn="0" w:oddVBand="0" w:evenVBand="0" w:oddHBand="0" w:evenHBand="0" w:firstRowFirstColumn="0" w:firstRowLastColumn="0" w:lastRowFirstColumn="0" w:lastRowLastColumn="0"/>
            <w:tcW w:w="1283" w:type="dxa"/>
            <w:tcBorders>
              <w:top w:val="single" w:sz="4" w:space="0" w:color="808080" w:themeColor="background1" w:themeShade="80"/>
              <w:right w:val="single" w:sz="4" w:space="0" w:color="FFFFFF" w:themeColor="background1"/>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Body condition score (BCS)</w:t>
            </w:r>
          </w:p>
        </w:tc>
        <w:tc>
          <w:tcPr>
            <w:tcW w:w="1338" w:type="dxa"/>
            <w:tcBorders>
              <w:top w:val="single" w:sz="4" w:space="0" w:color="808080" w:themeColor="background1" w:themeShade="80"/>
              <w:left w:val="single" w:sz="4" w:space="0" w:color="FFFFFF" w:themeColor="background1"/>
              <w:right w:val="single" w:sz="4" w:space="0" w:color="FFFFFF" w:themeColor="background1"/>
            </w:tcBorders>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tcBorders>
              <w:top w:val="single" w:sz="4" w:space="0" w:color="808080" w:themeColor="background1" w:themeShade="80"/>
              <w:left w:val="single" w:sz="4" w:space="0" w:color="FFFFFF" w:themeColor="background1"/>
              <w:right w:val="single" w:sz="4" w:space="0" w:color="FFFFFF" w:themeColor="background1"/>
            </w:tcBorders>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BCS observed on a sample of cows </w:t>
            </w:r>
          </w:p>
        </w:tc>
        <w:tc>
          <w:tcPr>
            <w:tcW w:w="5109" w:type="dxa"/>
            <w:tcBorders>
              <w:top w:val="single" w:sz="4" w:space="0" w:color="808080" w:themeColor="background1" w:themeShade="80"/>
              <w:left w:val="single" w:sz="4" w:space="0" w:color="FFFFFF" w:themeColor="background1"/>
            </w:tcBorders>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BCS of an animal is observed without being touched and categorized into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0: regular body condition</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1: very lean body condition</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2: very fat body condition</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Water provision</w:t>
            </w:r>
          </w:p>
        </w:tc>
        <w:tc>
          <w:tcPr>
            <w:tcW w:w="1338" w:type="dxa"/>
            <w:tcBorders>
              <w:left w:val="nil"/>
            </w:tcBorders>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Resource-based indicator</w:t>
            </w:r>
          </w:p>
        </w:tc>
        <w:tc>
          <w:tcPr>
            <w:tcW w:w="1972"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szCs w:val="20"/>
                <w:lang w:val="en-US"/>
              </w:rPr>
              <w:t>Length, cleanliness and</w:t>
            </w:r>
            <w:r w:rsidRPr="004F14C0">
              <w:rPr>
                <w:rFonts w:ascii="Arial" w:hAnsi="Arial" w:cs="Arial"/>
                <w:lang w:val="en-US"/>
              </w:rPr>
              <w:t xml:space="preserve"> </w:t>
            </w:r>
            <w:r w:rsidRPr="004F14C0">
              <w:rPr>
                <w:rFonts w:ascii="Arial" w:hAnsi="Arial" w:cs="Arial"/>
                <w:sz w:val="20"/>
                <w:szCs w:val="20"/>
                <w:lang w:val="en-US"/>
              </w:rPr>
              <w:t>functionality of water troughs and bowls on the day of the visit</w:t>
            </w:r>
          </w:p>
        </w:tc>
        <w:tc>
          <w:tcPr>
            <w:tcW w:w="5109"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Troughs: length indicator in cm and test of sufficient water flow (sufficient = 20 l/min)</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Bowls: number of bowls and test of sufficient water flow (sufficient = 10</w:t>
            </w:r>
            <w:r w:rsidR="00ED199E" w:rsidRPr="004F14C0">
              <w:rPr>
                <w:rFonts w:ascii="Arial" w:hAnsi="Arial" w:cs="Arial"/>
                <w:sz w:val="20"/>
                <w:lang w:val="en-US"/>
              </w:rPr>
              <w:t xml:space="preserve"> </w:t>
            </w:r>
            <w:r w:rsidRPr="004F14C0">
              <w:rPr>
                <w:rFonts w:ascii="Arial" w:hAnsi="Arial" w:cs="Arial"/>
                <w:sz w:val="20"/>
                <w:lang w:val="en-US"/>
              </w:rPr>
              <w:t>l/min)</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Check of cleanliness in all water troughs or bowls</w:t>
            </w:r>
          </w:p>
        </w:tc>
      </w:tr>
      <w:tr w:rsidR="00384B5A" w:rsidRPr="004F14C0" w:rsidTr="00757A2E">
        <w:trPr>
          <w:trHeight w:val="57"/>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auto"/>
            <w:vAlign w:val="center"/>
          </w:tcPr>
          <w:p w:rsidR="00384B5A" w:rsidRPr="004F14C0" w:rsidRDefault="00384B5A" w:rsidP="00757A2E">
            <w:pPr>
              <w:jc w:val="left"/>
              <w:rPr>
                <w:rFonts w:ascii="Arial" w:hAnsi="Arial" w:cs="Arial"/>
                <w:sz w:val="2"/>
                <w:szCs w:val="2"/>
                <w:lang w:val="en-US"/>
              </w:rPr>
            </w:pPr>
          </w:p>
        </w:tc>
        <w:tc>
          <w:tcPr>
            <w:tcW w:w="1338" w:type="dxa"/>
            <w:shd w:val="clear" w:color="auto" w:fill="auto"/>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
                <w:szCs w:val="2"/>
                <w:lang w:val="en-US"/>
              </w:rPr>
            </w:pPr>
          </w:p>
        </w:tc>
        <w:tc>
          <w:tcPr>
            <w:tcW w:w="1972" w:type="dxa"/>
            <w:shd w:val="clear" w:color="auto" w:fill="auto"/>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
                <w:szCs w:val="2"/>
                <w:lang w:val="en-US"/>
              </w:rPr>
            </w:pPr>
          </w:p>
        </w:tc>
        <w:tc>
          <w:tcPr>
            <w:tcW w:w="5109" w:type="dxa"/>
            <w:shd w:val="clear" w:color="auto" w:fill="auto"/>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
                <w:szCs w:val="2"/>
                <w:lang w:val="en-US"/>
              </w:rPr>
            </w:pP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702" w:type="dxa"/>
            <w:gridSpan w:val="4"/>
            <w:tcBorders>
              <w:top w:val="single" w:sz="4" w:space="0" w:color="808080" w:themeColor="background1" w:themeShade="80"/>
              <w:left w:val="single" w:sz="4" w:space="0" w:color="FFFFFF" w:themeColor="background1"/>
              <w:right w:val="single" w:sz="4" w:space="0" w:color="FFFFFF" w:themeColor="background1"/>
            </w:tcBorders>
            <w:shd w:val="clear" w:color="auto" w:fill="auto"/>
            <w:vAlign w:val="center"/>
          </w:tcPr>
          <w:p w:rsidR="00384B5A" w:rsidRPr="004F14C0" w:rsidRDefault="00384B5A" w:rsidP="00757A2E">
            <w:pPr>
              <w:jc w:val="left"/>
              <w:rPr>
                <w:rFonts w:ascii="Arial" w:hAnsi="Arial" w:cs="Arial"/>
                <w:sz w:val="20"/>
                <w:lang w:val="en-US"/>
              </w:rPr>
            </w:pPr>
            <w:r w:rsidRPr="004F14C0">
              <w:rPr>
                <w:rFonts w:ascii="Arial" w:hAnsi="Arial" w:cs="Arial"/>
                <w:sz w:val="20"/>
                <w:lang w:val="en-US"/>
              </w:rPr>
              <w:t>Principle Good Housing</w:t>
            </w:r>
          </w:p>
        </w:tc>
      </w:tr>
      <w:tr w:rsidR="00384B5A" w:rsidRPr="004F14C0" w:rsidTr="00757A2E">
        <w:trPr>
          <w:trHeight w:val="170"/>
        </w:trPr>
        <w:tc>
          <w:tcPr>
            <w:cnfStyle w:val="001000000000" w:firstRow="0" w:lastRow="0" w:firstColumn="1" w:lastColumn="0" w:oddVBand="0" w:evenVBand="0" w:oddHBand="0" w:evenHBand="0" w:firstRowFirstColumn="0" w:firstRowLastColumn="0" w:lastRowFirstColumn="0" w:lastRowLastColumn="0"/>
            <w:tcW w:w="1283" w:type="dxa"/>
            <w:tcBorders>
              <w:top w:val="single" w:sz="4" w:space="0" w:color="808080" w:themeColor="background1" w:themeShade="80"/>
              <w:left w:val="single" w:sz="4" w:space="0" w:color="FFFFFF" w:themeColor="background1"/>
              <w:right w:val="single" w:sz="4" w:space="0" w:color="FFFFFF" w:themeColor="background1"/>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Time needed to l</w:t>
            </w:r>
            <w:r w:rsidR="002B1C14" w:rsidRPr="004F14C0">
              <w:rPr>
                <w:rFonts w:ascii="Arial" w:hAnsi="Arial" w:cs="Arial"/>
                <w:i w:val="0"/>
                <w:sz w:val="20"/>
                <w:lang w:val="en-US"/>
              </w:rPr>
              <w:t>ay</w:t>
            </w:r>
            <w:r w:rsidRPr="004F14C0">
              <w:rPr>
                <w:rFonts w:ascii="Arial" w:hAnsi="Arial" w:cs="Arial"/>
                <w:i w:val="0"/>
                <w:sz w:val="20"/>
                <w:lang w:val="en-US"/>
              </w:rPr>
              <w:t xml:space="preserve"> down</w:t>
            </w:r>
          </w:p>
        </w:tc>
        <w:tc>
          <w:tcPr>
            <w:tcW w:w="1338" w:type="dxa"/>
            <w:tcBorders>
              <w:top w:val="single" w:sz="4" w:space="0" w:color="808080" w:themeColor="background1" w:themeShade="80"/>
              <w:left w:val="single" w:sz="4" w:space="0" w:color="FFFFFF" w:themeColor="background1"/>
              <w:right w:val="single" w:sz="4" w:space="0" w:color="FFFFFF" w:themeColor="background1"/>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tcBorders>
              <w:top w:val="single" w:sz="4" w:space="0" w:color="808080" w:themeColor="background1" w:themeShade="80"/>
              <w:left w:val="single" w:sz="4" w:space="0" w:color="FFFFFF" w:themeColor="background1"/>
              <w:right w:val="single" w:sz="4" w:space="0" w:color="FFFFFF" w:themeColor="background1"/>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Mean time to lie down observed on a sample of at least 6 cows on the day of the visit</w:t>
            </w:r>
          </w:p>
        </w:tc>
        <w:tc>
          <w:tcPr>
            <w:tcW w:w="5109" w:type="dxa"/>
            <w:tcBorders>
              <w:top w:val="single" w:sz="4" w:space="0" w:color="808080" w:themeColor="background1" w:themeShade="80"/>
              <w:left w:val="single" w:sz="4" w:space="0" w:color="FFFFFF" w:themeColor="background1"/>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Recording of time needed to lay down in seconds with a chronograph. From the moment, the carpal joint was bent and lowered to touch the ground, the time measure started. With the movement of pulling the front legs out from underneath the body, when the hind quarter had already fallen down, time measure stopped</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Cleanliness</w:t>
            </w:r>
          </w:p>
        </w:tc>
        <w:tc>
          <w:tcPr>
            <w:tcW w:w="1338"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Cleanliness observed on a sample of cows </w:t>
            </w:r>
            <w:r w:rsidRPr="004F14C0">
              <w:rPr>
                <w:rFonts w:ascii="Arial" w:hAnsi="Arial" w:cs="Arial"/>
                <w:sz w:val="20"/>
                <w:szCs w:val="20"/>
                <w:lang w:val="en-US"/>
              </w:rPr>
              <w:lastRenderedPageBreak/>
              <w:t>(N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lastRenderedPageBreak/>
              <w:t xml:space="preserve">Assessment on lower hind legs, hind quarters and udder, Animal is observed without being touched. Assessed using this scale: </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0: no dirt or minor splashing</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lastRenderedPageBreak/>
              <w:t>2: separate or continuous plaques of dirt</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left w:val="single" w:sz="4" w:space="0" w:color="FFFFFF" w:themeColor="background1"/>
              <w:right w:val="single" w:sz="4" w:space="0" w:color="FFFFFF" w:themeColor="background1"/>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lastRenderedPageBreak/>
              <w:t>Collisions</w:t>
            </w:r>
          </w:p>
        </w:tc>
        <w:tc>
          <w:tcPr>
            <w:tcW w:w="1338" w:type="dxa"/>
            <w:tcBorders>
              <w:left w:val="single" w:sz="4" w:space="0" w:color="FFFFFF" w:themeColor="background1"/>
              <w:right w:val="single" w:sz="4" w:space="0" w:color="FFFFFF" w:themeColor="background1"/>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tcBorders>
              <w:left w:val="single" w:sz="4" w:space="0" w:color="FFFFFF" w:themeColor="background1"/>
              <w:right w:val="single" w:sz="4" w:space="0" w:color="FFFFFF" w:themeColor="background1"/>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Observed on a sample of at least 6 cows on the day of the visit</w:t>
            </w:r>
          </w:p>
        </w:tc>
        <w:tc>
          <w:tcPr>
            <w:tcW w:w="5109" w:type="dxa"/>
            <w:tcBorders>
              <w:left w:val="single" w:sz="4" w:space="0" w:color="FFFFFF" w:themeColor="background1"/>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Definition of a collision: during the lying down, the cow collides with the housing equipment.</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 collision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2: collision</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Lying outside the lying area</w:t>
            </w:r>
          </w:p>
        </w:tc>
        <w:tc>
          <w:tcPr>
            <w:tcW w:w="1338"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Observed in </w:t>
            </w:r>
            <w:proofErr w:type="spellStart"/>
            <w:r w:rsidRPr="004F14C0">
              <w:rPr>
                <w:rFonts w:ascii="Arial" w:hAnsi="Arial" w:cs="Arial"/>
                <w:sz w:val="20"/>
                <w:szCs w:val="20"/>
                <w:lang w:val="en-US"/>
              </w:rPr>
              <w:t>repre-sentative</w:t>
            </w:r>
            <w:proofErr w:type="spellEnd"/>
            <w:r w:rsidRPr="004F14C0">
              <w:rPr>
                <w:rFonts w:ascii="Arial" w:hAnsi="Arial" w:cs="Arial"/>
                <w:sz w:val="20"/>
                <w:szCs w:val="20"/>
                <w:lang w:val="en-US"/>
              </w:rPr>
              <w:t xml:space="preserve"> segments of the barn/ pasture on the day of the visit</w:t>
            </w:r>
          </w:p>
        </w:tc>
        <w:tc>
          <w:tcPr>
            <w:tcW w:w="5109"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Percentage of animals lying partly or completely outside the designated lying area, out of all lying animals</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Presence of tethering</w:t>
            </w:r>
          </w:p>
        </w:tc>
        <w:tc>
          <w:tcPr>
            <w:tcW w:w="1338" w:type="dxa"/>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w:t>
            </w:r>
          </w:p>
        </w:tc>
        <w:tc>
          <w:tcPr>
            <w:tcW w:w="1972" w:type="dxa"/>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w:t>
            </w:r>
          </w:p>
        </w:tc>
        <w:tc>
          <w:tcPr>
            <w:tcW w:w="5109" w:type="dxa"/>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Only farms with cubicle housing systems were chosen for this study</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auto"/>
            <w:vAlign w:val="center"/>
          </w:tcPr>
          <w:p w:rsidR="00384B5A" w:rsidRPr="004F14C0" w:rsidRDefault="00384B5A" w:rsidP="00757A2E">
            <w:pPr>
              <w:jc w:val="left"/>
              <w:rPr>
                <w:rFonts w:ascii="Arial" w:hAnsi="Arial" w:cs="Arial"/>
                <w:sz w:val="2"/>
                <w:szCs w:val="2"/>
                <w:lang w:val="en-US"/>
              </w:rPr>
            </w:pPr>
          </w:p>
        </w:tc>
        <w:tc>
          <w:tcPr>
            <w:tcW w:w="1338" w:type="dxa"/>
            <w:shd w:val="clear" w:color="auto" w:fill="auto"/>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
                <w:szCs w:val="2"/>
                <w:lang w:val="en-US"/>
              </w:rPr>
            </w:pPr>
          </w:p>
        </w:tc>
        <w:tc>
          <w:tcPr>
            <w:tcW w:w="1972" w:type="dxa"/>
            <w:shd w:val="clear" w:color="auto" w:fill="auto"/>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
                <w:szCs w:val="2"/>
                <w:lang w:val="en-US"/>
              </w:rPr>
            </w:pPr>
          </w:p>
        </w:tc>
        <w:tc>
          <w:tcPr>
            <w:tcW w:w="5109" w:type="dxa"/>
            <w:shd w:val="clear" w:color="auto" w:fill="auto"/>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
                <w:szCs w:val="2"/>
                <w:lang w:val="en-US"/>
              </w:rPr>
            </w:pP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9702" w:type="dxa"/>
            <w:gridSpan w:val="4"/>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shd w:val="clear" w:color="auto" w:fill="auto"/>
            <w:vAlign w:val="center"/>
          </w:tcPr>
          <w:p w:rsidR="00384B5A" w:rsidRPr="004F14C0" w:rsidRDefault="00384B5A" w:rsidP="00757A2E">
            <w:pPr>
              <w:jc w:val="left"/>
              <w:rPr>
                <w:rFonts w:ascii="Arial" w:hAnsi="Arial" w:cs="Arial"/>
                <w:sz w:val="20"/>
                <w:lang w:val="en-US"/>
              </w:rPr>
            </w:pPr>
            <w:r w:rsidRPr="004F14C0">
              <w:rPr>
                <w:rFonts w:ascii="Arial" w:hAnsi="Arial" w:cs="Arial"/>
                <w:sz w:val="20"/>
                <w:lang w:val="en-US"/>
              </w:rPr>
              <w:t>Principle Good Health</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702" w:type="dxa"/>
            <w:gridSpan w:val="4"/>
            <w:tcBorders>
              <w:top w:val="single" w:sz="4" w:space="0" w:color="808080" w:themeColor="background1" w:themeShade="80"/>
              <w:left w:val="single" w:sz="4" w:space="0" w:color="FFFFFF" w:themeColor="background1"/>
              <w:right w:val="single" w:sz="4" w:space="0" w:color="FFFFFF" w:themeColor="background1"/>
            </w:tcBorders>
            <w:shd w:val="clear" w:color="auto" w:fill="auto"/>
            <w:vAlign w:val="center"/>
          </w:tcPr>
          <w:p w:rsidR="00384B5A" w:rsidRPr="004F14C0" w:rsidRDefault="00384B5A" w:rsidP="00757A2E">
            <w:pPr>
              <w:jc w:val="left"/>
              <w:rPr>
                <w:rFonts w:ascii="Arial" w:hAnsi="Arial" w:cs="Arial"/>
                <w:sz w:val="2"/>
                <w:szCs w:val="2"/>
                <w:lang w:val="en-US"/>
              </w:rPr>
            </w:pP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Lameness</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Animal-based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indicator</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Prevalence of lameness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Cows are observed when walking on a surface on which they normally walk. The cows gait score is assessed using this scale: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Not lame: timing of steps and weight-bearing equal on all four feet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1: Moderately lame: imperfect temporal rhythm in stride creating a limp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2: Severely lame: Strong reluctance to bear weight on one limb, or more than one limb affected</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Integument alterations</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Prevalence of integument </w:t>
            </w:r>
            <w:proofErr w:type="spellStart"/>
            <w:r w:rsidRPr="004F14C0">
              <w:rPr>
                <w:rFonts w:ascii="Arial" w:hAnsi="Arial" w:cs="Arial"/>
                <w:sz w:val="20"/>
                <w:szCs w:val="20"/>
                <w:lang w:val="en-US"/>
              </w:rPr>
              <w:t>altera-tions</w:t>
            </w:r>
            <w:proofErr w:type="spellEnd"/>
            <w:r w:rsidRPr="004F14C0">
              <w:rPr>
                <w:rFonts w:ascii="Arial" w:hAnsi="Arial" w:cs="Arial"/>
                <w:sz w:val="20"/>
                <w:szCs w:val="20"/>
                <w:lang w:val="en-US"/>
              </w:rPr>
              <w:t xml:space="preserve">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Observation of five body regions of cows (neck/ shoulder/ back, hindquarter, tarsus, ﬂank/ side/ udder, carpus) on one side of the animal. On each region, the number of hairless patches and lesions/ swellings of a minimum diameter of 2 cm are recorded</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Nasal discharge</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Prevalence of nasal discharge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Animal is observed without being touched. Assessed using this scale: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 evidence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1: Evidence of clearly visible ﬂow/ discharge from the nostrils; transparent to yellow/ green and often of thick consistency</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Ocular discharge</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Prevalence of ocular discharge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Animal is observed without being touched. Assessed using this scale: </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 evidence </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4F14C0">
              <w:rPr>
                <w:rFonts w:ascii="Arial" w:hAnsi="Arial" w:cs="Arial"/>
                <w:sz w:val="20"/>
                <w:lang w:val="en-US"/>
              </w:rPr>
              <w:t xml:space="preserve">1: Evidence of clearly visible ﬂow/ </w:t>
            </w:r>
            <w:r w:rsidRPr="004F14C0">
              <w:rPr>
                <w:rFonts w:ascii="Arial" w:hAnsi="Arial" w:cs="Arial"/>
                <w:sz w:val="18"/>
                <w:lang w:val="en-US"/>
              </w:rPr>
              <w:t xml:space="preserve">discharge </w:t>
            </w:r>
            <w:r w:rsidRPr="004F14C0">
              <w:rPr>
                <w:rFonts w:ascii="Arial" w:hAnsi="Arial" w:cs="Arial"/>
                <w:sz w:val="20"/>
                <w:lang w:val="en-US"/>
              </w:rPr>
              <w:t>(wet or dry) from the eye, at least 3 cm long</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Diarrhea</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Prevalence of diarrhea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Animal is observed without being touched. Assessed using this scale: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 evidence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1: Evidence of loose watery manure on both sides of the tail. Area affected at least the size of a hand</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Coughing</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Mean number of coughs expressed per cow per 15 min</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Recording using continuous behavior sampling of sudden and noisy expulsion of air from the lungs of cows during a total period of 120 minutes</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Vulvar discharge</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Prevalence of vulvar discharge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Animal is observed without being touched. Assessed using this scale: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 evidence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14C0">
              <w:rPr>
                <w:rFonts w:ascii="Arial" w:hAnsi="Arial" w:cs="Arial"/>
                <w:sz w:val="20"/>
                <w:lang w:val="en-US"/>
              </w:rPr>
              <w:t xml:space="preserve">1: Evidence </w:t>
            </w:r>
            <w:r w:rsidRPr="004F14C0">
              <w:rPr>
                <w:rFonts w:ascii="Arial" w:hAnsi="Arial" w:cs="Arial"/>
                <w:sz w:val="18"/>
                <w:lang w:val="en-US"/>
              </w:rPr>
              <w:t xml:space="preserve">of </w:t>
            </w:r>
            <w:r w:rsidRPr="004F14C0">
              <w:rPr>
                <w:rFonts w:ascii="Arial" w:hAnsi="Arial" w:cs="Arial"/>
                <w:sz w:val="20"/>
                <w:lang w:val="en-US"/>
              </w:rPr>
              <w:t>purulent efﬂuent from the vulva or on the bottom side of the tail</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Mortality</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Farm records</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Annual cumulative incidence of mortality</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Deﬁned as the percentage of dairy cows which died or were euthanized due to disease or accidents or were emergency slaughtered during the last 12 months </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lastRenderedPageBreak/>
              <w:t>Milk somatic cell count</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Farm records</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Prevalence of cows with subclinical mastitis within the last 3 months</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Cow milk somatic cell counts are obtained from individual milk records and assessed using this scale:</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0: Somatic cell count below 400</w:t>
            </w:r>
            <w:r w:rsidR="00ED199E" w:rsidRPr="004F14C0">
              <w:rPr>
                <w:rFonts w:ascii="Arial" w:hAnsi="Arial" w:cs="Arial"/>
                <w:sz w:val="20"/>
                <w:lang w:val="en-US"/>
              </w:rPr>
              <w:t xml:space="preserve"> </w:t>
            </w:r>
            <w:r w:rsidRPr="004F14C0">
              <w:rPr>
                <w:rFonts w:ascii="Arial" w:hAnsi="Arial" w:cs="Arial"/>
                <w:sz w:val="20"/>
                <w:lang w:val="en-US"/>
              </w:rPr>
              <w:t xml:space="preserve">000 cell/ml for the last 3 months </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1: Somatic cell count of 400</w:t>
            </w:r>
            <w:r w:rsidR="00ED199E" w:rsidRPr="004F14C0">
              <w:rPr>
                <w:rFonts w:ascii="Arial" w:hAnsi="Arial" w:cs="Arial"/>
                <w:sz w:val="20"/>
                <w:lang w:val="en-US"/>
              </w:rPr>
              <w:t xml:space="preserve"> </w:t>
            </w:r>
            <w:r w:rsidRPr="004F14C0">
              <w:rPr>
                <w:rFonts w:ascii="Arial" w:hAnsi="Arial" w:cs="Arial"/>
                <w:sz w:val="20"/>
                <w:lang w:val="en-US"/>
              </w:rPr>
              <w:t>000 cell/ml or above at least once within the last 3 months</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Downer cows</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Farm records</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Annual cumulative incidence of downer cows</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Deﬁned as the percentage of cases of downer cows in the herd during the last 12 months </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Dystocia</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Farm records</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Annual incidence of dystocia</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Deﬁned as the percentage of </w:t>
            </w:r>
            <w:proofErr w:type="spellStart"/>
            <w:r w:rsidRPr="004F14C0">
              <w:rPr>
                <w:rFonts w:ascii="Arial" w:hAnsi="Arial" w:cs="Arial"/>
                <w:sz w:val="20"/>
                <w:lang w:val="en-US"/>
              </w:rPr>
              <w:t>calvings</w:t>
            </w:r>
            <w:proofErr w:type="spellEnd"/>
            <w:r w:rsidRPr="004F14C0">
              <w:rPr>
                <w:rFonts w:ascii="Arial" w:hAnsi="Arial" w:cs="Arial"/>
                <w:sz w:val="20"/>
                <w:lang w:val="en-US"/>
              </w:rPr>
              <w:t xml:space="preserve"> where major assistance was required in the herd during the last 12 months </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Hampered respiration</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Prevalence of hampered respiration 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Animal is observed without being touched. Assessed using this scale: </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0: No evidence </w:t>
            </w:r>
          </w:p>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4F14C0">
              <w:rPr>
                <w:rFonts w:ascii="Arial" w:hAnsi="Arial" w:cs="Arial"/>
                <w:sz w:val="20"/>
                <w:lang w:val="en-US"/>
              </w:rPr>
              <w:t>1: Evidence of deep and labored respiration.  Expiration mostly accompanied by pronounced sound</w:t>
            </w:r>
          </w:p>
        </w:tc>
      </w:tr>
      <w:tr w:rsidR="00384B5A" w:rsidRPr="004F14C0" w:rsidTr="00757A2E">
        <w:trPr>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Disbudding/ dehorning</w:t>
            </w:r>
          </w:p>
        </w:tc>
        <w:tc>
          <w:tcPr>
            <w:tcW w:w="1338"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Questionnaire</w:t>
            </w:r>
          </w:p>
        </w:tc>
        <w:tc>
          <w:tcPr>
            <w:tcW w:w="1972"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w:t>
            </w:r>
          </w:p>
        </w:tc>
        <w:tc>
          <w:tcPr>
            <w:tcW w:w="5109" w:type="dxa"/>
            <w:shd w:val="clear" w:color="auto" w:fill="E7E6E6" w:themeFill="background2"/>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The farmer is asked about his or her management practices for disbudding/ dehorning (procedures, use of anesthetics/analgesics)</w:t>
            </w: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Tail docking</w:t>
            </w:r>
          </w:p>
        </w:tc>
        <w:tc>
          <w:tcPr>
            <w:tcW w:w="1338"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w:t>
            </w:r>
          </w:p>
        </w:tc>
        <w:tc>
          <w:tcPr>
            <w:tcW w:w="1972"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w:t>
            </w:r>
          </w:p>
        </w:tc>
        <w:tc>
          <w:tcPr>
            <w:tcW w:w="5109" w:type="dxa"/>
            <w:shd w:val="clear" w:color="auto" w:fill="FFFFFF" w:themeFill="background1"/>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Not practiced in Germany except an emergency case</w:t>
            </w:r>
          </w:p>
        </w:tc>
      </w:tr>
      <w:tr w:rsidR="00384B5A" w:rsidRPr="004F14C0" w:rsidTr="00757A2E">
        <w:trPr>
          <w:trHeight w:val="57"/>
        </w:trPr>
        <w:tc>
          <w:tcPr>
            <w:cnfStyle w:val="001000000000" w:firstRow="0" w:lastRow="0" w:firstColumn="1" w:lastColumn="0" w:oddVBand="0" w:evenVBand="0" w:oddHBand="0" w:evenHBand="0" w:firstRowFirstColumn="0" w:firstRowLastColumn="0" w:lastRowFirstColumn="0" w:lastRowLastColumn="0"/>
            <w:tcW w:w="9702" w:type="dxa"/>
            <w:gridSpan w:val="4"/>
            <w:tcBorders>
              <w:right w:val="single" w:sz="4" w:space="0" w:color="FFFFFF" w:themeColor="background1"/>
            </w:tcBorders>
            <w:vAlign w:val="center"/>
          </w:tcPr>
          <w:p w:rsidR="00384B5A" w:rsidRPr="004F14C0" w:rsidRDefault="00384B5A" w:rsidP="00757A2E">
            <w:pPr>
              <w:rPr>
                <w:rFonts w:ascii="Arial" w:hAnsi="Arial" w:cs="Arial"/>
                <w:sz w:val="2"/>
                <w:lang w:val="en-US"/>
              </w:rPr>
            </w:pP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702" w:type="dxa"/>
            <w:gridSpan w:val="4"/>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rsidR="00384B5A" w:rsidRPr="004F14C0" w:rsidRDefault="00384B5A" w:rsidP="00757A2E">
            <w:pPr>
              <w:jc w:val="left"/>
              <w:rPr>
                <w:rFonts w:ascii="Arial" w:hAnsi="Arial" w:cs="Arial"/>
                <w:sz w:val="20"/>
                <w:lang w:val="en-US"/>
              </w:rPr>
            </w:pPr>
            <w:r w:rsidRPr="004F14C0">
              <w:rPr>
                <w:rFonts w:ascii="Arial" w:hAnsi="Arial" w:cs="Arial"/>
                <w:sz w:val="20"/>
                <w:lang w:val="en-US"/>
              </w:rPr>
              <w:t>Principle Appropriate Behavior</w:t>
            </w:r>
          </w:p>
        </w:tc>
      </w:tr>
      <w:tr w:rsidR="00384B5A" w:rsidRPr="004F14C0" w:rsidTr="00757A2E">
        <w:trPr>
          <w:trHeight w:val="57"/>
        </w:trPr>
        <w:tc>
          <w:tcPr>
            <w:cnfStyle w:val="001000000000" w:firstRow="0" w:lastRow="0" w:firstColumn="1" w:lastColumn="0" w:oddVBand="0" w:evenVBand="0" w:oddHBand="0" w:evenHBand="0" w:firstRowFirstColumn="0" w:firstRowLastColumn="0" w:lastRowFirstColumn="0" w:lastRowLastColumn="0"/>
            <w:tcW w:w="9702" w:type="dxa"/>
            <w:gridSpan w:val="4"/>
            <w:tcBorders>
              <w:top w:val="single" w:sz="4" w:space="0" w:color="808080" w:themeColor="background1" w:themeShade="80"/>
              <w:left w:val="single" w:sz="4" w:space="0" w:color="FFFFFF" w:themeColor="background1"/>
              <w:right w:val="single" w:sz="4" w:space="0" w:color="FFFFFF" w:themeColor="background1"/>
            </w:tcBorders>
            <w:vAlign w:val="center"/>
          </w:tcPr>
          <w:p w:rsidR="00384B5A" w:rsidRPr="004F14C0" w:rsidRDefault="00384B5A" w:rsidP="00757A2E">
            <w:pPr>
              <w:rPr>
                <w:rFonts w:ascii="Arial" w:hAnsi="Arial" w:cs="Arial"/>
                <w:sz w:val="2"/>
                <w:szCs w:val="2"/>
                <w:lang w:val="en-US"/>
              </w:rPr>
            </w:pPr>
          </w:p>
        </w:tc>
      </w:tr>
      <w:tr w:rsidR="00384B5A" w:rsidRPr="004F14C0" w:rsidTr="00757A2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Agonistic behavior</w:t>
            </w:r>
          </w:p>
        </w:tc>
        <w:tc>
          <w:tcPr>
            <w:tcW w:w="1338"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Observed in </w:t>
            </w:r>
            <w:proofErr w:type="spellStart"/>
            <w:r w:rsidRPr="004F14C0">
              <w:rPr>
                <w:rFonts w:ascii="Arial" w:hAnsi="Arial" w:cs="Arial"/>
                <w:sz w:val="20"/>
                <w:szCs w:val="20"/>
                <w:lang w:val="en-US"/>
              </w:rPr>
              <w:t>repre-sentative</w:t>
            </w:r>
            <w:proofErr w:type="spellEnd"/>
            <w:r w:rsidRPr="004F14C0">
              <w:rPr>
                <w:rFonts w:ascii="Arial" w:hAnsi="Arial" w:cs="Arial"/>
                <w:sz w:val="20"/>
                <w:szCs w:val="20"/>
                <w:lang w:val="en-US"/>
              </w:rPr>
              <w:t xml:space="preserve"> segments of the barn/ pasture on the day of the visit</w:t>
            </w:r>
          </w:p>
        </w:tc>
        <w:tc>
          <w:tcPr>
            <w:tcW w:w="5109"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 xml:space="preserve">Recording of agonistic behavior using continuous behavior sampling during a total period of 120 minutes: Number of head butts, displacements, chasing (-up) and </w:t>
            </w:r>
            <w:proofErr w:type="spellStart"/>
            <w:r w:rsidRPr="004F14C0">
              <w:rPr>
                <w:rFonts w:ascii="Arial" w:hAnsi="Arial" w:cs="Arial"/>
                <w:sz w:val="20"/>
                <w:lang w:val="en-US"/>
              </w:rPr>
              <w:t>fightings</w:t>
            </w:r>
            <w:proofErr w:type="spellEnd"/>
          </w:p>
        </w:tc>
      </w:tr>
      <w:tr w:rsidR="00384B5A" w:rsidRPr="004F14C0" w:rsidTr="00757A2E">
        <w:trPr>
          <w:trHeight w:val="386"/>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Outdoor loafing area or pasture</w:t>
            </w:r>
          </w:p>
        </w:tc>
        <w:tc>
          <w:tcPr>
            <w:tcW w:w="1338" w:type="dxa"/>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Questionnaire</w:t>
            </w:r>
          </w:p>
        </w:tc>
        <w:tc>
          <w:tcPr>
            <w:tcW w:w="1972" w:type="dxa"/>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w:t>
            </w:r>
          </w:p>
        </w:tc>
        <w:tc>
          <w:tcPr>
            <w:tcW w:w="5109" w:type="dxa"/>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Access to outdoor loafing area and/ or pasture:</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0: yes</w:t>
            </w:r>
          </w:p>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2: no</w:t>
            </w:r>
          </w:p>
        </w:tc>
      </w:tr>
      <w:tr w:rsidR="00384B5A" w:rsidRPr="004F14C0" w:rsidTr="00384B5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83" w:type="dxa"/>
            <w:tcBorders>
              <w:right w:val="none" w:sz="0" w:space="0" w:color="auto"/>
            </w:tcBorders>
            <w:shd w:val="clear" w:color="auto" w:fill="E7E6E6" w:themeFill="background2"/>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Avoidance distance</w:t>
            </w:r>
          </w:p>
        </w:tc>
        <w:tc>
          <w:tcPr>
            <w:tcW w:w="1338"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Observed on a sample of cows (N</w:t>
            </w:r>
            <w:r w:rsidRPr="004F14C0">
              <w:rPr>
                <w:rFonts w:ascii="Arial" w:hAnsi="Arial" w:cs="Arial"/>
                <w:sz w:val="20"/>
                <w:szCs w:val="20"/>
                <w:vertAlign w:val="subscript"/>
                <w:lang w:val="en-US"/>
              </w:rPr>
              <w:t>fin</w:t>
            </w:r>
            <w:r w:rsidR="00ED199E" w:rsidRPr="004F14C0">
              <w:rPr>
                <w:rFonts w:ascii="Arial" w:hAnsi="Arial" w:cs="Arial"/>
                <w:sz w:val="20"/>
                <w:szCs w:val="20"/>
                <w:vertAlign w:val="superscript"/>
                <w:lang w:val="en-US"/>
              </w:rPr>
              <w:t>1</w:t>
            </w:r>
            <w:r w:rsidRPr="004F14C0">
              <w:rPr>
                <w:rFonts w:ascii="Arial" w:hAnsi="Arial" w:cs="Arial"/>
                <w:sz w:val="20"/>
                <w:szCs w:val="20"/>
                <w:lang w:val="en-US"/>
              </w:rPr>
              <w:t>) on the day of the visit</w:t>
            </w:r>
          </w:p>
        </w:tc>
        <w:tc>
          <w:tcPr>
            <w:tcW w:w="5109" w:type="dxa"/>
            <w:shd w:val="clear" w:color="auto" w:fill="E7E6E6" w:themeFill="background2"/>
            <w:vAlign w:val="center"/>
          </w:tcPr>
          <w:p w:rsidR="00384B5A" w:rsidRPr="004F14C0" w:rsidRDefault="00384B5A" w:rsidP="00757A2E">
            <w:pPr>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F14C0">
              <w:rPr>
                <w:rFonts w:ascii="Arial" w:hAnsi="Arial" w:cs="Arial"/>
                <w:sz w:val="20"/>
                <w:lang w:val="en-US"/>
              </w:rPr>
              <w:t>Starting at 2 m in front of the cow at the feed bunk, the observer approached the animal with an extended hand. If the cow showed withdrawal, the avoidance distance was estimated between the hand and the muzzle of the cow at the moment of first sign of retraction, noted in 10 cm intervals</w:t>
            </w:r>
          </w:p>
        </w:tc>
      </w:tr>
      <w:tr w:rsidR="00384B5A" w:rsidRPr="004F14C0" w:rsidTr="00384B5A">
        <w:trPr>
          <w:trHeight w:val="386"/>
        </w:trPr>
        <w:tc>
          <w:tcPr>
            <w:cnfStyle w:val="001000000000" w:firstRow="0" w:lastRow="0" w:firstColumn="1" w:lastColumn="0" w:oddVBand="0" w:evenVBand="0" w:oddHBand="0" w:evenHBand="0" w:firstRowFirstColumn="0" w:firstRowLastColumn="0" w:lastRowFirstColumn="0" w:lastRowLastColumn="0"/>
            <w:tcW w:w="1283" w:type="dxa"/>
            <w:tcBorders>
              <w:bottom w:val="single" w:sz="4" w:space="0" w:color="auto"/>
              <w:right w:val="none" w:sz="0" w:space="0" w:color="auto"/>
            </w:tcBorders>
            <w:vAlign w:val="center"/>
          </w:tcPr>
          <w:p w:rsidR="00384B5A" w:rsidRPr="004F14C0" w:rsidRDefault="00384B5A" w:rsidP="00757A2E">
            <w:pPr>
              <w:jc w:val="left"/>
              <w:rPr>
                <w:rFonts w:ascii="Arial" w:hAnsi="Arial" w:cs="Arial"/>
                <w:i w:val="0"/>
                <w:sz w:val="20"/>
                <w:lang w:val="en-US"/>
              </w:rPr>
            </w:pPr>
            <w:r w:rsidRPr="004F14C0">
              <w:rPr>
                <w:rFonts w:ascii="Arial" w:hAnsi="Arial" w:cs="Arial"/>
                <w:i w:val="0"/>
                <w:sz w:val="20"/>
                <w:lang w:val="en-US"/>
              </w:rPr>
              <w:t>Qualitative behavior assessment (QBA)</w:t>
            </w:r>
          </w:p>
        </w:tc>
        <w:tc>
          <w:tcPr>
            <w:tcW w:w="1338" w:type="dxa"/>
            <w:tcBorders>
              <w:bottom w:val="single" w:sz="4" w:space="0" w:color="auto"/>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Animal-based indicator</w:t>
            </w:r>
          </w:p>
        </w:tc>
        <w:tc>
          <w:tcPr>
            <w:tcW w:w="1972" w:type="dxa"/>
            <w:tcBorders>
              <w:bottom w:val="single" w:sz="4" w:space="0" w:color="auto"/>
            </w:tcBorders>
            <w:shd w:val="clear" w:color="auto" w:fill="FFFFFF" w:themeFill="background1"/>
            <w:vAlign w:val="center"/>
          </w:tcPr>
          <w:p w:rsidR="00384B5A" w:rsidRPr="004F14C0" w:rsidRDefault="00384B5A"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F14C0">
              <w:rPr>
                <w:rFonts w:ascii="Arial" w:hAnsi="Arial" w:cs="Arial"/>
                <w:sz w:val="20"/>
                <w:szCs w:val="20"/>
                <w:lang w:val="en-US"/>
              </w:rPr>
              <w:t xml:space="preserve">Observed in </w:t>
            </w:r>
            <w:proofErr w:type="spellStart"/>
            <w:r w:rsidRPr="004F14C0">
              <w:rPr>
                <w:rFonts w:ascii="Arial" w:hAnsi="Arial" w:cs="Arial"/>
                <w:sz w:val="20"/>
                <w:szCs w:val="20"/>
                <w:lang w:val="en-US"/>
              </w:rPr>
              <w:t>repre-sentative</w:t>
            </w:r>
            <w:proofErr w:type="spellEnd"/>
            <w:r w:rsidRPr="004F14C0">
              <w:rPr>
                <w:rFonts w:ascii="Arial" w:hAnsi="Arial" w:cs="Arial"/>
                <w:sz w:val="20"/>
                <w:szCs w:val="20"/>
                <w:lang w:val="en-US"/>
              </w:rPr>
              <w:t xml:space="preserve"> segments of the barn/ pasture on the day of the visit</w:t>
            </w:r>
          </w:p>
        </w:tc>
        <w:tc>
          <w:tcPr>
            <w:tcW w:w="5109" w:type="dxa"/>
            <w:tcBorders>
              <w:bottom w:val="single" w:sz="4" w:space="0" w:color="auto"/>
            </w:tcBorders>
            <w:shd w:val="clear" w:color="auto" w:fill="FFFFFF" w:themeFill="background1"/>
            <w:vAlign w:val="center"/>
          </w:tcPr>
          <w:p w:rsidR="00384B5A" w:rsidRPr="004F14C0" w:rsidRDefault="00ED199E" w:rsidP="00757A2E">
            <w:pPr>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F14C0">
              <w:rPr>
                <w:rFonts w:ascii="Arial" w:hAnsi="Arial" w:cs="Arial"/>
                <w:sz w:val="20"/>
                <w:lang w:val="en-US"/>
              </w:rPr>
              <w:t>Equal distributed segments</w:t>
            </w:r>
            <w:r w:rsidR="00384B5A" w:rsidRPr="004F14C0">
              <w:rPr>
                <w:rFonts w:ascii="Arial" w:hAnsi="Arial" w:cs="Arial"/>
                <w:sz w:val="20"/>
                <w:lang w:val="en-US"/>
              </w:rPr>
              <w:t xml:space="preserve"> observed for 20 minutes overall. The herd was valued for a tendency to be active, relaxed, fearful, agitated, calm, content, indifferent, frustrated, friendly, bored, playful, positively occupied, lively, inquisitive, irritable, uneasy, sociable, apathetic, happy or distressed</w:t>
            </w:r>
          </w:p>
        </w:tc>
      </w:tr>
    </w:tbl>
    <w:p w:rsidR="00384B5A" w:rsidRPr="004F14C0" w:rsidRDefault="00384B5A" w:rsidP="00384B5A">
      <w:pPr>
        <w:spacing w:after="0" w:line="480" w:lineRule="auto"/>
        <w:jc w:val="both"/>
        <w:rPr>
          <w:rFonts w:ascii="Arial" w:hAnsi="Arial" w:cs="Arial"/>
          <w:sz w:val="20"/>
          <w:szCs w:val="20"/>
          <w:lang w:val="en-US"/>
        </w:rPr>
      </w:pPr>
    </w:p>
    <w:p w:rsidR="00384B5A" w:rsidRPr="009F1952" w:rsidRDefault="00ED199E" w:rsidP="00384B5A">
      <w:pPr>
        <w:spacing w:after="0" w:line="480" w:lineRule="auto"/>
        <w:jc w:val="both"/>
        <w:rPr>
          <w:rFonts w:ascii="Arial" w:hAnsi="Arial" w:cs="Arial"/>
          <w:sz w:val="20"/>
          <w:szCs w:val="20"/>
          <w:lang w:val="en-US"/>
        </w:rPr>
      </w:pPr>
      <w:r w:rsidRPr="004F14C0">
        <w:rPr>
          <w:rFonts w:ascii="Arial" w:hAnsi="Arial" w:cs="Arial"/>
          <w:sz w:val="20"/>
          <w:szCs w:val="20"/>
          <w:vertAlign w:val="superscript"/>
          <w:lang w:val="en-US"/>
        </w:rPr>
        <w:t>1</w:t>
      </w:r>
      <w:r w:rsidR="00384B5A" w:rsidRPr="004F14C0">
        <w:rPr>
          <w:rFonts w:ascii="Arial" w:hAnsi="Arial" w:cs="Arial"/>
          <w:sz w:val="20"/>
          <w:szCs w:val="20"/>
          <w:lang w:val="en-US"/>
        </w:rPr>
        <w:t xml:space="preserve"> </w:t>
      </w:r>
      <m:oMath>
        <m:sSub>
          <m:sSubPr>
            <m:ctrlPr>
              <w:rPr>
                <w:rFonts w:ascii="Cambria Math" w:hAnsi="Cambria Math" w:cs="Arial"/>
                <w:szCs w:val="20"/>
                <w:lang w:val="en-US"/>
              </w:rPr>
            </m:ctrlPr>
          </m:sSubPr>
          <m:e>
            <m:r>
              <m:rPr>
                <m:sty m:val="p"/>
              </m:rPr>
              <w:rPr>
                <w:rFonts w:ascii="Cambria Math" w:hAnsi="Cambria Math" w:cs="Arial"/>
                <w:szCs w:val="20"/>
                <w:lang w:val="en-US"/>
              </w:rPr>
              <m:t>N</m:t>
            </m:r>
          </m:e>
          <m:sub>
            <m:r>
              <m:rPr>
                <m:sty m:val="p"/>
              </m:rPr>
              <w:rPr>
                <w:rFonts w:ascii="Cambria Math" w:hAnsi="Cambria Math" w:cs="Arial"/>
                <w:szCs w:val="20"/>
                <w:lang w:val="en-US"/>
              </w:rPr>
              <m:t>fin</m:t>
            </m:r>
          </m:sub>
        </m:sSub>
        <m:r>
          <m:rPr>
            <m:sty m:val="p"/>
          </m:rPr>
          <w:rPr>
            <w:rFonts w:ascii="Cambria Math" w:hAnsi="Cambria Math" w:cs="Arial"/>
            <w:szCs w:val="20"/>
            <w:lang w:val="en-US"/>
          </w:rPr>
          <m:t>=</m:t>
        </m:r>
        <m:f>
          <m:fPr>
            <m:ctrlPr>
              <w:rPr>
                <w:rFonts w:ascii="Cambria Math" w:hAnsi="Cambria Math" w:cs="Arial"/>
                <w:szCs w:val="20"/>
                <w:lang w:val="en-US"/>
              </w:rPr>
            </m:ctrlPr>
          </m:fPr>
          <m:num>
            <m:sSub>
              <m:sSubPr>
                <m:ctrlPr>
                  <w:rPr>
                    <w:rFonts w:ascii="Cambria Math" w:hAnsi="Cambria Math" w:cs="Arial"/>
                    <w:szCs w:val="20"/>
                    <w:lang w:val="en-US"/>
                  </w:rPr>
                </m:ctrlPr>
              </m:sSubPr>
              <m:e>
                <m:r>
                  <m:rPr>
                    <m:sty m:val="p"/>
                  </m:rPr>
                  <w:rPr>
                    <w:rFonts w:ascii="Cambria Math" w:hAnsi="Cambria Math" w:cs="Arial"/>
                    <w:szCs w:val="20"/>
                    <w:lang w:val="en-US"/>
                  </w:rPr>
                  <m:t>N</m:t>
                </m:r>
              </m:e>
              <m:sub>
                <m:r>
                  <m:rPr>
                    <m:sty m:val="p"/>
                  </m:rPr>
                  <w:rPr>
                    <w:rFonts w:ascii="Cambria Math" w:hAnsi="Cambria Math" w:cs="Arial"/>
                    <w:szCs w:val="20"/>
                    <w:lang w:val="en-US"/>
                  </w:rPr>
                  <m:t>inf</m:t>
                </m:r>
              </m:sub>
            </m:sSub>
          </m:num>
          <m:den>
            <m:r>
              <m:rPr>
                <m:sty m:val="p"/>
              </m:rPr>
              <w:rPr>
                <w:rFonts w:ascii="Cambria Math" w:hAnsi="Cambria Math" w:cs="Arial"/>
                <w:szCs w:val="20"/>
                <w:lang w:val="en-US"/>
              </w:rPr>
              <m:t>1+</m:t>
            </m:r>
            <m:f>
              <m:fPr>
                <m:ctrlPr>
                  <w:rPr>
                    <w:rFonts w:ascii="Cambria Math" w:hAnsi="Cambria Math" w:cs="Arial"/>
                    <w:szCs w:val="20"/>
                    <w:lang w:val="en-US"/>
                  </w:rPr>
                </m:ctrlPr>
              </m:fPr>
              <m:num>
                <m:d>
                  <m:dPr>
                    <m:ctrlPr>
                      <w:rPr>
                        <w:rFonts w:ascii="Cambria Math" w:hAnsi="Cambria Math" w:cs="Arial"/>
                        <w:szCs w:val="20"/>
                        <w:lang w:val="en-US"/>
                      </w:rPr>
                    </m:ctrlPr>
                  </m:dPr>
                  <m:e>
                    <m:sSub>
                      <m:sSubPr>
                        <m:ctrlPr>
                          <w:rPr>
                            <w:rFonts w:ascii="Cambria Math" w:hAnsi="Cambria Math" w:cs="Arial"/>
                            <w:szCs w:val="20"/>
                            <w:lang w:val="en-US"/>
                          </w:rPr>
                        </m:ctrlPr>
                      </m:sSubPr>
                      <m:e>
                        <m:r>
                          <m:rPr>
                            <m:sty m:val="p"/>
                          </m:rPr>
                          <w:rPr>
                            <w:rFonts w:ascii="Cambria Math" w:hAnsi="Cambria Math" w:cs="Arial"/>
                            <w:szCs w:val="20"/>
                            <w:lang w:val="en-US"/>
                          </w:rPr>
                          <m:t>N</m:t>
                        </m:r>
                      </m:e>
                      <m:sub>
                        <m:r>
                          <m:rPr>
                            <m:sty m:val="p"/>
                          </m:rPr>
                          <w:rPr>
                            <w:rFonts w:ascii="Cambria Math" w:hAnsi="Cambria Math" w:cs="Arial"/>
                            <w:szCs w:val="20"/>
                            <w:lang w:val="en-US"/>
                          </w:rPr>
                          <m:t>inf</m:t>
                        </m:r>
                      </m:sub>
                    </m:sSub>
                    <m:r>
                      <m:rPr>
                        <m:sty m:val="p"/>
                      </m:rPr>
                      <w:rPr>
                        <w:rFonts w:ascii="Cambria Math" w:hAnsi="Cambria Math" w:cs="Arial"/>
                        <w:szCs w:val="20"/>
                        <w:lang w:val="en-US"/>
                      </w:rPr>
                      <m:t>-1</m:t>
                    </m:r>
                  </m:e>
                </m:d>
              </m:num>
              <m:den>
                <m:r>
                  <m:rPr>
                    <m:sty m:val="p"/>
                  </m:rPr>
                  <w:rPr>
                    <w:rFonts w:ascii="Cambria Math" w:hAnsi="Cambria Math" w:cs="Arial"/>
                    <w:szCs w:val="20"/>
                    <w:lang w:val="en-US"/>
                  </w:rPr>
                  <m:t>N</m:t>
                </m:r>
              </m:den>
            </m:f>
          </m:den>
        </m:f>
      </m:oMath>
      <w:r w:rsidR="00384B5A" w:rsidRPr="004F14C0">
        <w:rPr>
          <w:rFonts w:ascii="Arial" w:eastAsiaTheme="minorEastAsia" w:hAnsi="Arial" w:cs="Arial"/>
          <w:szCs w:val="20"/>
          <w:lang w:val="en-US"/>
        </w:rPr>
        <w:t xml:space="preserve">  </w:t>
      </w:r>
      <w:r w:rsidR="00384B5A" w:rsidRPr="004F14C0">
        <w:rPr>
          <w:rFonts w:ascii="Arial" w:eastAsiaTheme="minorEastAsia" w:hAnsi="Arial" w:cs="Arial"/>
          <w:sz w:val="20"/>
          <w:szCs w:val="20"/>
          <w:lang w:val="en-US"/>
        </w:rPr>
        <w:t xml:space="preserve">with </w:t>
      </w:r>
      <w:proofErr w:type="spellStart"/>
      <w:r w:rsidR="00384B5A" w:rsidRPr="004F14C0">
        <w:rPr>
          <w:rFonts w:ascii="Arial" w:hAnsi="Arial" w:cs="Arial"/>
          <w:sz w:val="20"/>
          <w:szCs w:val="20"/>
          <w:lang w:val="en-US"/>
        </w:rPr>
        <w:t>N</w:t>
      </w:r>
      <w:r w:rsidR="00384B5A" w:rsidRPr="004F14C0">
        <w:rPr>
          <w:rFonts w:ascii="Arial" w:hAnsi="Arial" w:cs="Arial"/>
          <w:sz w:val="20"/>
          <w:szCs w:val="20"/>
          <w:vertAlign w:val="subscript"/>
          <w:lang w:val="en-US"/>
        </w:rPr>
        <w:t>inf</w:t>
      </w:r>
      <w:proofErr w:type="spellEnd"/>
      <w:r w:rsidR="00384B5A" w:rsidRPr="004F14C0">
        <w:rPr>
          <w:rFonts w:ascii="Arial" w:hAnsi="Arial" w:cs="Arial"/>
          <w:sz w:val="20"/>
          <w:szCs w:val="20"/>
          <w:lang w:val="en-US"/>
        </w:rPr>
        <w:t xml:space="preserve"> = 96.04 and N = herd size</w:t>
      </w:r>
      <w:r w:rsidRPr="004F14C0">
        <w:rPr>
          <w:rFonts w:ascii="Arial" w:hAnsi="Arial" w:cs="Arial"/>
          <w:sz w:val="20"/>
          <w:szCs w:val="20"/>
          <w:lang w:val="en-US"/>
        </w:rPr>
        <w:t>.</w:t>
      </w:r>
      <w:bookmarkStart w:id="0" w:name="_GoBack"/>
      <w:bookmarkEnd w:id="0"/>
    </w:p>
    <w:p w:rsidR="00384B5A" w:rsidRPr="009F1952" w:rsidRDefault="00384B5A" w:rsidP="00384B5A">
      <w:pPr>
        <w:spacing w:after="0" w:line="480" w:lineRule="auto"/>
        <w:jc w:val="both"/>
        <w:rPr>
          <w:rFonts w:ascii="Arial" w:hAnsi="Arial" w:cs="Arial"/>
          <w:szCs w:val="20"/>
          <w:lang w:val="en-US"/>
        </w:rPr>
      </w:pPr>
    </w:p>
    <w:p w:rsidR="00384B5A" w:rsidRPr="00DB1974" w:rsidRDefault="00384B5A" w:rsidP="00384B5A">
      <w:pPr>
        <w:spacing w:after="0" w:line="480" w:lineRule="auto"/>
        <w:jc w:val="both"/>
        <w:rPr>
          <w:rFonts w:ascii="Arial" w:hAnsi="Arial" w:cs="Arial"/>
          <w:sz w:val="24"/>
          <w:szCs w:val="24"/>
          <w:lang w:val="en-US"/>
        </w:rPr>
      </w:pPr>
    </w:p>
    <w:p w:rsidR="007F5DBF" w:rsidRPr="00384B5A" w:rsidRDefault="007F5DBF">
      <w:pPr>
        <w:rPr>
          <w:lang w:val="en-US"/>
        </w:rPr>
      </w:pPr>
    </w:p>
    <w:sectPr w:rsidR="007F5DBF" w:rsidRPr="00384B5A" w:rsidSect="00B85F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MDMyMTIxMzQ1NjRX0lEKTi0uzszPAykwrAUA+5hCWiwAAAA="/>
  </w:docVars>
  <w:rsids>
    <w:rsidRoot w:val="00384B5A"/>
    <w:rsid w:val="002B1C14"/>
    <w:rsid w:val="00340EF5"/>
    <w:rsid w:val="00384B5A"/>
    <w:rsid w:val="004F14C0"/>
    <w:rsid w:val="007F5DBF"/>
    <w:rsid w:val="00933DD0"/>
    <w:rsid w:val="00C554CC"/>
    <w:rsid w:val="00ED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1B565-5B12-4346-A8D3-69E19853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B5A"/>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PlainTable51">
    <w:name w:val="Plain Table 51"/>
    <w:basedOn w:val="TableauNormal"/>
    <w:uiPriority w:val="45"/>
    <w:rsid w:val="00384B5A"/>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Lambertz Christian</dc:creator>
  <cp:keywords/>
  <dc:description/>
  <cp:lastModifiedBy>ANM</cp:lastModifiedBy>
  <cp:revision>3</cp:revision>
  <dcterms:created xsi:type="dcterms:W3CDTF">2019-03-01T09:31:00Z</dcterms:created>
  <dcterms:modified xsi:type="dcterms:W3CDTF">2019-03-01T09:31:00Z</dcterms:modified>
</cp:coreProperties>
</file>