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6A" w:rsidRPr="005C13A0" w:rsidRDefault="007E766A" w:rsidP="007E766A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C13A0">
        <w:rPr>
          <w:rFonts w:ascii="Arial" w:hAnsi="Arial" w:cs="Arial"/>
          <w:b/>
          <w:sz w:val="24"/>
          <w:szCs w:val="24"/>
          <w:lang w:val="en-US"/>
        </w:rPr>
        <w:t>Effects of feed restriction and supplementary folic acid and vitamin B</w:t>
      </w:r>
      <w:r w:rsidRPr="005C13A0">
        <w:rPr>
          <w:rFonts w:ascii="Arial" w:hAnsi="Arial" w:cs="Arial"/>
          <w:b/>
          <w:sz w:val="24"/>
          <w:szCs w:val="24"/>
          <w:vertAlign w:val="subscript"/>
          <w:lang w:val="en-US"/>
        </w:rPr>
        <w:t>12</w:t>
      </w:r>
      <w:r w:rsidRPr="005C13A0">
        <w:rPr>
          <w:rFonts w:ascii="Arial" w:hAnsi="Arial" w:cs="Arial"/>
          <w:b/>
          <w:sz w:val="24"/>
          <w:szCs w:val="24"/>
          <w:lang w:val="en-US"/>
        </w:rPr>
        <w:t xml:space="preserve"> on immune cell functions and blood cell populations in dairy cows</w:t>
      </w:r>
    </w:p>
    <w:p w:rsidR="007E766A" w:rsidRPr="005C13A0" w:rsidRDefault="007E766A" w:rsidP="007E766A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C13A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N. Vanacker, C. L. Girard, R. </w:t>
      </w:r>
      <w:proofErr w:type="spellStart"/>
      <w:r w:rsidRPr="005C13A0">
        <w:rPr>
          <w:rFonts w:ascii="Arial" w:eastAsia="Times New Roman" w:hAnsi="Arial" w:cs="Arial"/>
          <w:sz w:val="24"/>
          <w:szCs w:val="24"/>
          <w:lang w:val="en-US" w:eastAsia="fr-FR"/>
        </w:rPr>
        <w:t>Blouin</w:t>
      </w:r>
      <w:proofErr w:type="spellEnd"/>
      <w:r w:rsidRPr="005C13A0">
        <w:rPr>
          <w:rFonts w:ascii="Arial" w:eastAsia="Times New Roman" w:hAnsi="Arial" w:cs="Arial"/>
          <w:sz w:val="24"/>
          <w:szCs w:val="24"/>
          <w:lang w:val="en-US" w:eastAsia="fr-FR"/>
        </w:rPr>
        <w:t>, and P. Lacasse</w:t>
      </w:r>
    </w:p>
    <w:p w:rsidR="00E63D03" w:rsidRPr="005C13A0" w:rsidRDefault="007E766A">
      <w:pPr>
        <w:rPr>
          <w:b/>
          <w:lang w:val="en-US"/>
        </w:rPr>
      </w:pPr>
      <w:r w:rsidRPr="005C13A0">
        <w:rPr>
          <w:b/>
          <w:lang w:val="en-US"/>
        </w:rPr>
        <w:t>Animal</w:t>
      </w:r>
    </w:p>
    <w:p w:rsidR="007E766A" w:rsidRPr="005C13A0" w:rsidRDefault="007E766A">
      <w:pPr>
        <w:rPr>
          <w:lang w:val="en-US"/>
        </w:rPr>
      </w:pPr>
    </w:p>
    <w:p w:rsidR="001602CC" w:rsidRPr="005C13A0" w:rsidRDefault="001602CC">
      <w:r w:rsidRPr="005C13A0">
        <w:rPr>
          <w:noProof/>
          <w:lang w:val="en-GB" w:eastAsia="en-GB"/>
        </w:rPr>
        <w:drawing>
          <wp:inline distT="0" distB="0" distL="0" distR="0" wp14:anchorId="1958DF3B" wp14:editId="0B391AAE">
            <wp:extent cx="4572000" cy="2752725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4584D" w:rsidRPr="005C13A0" w:rsidRDefault="00C63257" w:rsidP="00A4584D">
      <w:pPr>
        <w:pStyle w:val="EndNoteBibliography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A0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43542" w:rsidRPr="005C13A0">
        <w:rPr>
          <w:rFonts w:ascii="Times New Roman" w:hAnsi="Times New Roman" w:cs="Times New Roman"/>
          <w:b/>
          <w:sz w:val="24"/>
          <w:szCs w:val="24"/>
        </w:rPr>
        <w:t>Figure</w:t>
      </w:r>
      <w:r w:rsidRPr="005C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66A" w:rsidRPr="005C13A0">
        <w:rPr>
          <w:rFonts w:ascii="Times New Roman" w:hAnsi="Times New Roman" w:cs="Times New Roman"/>
          <w:b/>
          <w:sz w:val="24"/>
          <w:szCs w:val="24"/>
        </w:rPr>
        <w:t>S</w:t>
      </w:r>
      <w:r w:rsidRPr="005C13A0">
        <w:rPr>
          <w:rFonts w:ascii="Times New Roman" w:hAnsi="Times New Roman" w:cs="Times New Roman"/>
          <w:b/>
          <w:sz w:val="24"/>
          <w:szCs w:val="24"/>
        </w:rPr>
        <w:t>1.</w:t>
      </w:r>
      <w:r w:rsidR="00A4584D" w:rsidRPr="005C13A0">
        <w:rPr>
          <w:rFonts w:ascii="Times New Roman" w:hAnsi="Times New Roman" w:cs="Times New Roman"/>
          <w:sz w:val="24"/>
          <w:szCs w:val="24"/>
        </w:rPr>
        <w:t xml:space="preserve"> Dry matter intake</w:t>
      </w:r>
      <w:r w:rsidR="007E766A" w:rsidRPr="005C13A0">
        <w:rPr>
          <w:rFonts w:ascii="Times New Roman" w:hAnsi="Times New Roman" w:cs="Times New Roman"/>
          <w:sz w:val="24"/>
          <w:szCs w:val="24"/>
        </w:rPr>
        <w:t xml:space="preserve"> (DMI)</w:t>
      </w:r>
      <w:r w:rsidR="00A4584D" w:rsidRPr="005C13A0">
        <w:rPr>
          <w:rFonts w:ascii="Times New Roman" w:hAnsi="Times New Roman" w:cs="Times New Roman"/>
          <w:sz w:val="24"/>
          <w:szCs w:val="24"/>
        </w:rPr>
        <w:t xml:space="preserve"> of cows injected weekly with either saline (white bar) or with a mix of folic acid and vitamine B</w:t>
      </w:r>
      <w:r w:rsidR="00A4584D" w:rsidRPr="005C13A0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="00A4584D" w:rsidRPr="005C13A0">
        <w:rPr>
          <w:rFonts w:ascii="Times New Roman" w:hAnsi="Times New Roman" w:cs="Times New Roman"/>
          <w:sz w:val="24"/>
          <w:szCs w:val="24"/>
        </w:rPr>
        <w:t>(grey bar)</w:t>
      </w:r>
      <w:r w:rsidR="00A4584D" w:rsidRPr="005C13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C13A0">
        <w:rPr>
          <w:rFonts w:ascii="Times New Roman" w:hAnsi="Times New Roman" w:cs="Times New Roman"/>
          <w:sz w:val="24"/>
          <w:szCs w:val="24"/>
        </w:rPr>
        <w:t>as measured</w:t>
      </w:r>
      <w:r w:rsidRPr="005C13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4584D" w:rsidRPr="005C13A0">
        <w:rPr>
          <w:rFonts w:ascii="Times New Roman" w:hAnsi="Times New Roman" w:cs="Times New Roman"/>
          <w:sz w:val="24"/>
          <w:szCs w:val="24"/>
        </w:rPr>
        <w:t>at the beginning</w:t>
      </w:r>
      <w:r w:rsidR="001602CC" w:rsidRPr="005C13A0">
        <w:rPr>
          <w:rFonts w:ascii="Times New Roman" w:hAnsi="Times New Roman" w:cs="Times New Roman"/>
          <w:sz w:val="24"/>
          <w:szCs w:val="24"/>
        </w:rPr>
        <w:t xml:space="preserve"> of the experiment (wk 1) until</w:t>
      </w:r>
      <w:r w:rsidR="00A4584D" w:rsidRPr="005C13A0">
        <w:rPr>
          <w:rFonts w:ascii="Times New Roman" w:hAnsi="Times New Roman" w:cs="Times New Roman"/>
          <w:sz w:val="24"/>
          <w:szCs w:val="24"/>
        </w:rPr>
        <w:t xml:space="preserve"> </w:t>
      </w:r>
      <w:r w:rsidR="00490E07" w:rsidRPr="005C13A0">
        <w:rPr>
          <w:rFonts w:ascii="Times New Roman" w:hAnsi="Times New Roman" w:cs="Times New Roman"/>
          <w:sz w:val="24"/>
          <w:szCs w:val="24"/>
        </w:rPr>
        <w:t xml:space="preserve">food </w:t>
      </w:r>
      <w:r w:rsidR="00A4584D" w:rsidRPr="005C13A0">
        <w:rPr>
          <w:rFonts w:ascii="Times New Roman" w:hAnsi="Times New Roman" w:cs="Times New Roman"/>
          <w:sz w:val="24"/>
          <w:szCs w:val="24"/>
        </w:rPr>
        <w:t>restriction (</w:t>
      </w:r>
      <w:r w:rsidR="00490E07" w:rsidRPr="005C13A0">
        <w:rPr>
          <w:rFonts w:ascii="Times New Roman" w:hAnsi="Times New Roman" w:cs="Times New Roman"/>
          <w:sz w:val="24"/>
          <w:szCs w:val="24"/>
        </w:rPr>
        <w:t xml:space="preserve">wk </w:t>
      </w:r>
      <w:r w:rsidR="001602CC" w:rsidRPr="005C13A0">
        <w:rPr>
          <w:rFonts w:ascii="Times New Roman" w:hAnsi="Times New Roman" w:cs="Times New Roman"/>
          <w:sz w:val="24"/>
          <w:szCs w:val="24"/>
        </w:rPr>
        <w:t>4</w:t>
      </w:r>
      <w:r w:rsidR="00A4584D" w:rsidRPr="005C13A0">
        <w:rPr>
          <w:rFonts w:ascii="Times New Roman" w:hAnsi="Times New Roman" w:cs="Times New Roman"/>
          <w:sz w:val="24"/>
          <w:szCs w:val="24"/>
        </w:rPr>
        <w:t>)</w:t>
      </w:r>
      <w:r w:rsidR="001602CC" w:rsidRPr="005C13A0">
        <w:rPr>
          <w:rFonts w:ascii="Times New Roman" w:hAnsi="Times New Roman" w:cs="Times New Roman"/>
          <w:sz w:val="24"/>
          <w:szCs w:val="24"/>
        </w:rPr>
        <w:t xml:space="preserve"> and during food restriciton (wk 5)</w:t>
      </w:r>
      <w:r w:rsidR="00A4584D" w:rsidRPr="005C13A0">
        <w:rPr>
          <w:rFonts w:ascii="Times New Roman" w:hAnsi="Times New Roman" w:cs="Times New Roman"/>
          <w:sz w:val="24"/>
          <w:szCs w:val="24"/>
        </w:rPr>
        <w:t xml:space="preserve">. </w:t>
      </w:r>
      <w:r w:rsidR="00490E07" w:rsidRPr="005C13A0">
        <w:rPr>
          <w:rFonts w:ascii="Times New Roman" w:hAnsi="Times New Roman" w:cs="Times New Roman"/>
          <w:sz w:val="24"/>
          <w:szCs w:val="24"/>
        </w:rPr>
        <w:t>Dry matter intake was not affected by vitamin supplementation or by time during the treatment period.</w:t>
      </w:r>
    </w:p>
    <w:p w:rsidR="001602CC" w:rsidRPr="005C13A0" w:rsidRDefault="001602CC" w:rsidP="00A4584D">
      <w:pPr>
        <w:pStyle w:val="EndNoteBibliography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2CC" w:rsidRPr="005C13A0" w:rsidRDefault="001602CC" w:rsidP="00A4584D">
      <w:pPr>
        <w:pStyle w:val="EndNoteBibliography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2CC" w:rsidRPr="005C13A0" w:rsidRDefault="001602CC" w:rsidP="00A4584D">
      <w:pPr>
        <w:pStyle w:val="EndNoteBibliography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B83" w:rsidRPr="005C13A0" w:rsidRDefault="001602CC" w:rsidP="00A4584D">
      <w:pPr>
        <w:pStyle w:val="EndNoteBibliography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A0">
        <w:rPr>
          <w:lang w:val="en-GB" w:eastAsia="en-GB"/>
        </w:rPr>
        <w:lastRenderedPageBreak/>
        <w:drawing>
          <wp:inline distT="0" distB="0" distL="0" distR="0" wp14:anchorId="7696AD89" wp14:editId="5EE0F1A6">
            <wp:extent cx="4572000" cy="2743200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6B83" w:rsidRPr="00C63257" w:rsidRDefault="00C63257" w:rsidP="00306B83">
      <w:pPr>
        <w:pStyle w:val="EndNoteBibliography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A0">
        <w:rPr>
          <w:rFonts w:ascii="Times New Roman" w:hAnsi="Times New Roman" w:cs="Times New Roman"/>
          <w:b/>
          <w:sz w:val="24"/>
          <w:szCs w:val="24"/>
        </w:rPr>
        <w:t xml:space="preserve">Supplementary Figure </w:t>
      </w:r>
      <w:r w:rsidR="007E766A" w:rsidRPr="005C13A0">
        <w:rPr>
          <w:rFonts w:ascii="Times New Roman" w:hAnsi="Times New Roman" w:cs="Times New Roman"/>
          <w:b/>
          <w:sz w:val="24"/>
          <w:szCs w:val="24"/>
        </w:rPr>
        <w:t>S</w:t>
      </w:r>
      <w:r w:rsidRPr="005C13A0">
        <w:rPr>
          <w:rFonts w:ascii="Times New Roman" w:hAnsi="Times New Roman" w:cs="Times New Roman"/>
          <w:b/>
          <w:sz w:val="24"/>
          <w:szCs w:val="24"/>
        </w:rPr>
        <w:t>2.</w:t>
      </w:r>
      <w:r w:rsidRPr="005C13A0">
        <w:rPr>
          <w:rFonts w:ascii="Times New Roman" w:hAnsi="Times New Roman" w:cs="Times New Roman"/>
          <w:sz w:val="24"/>
          <w:szCs w:val="24"/>
        </w:rPr>
        <w:t xml:space="preserve"> B</w:t>
      </w:r>
      <w:r w:rsidR="00306B83" w:rsidRPr="005C13A0">
        <w:rPr>
          <w:rFonts w:ascii="Times New Roman" w:hAnsi="Times New Roman" w:cs="Times New Roman"/>
          <w:sz w:val="24"/>
          <w:szCs w:val="24"/>
        </w:rPr>
        <w:t>ody weight of cows injected weekly with either saline (white bar) or with a mix of folic acid and vitamine B</w:t>
      </w:r>
      <w:r w:rsidR="00306B83" w:rsidRPr="005C13A0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="00306B83" w:rsidRPr="005C13A0">
        <w:rPr>
          <w:rFonts w:ascii="Times New Roman" w:hAnsi="Times New Roman" w:cs="Times New Roman"/>
          <w:sz w:val="24"/>
          <w:szCs w:val="24"/>
        </w:rPr>
        <w:t>(grey bar)</w:t>
      </w:r>
      <w:r w:rsidR="00306B83" w:rsidRPr="005C13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C13A0">
        <w:rPr>
          <w:rFonts w:ascii="Times New Roman" w:hAnsi="Times New Roman" w:cs="Times New Roman"/>
          <w:sz w:val="24"/>
          <w:szCs w:val="24"/>
        </w:rPr>
        <w:t>as measured</w:t>
      </w:r>
      <w:r w:rsidRPr="005C13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06B83" w:rsidRPr="005C13A0">
        <w:rPr>
          <w:rFonts w:ascii="Times New Roman" w:hAnsi="Times New Roman" w:cs="Times New Roman"/>
          <w:sz w:val="24"/>
          <w:szCs w:val="24"/>
        </w:rPr>
        <w:t xml:space="preserve">at the beginning of the experiment (wk 1) until  day 3 of the restriction week (wk 5). </w:t>
      </w:r>
      <w:r w:rsidR="00731639" w:rsidRPr="005C13A0">
        <w:rPr>
          <w:rFonts w:ascii="Times New Roman" w:hAnsi="Times New Roman" w:cs="Times New Roman"/>
          <w:sz w:val="24"/>
          <w:szCs w:val="24"/>
        </w:rPr>
        <w:t>Body weight</w:t>
      </w:r>
      <w:r w:rsidR="00306B83" w:rsidRPr="005C13A0">
        <w:rPr>
          <w:rFonts w:ascii="Times New Roman" w:hAnsi="Times New Roman" w:cs="Times New Roman"/>
          <w:sz w:val="24"/>
          <w:szCs w:val="24"/>
        </w:rPr>
        <w:t xml:space="preserve"> was not affected by vitamin supplementation or by time during the treatment period</w:t>
      </w:r>
      <w:r w:rsidRPr="005C13A0">
        <w:rPr>
          <w:rFonts w:ascii="Times New Roman" w:hAnsi="Times New Roman" w:cs="Times New Roman"/>
          <w:sz w:val="24"/>
          <w:szCs w:val="24"/>
        </w:rPr>
        <w:t xml:space="preserve"> but was decreased by food restriction (</w:t>
      </w:r>
      <w:r w:rsidRPr="005C13A0">
        <w:rPr>
          <w:rFonts w:ascii="Times New Roman" w:hAnsi="Times New Roman" w:cs="Times New Roman"/>
          <w:i/>
          <w:sz w:val="24"/>
          <w:szCs w:val="24"/>
        </w:rPr>
        <w:t>P</w:t>
      </w:r>
      <w:r w:rsidRPr="005C13A0">
        <w:rPr>
          <w:rFonts w:ascii="Times New Roman" w:hAnsi="Times New Roman" w:cs="Times New Roman"/>
          <w:sz w:val="24"/>
          <w:szCs w:val="24"/>
        </w:rPr>
        <w:t> &lt; 0.001).</w:t>
      </w:r>
      <w:bookmarkStart w:id="0" w:name="_GoBack"/>
      <w:bookmarkEnd w:id="0"/>
    </w:p>
    <w:p w:rsidR="00A4584D" w:rsidRPr="00A4584D" w:rsidRDefault="00A4584D">
      <w:pPr>
        <w:rPr>
          <w:lang w:val="en-US"/>
        </w:rPr>
      </w:pPr>
    </w:p>
    <w:sectPr w:rsidR="00A4584D" w:rsidRPr="00A458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sbQwMza1NDEyNzZX0lEKTi0uzszPAykwrAUATMxR9ywAAAA="/>
  </w:docVars>
  <w:rsids>
    <w:rsidRoot w:val="00A4584D"/>
    <w:rsid w:val="001602CC"/>
    <w:rsid w:val="001968BB"/>
    <w:rsid w:val="002F65A6"/>
    <w:rsid w:val="00306B83"/>
    <w:rsid w:val="00490E07"/>
    <w:rsid w:val="005C13A0"/>
    <w:rsid w:val="00643542"/>
    <w:rsid w:val="00731639"/>
    <w:rsid w:val="007E766A"/>
    <w:rsid w:val="009C6BBC"/>
    <w:rsid w:val="00A4584D"/>
    <w:rsid w:val="00BF618F"/>
    <w:rsid w:val="00C63257"/>
    <w:rsid w:val="00DA6524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31BD5-8BE8-4D73-830D-EB75FE05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A4584D"/>
    <w:pPr>
      <w:spacing w:after="20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A4584D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qclennfil1\Groups\PierreL\_PROJETS\RESTRICTION\DOSAGES\Copie%20de%20Copie%20de%20Graphe-Alimentation-Lai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qclennfil1\Groups\PierreL\_PROJETS\RESTRICTION\DOSAGES\Copie%20de%20Copie%20de%20Graphe-Alimentation-Lai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'Graphe-alimentation'!$A$2</c:f>
              <c:strCache>
                <c:ptCount val="1"/>
                <c:pt idx="0">
                  <c:v>Témoin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('Graphe-alimentation'!$C$2,'Graphe-alimentation'!$E$2,'Graphe-alimentation'!$G$2,'Graphe-alimentation'!$I$2,'Graphe-alimentation'!$K$2)</c:f>
                <c:numCache>
                  <c:formatCode>General</c:formatCode>
                  <c:ptCount val="5"/>
                  <c:pt idx="0">
                    <c:v>0.98550000000000004</c:v>
                  </c:pt>
                  <c:pt idx="1">
                    <c:v>0.98550000000000004</c:v>
                  </c:pt>
                  <c:pt idx="2">
                    <c:v>0.98550000000000004</c:v>
                  </c:pt>
                  <c:pt idx="3">
                    <c:v>0.98550000000000004</c:v>
                  </c:pt>
                  <c:pt idx="4">
                    <c:v>0.61</c:v>
                  </c:pt>
                </c:numCache>
              </c:numRef>
            </c:plus>
            <c:minus>
              <c:numRef>
                <c:f>('Graphe-alimentation'!$C$2,'Graphe-alimentation'!$E$2,'Graphe-alimentation'!$G$2,'Graphe-alimentation'!$I$2,'Graphe-alimentation'!$K$2)</c:f>
                <c:numCache>
                  <c:formatCode>General</c:formatCode>
                  <c:ptCount val="5"/>
                  <c:pt idx="0">
                    <c:v>0.98550000000000004</c:v>
                  </c:pt>
                  <c:pt idx="1">
                    <c:v>0.98550000000000004</c:v>
                  </c:pt>
                  <c:pt idx="2">
                    <c:v>0.98550000000000004</c:v>
                  </c:pt>
                  <c:pt idx="3">
                    <c:v>0.98550000000000004</c:v>
                  </c:pt>
                  <c:pt idx="4">
                    <c:v>0.61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('Graphe-alimentation'!$B$1,'Graphe-alimentation'!$D$1,'Graphe-alimentation'!$F$1,'Graphe-alimentation'!$H$1,'Graphe-alimentation'!$J$1)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('Graphe-alimentation'!$B$2,'Graphe-alimentation'!$D$2,'Graphe-alimentation'!$F$2,'Graphe-alimentation'!$H$2,'Graphe-alimentation'!$J$2)</c:f>
              <c:numCache>
                <c:formatCode>General</c:formatCode>
                <c:ptCount val="5"/>
                <c:pt idx="0">
                  <c:v>23.6967</c:v>
                </c:pt>
                <c:pt idx="1">
                  <c:v>24.5609</c:v>
                </c:pt>
                <c:pt idx="2">
                  <c:v>24.346</c:v>
                </c:pt>
                <c:pt idx="3">
                  <c:v>24.4237</c:v>
                </c:pt>
                <c:pt idx="4">
                  <c:v>17.36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AA-4B5D-919C-FA6ACFB60979}"/>
            </c:ext>
          </c:extLst>
        </c:ser>
        <c:ser>
          <c:idx val="1"/>
          <c:order val="1"/>
          <c:tx>
            <c:strRef>
              <c:f>'Graphe-alimentation'!$A$3</c:f>
              <c:strCache>
                <c:ptCount val="1"/>
                <c:pt idx="0">
                  <c:v>Vitamine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('Graphe-alimentation'!$C$3,'Graphe-alimentation'!$E$3,'Graphe-alimentation'!$G$3,'Graphe-alimentation'!$I$3,'Graphe-alimentation'!$K$3)</c:f>
                <c:numCache>
                  <c:formatCode>General</c:formatCode>
                  <c:ptCount val="5"/>
                  <c:pt idx="0">
                    <c:v>0.98550000000000004</c:v>
                  </c:pt>
                  <c:pt idx="1">
                    <c:v>0.98550000000000004</c:v>
                  </c:pt>
                  <c:pt idx="2">
                    <c:v>0.98550000000000004</c:v>
                  </c:pt>
                  <c:pt idx="3">
                    <c:v>0.98550000000000004</c:v>
                  </c:pt>
                  <c:pt idx="4">
                    <c:v>0.61</c:v>
                  </c:pt>
                </c:numCache>
              </c:numRef>
            </c:plus>
            <c:minus>
              <c:numRef>
                <c:f>('Graphe-alimentation'!$C$3,'Graphe-alimentation'!$E$3,'Graphe-alimentation'!$G$3,'Graphe-alimentation'!$I$3,'Graphe-alimentation'!$K$3)</c:f>
                <c:numCache>
                  <c:formatCode>General</c:formatCode>
                  <c:ptCount val="5"/>
                  <c:pt idx="0">
                    <c:v>0.98550000000000004</c:v>
                  </c:pt>
                  <c:pt idx="1">
                    <c:v>0.98550000000000004</c:v>
                  </c:pt>
                  <c:pt idx="2">
                    <c:v>0.98550000000000004</c:v>
                  </c:pt>
                  <c:pt idx="3">
                    <c:v>0.98550000000000004</c:v>
                  </c:pt>
                  <c:pt idx="4">
                    <c:v>0.61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('Graphe-alimentation'!$B$1,'Graphe-alimentation'!$D$1,'Graphe-alimentation'!$F$1,'Graphe-alimentation'!$H$1,'Graphe-alimentation'!$J$1)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('Graphe-alimentation'!$B$3,'Graphe-alimentation'!$D$3,'Graphe-alimentation'!$F$3,'Graphe-alimentation'!$H$3,'Graphe-alimentation'!$J$3)</c:f>
              <c:numCache>
                <c:formatCode>General</c:formatCode>
                <c:ptCount val="5"/>
                <c:pt idx="0">
                  <c:v>22.686399999999999</c:v>
                </c:pt>
                <c:pt idx="1">
                  <c:v>24.024000000000001</c:v>
                </c:pt>
                <c:pt idx="2">
                  <c:v>23.339500000000001</c:v>
                </c:pt>
                <c:pt idx="3">
                  <c:v>23.500699999999998</c:v>
                </c:pt>
                <c:pt idx="4">
                  <c:v>16.55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AA-4B5D-919C-FA6ACFB609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4699504"/>
        <c:axId val="684700160"/>
      </c:barChart>
      <c:catAx>
        <c:axId val="684699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700160"/>
        <c:crosses val="autoZero"/>
        <c:auto val="1"/>
        <c:lblAlgn val="ctr"/>
        <c:lblOffset val="100"/>
        <c:noMultiLvlLbl val="0"/>
      </c:catAx>
      <c:valAx>
        <c:axId val="684700160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DMI (Kg / day)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69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'Graphe-body weight'!$A$2</c:f>
              <c:strCache>
                <c:ptCount val="1"/>
                <c:pt idx="0">
                  <c:v>Témoin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('Graphe-body weight'!$C$2,'Graphe-body weight'!$E$2,'Graphe-body weight'!$G$2,'Graphe-body weight'!$I$2,'Graphe-body weight'!$K$2)</c:f>
                <c:numCache>
                  <c:formatCode>General</c:formatCode>
                  <c:ptCount val="5"/>
                  <c:pt idx="0">
                    <c:v>22.047899999999998</c:v>
                  </c:pt>
                  <c:pt idx="1">
                    <c:v>23.5749</c:v>
                  </c:pt>
                  <c:pt idx="2">
                    <c:v>20.729399999999998</c:v>
                  </c:pt>
                  <c:pt idx="3">
                    <c:v>23.662199999999999</c:v>
                  </c:pt>
                  <c:pt idx="4">
                    <c:v>21.78</c:v>
                  </c:pt>
                </c:numCache>
              </c:numRef>
            </c:plus>
            <c:minus>
              <c:numRef>
                <c:f>('Graphe-body weight'!$C$3,'Graphe-body weight'!$E$3,'Graphe-body weight'!$G$3,'Graphe-body weight'!$I$3,'Graphe-body weight'!$K$3)</c:f>
                <c:numCache>
                  <c:formatCode>General</c:formatCode>
                  <c:ptCount val="5"/>
                  <c:pt idx="0">
                    <c:v>22.047899999999998</c:v>
                  </c:pt>
                  <c:pt idx="1">
                    <c:v>23.5749</c:v>
                  </c:pt>
                  <c:pt idx="2">
                    <c:v>20.729399999999998</c:v>
                  </c:pt>
                  <c:pt idx="3">
                    <c:v>23.662199999999999</c:v>
                  </c:pt>
                  <c:pt idx="4">
                    <c:v>21.78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('Graphe-body weight'!$B$1,'Graphe-body weight'!$D$1,'Graphe-body weight'!$F$1,'Graphe-body weight'!$H$1,'Graphe-body weight'!$J$1)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('Graphe-body weight'!$B$2,'Graphe-body weight'!$D$2,'Graphe-body weight'!$F$2,'Graphe-body weight'!$H$2,'Graphe-body weight'!$J$2)</c:f>
              <c:numCache>
                <c:formatCode>General</c:formatCode>
                <c:ptCount val="5"/>
                <c:pt idx="0">
                  <c:v>691.69</c:v>
                </c:pt>
                <c:pt idx="1">
                  <c:v>697.5</c:v>
                </c:pt>
                <c:pt idx="2">
                  <c:v>696.62</c:v>
                </c:pt>
                <c:pt idx="3">
                  <c:v>703</c:v>
                </c:pt>
                <c:pt idx="4">
                  <c:v>682.62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F5-48F4-B721-C45065DA0229}"/>
            </c:ext>
          </c:extLst>
        </c:ser>
        <c:ser>
          <c:idx val="1"/>
          <c:order val="1"/>
          <c:tx>
            <c:strRef>
              <c:f>'Graphe-body weight'!$A$3</c:f>
              <c:strCache>
                <c:ptCount val="1"/>
                <c:pt idx="0">
                  <c:v>Vitamine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('Graphe-body weight'!$C$3,'Graphe-body weight'!$E$3,'Graphe-body weight'!$G$3,'Graphe-body weight'!$I$3,'Graphe-body weight'!$K$3)</c:f>
                <c:numCache>
                  <c:formatCode>General</c:formatCode>
                  <c:ptCount val="5"/>
                  <c:pt idx="0">
                    <c:v>22.047899999999998</c:v>
                  </c:pt>
                  <c:pt idx="1">
                    <c:v>23.5749</c:v>
                  </c:pt>
                  <c:pt idx="2">
                    <c:v>20.729399999999998</c:v>
                  </c:pt>
                  <c:pt idx="3">
                    <c:v>23.662199999999999</c:v>
                  </c:pt>
                  <c:pt idx="4">
                    <c:v>21.78</c:v>
                  </c:pt>
                </c:numCache>
              </c:numRef>
            </c:plus>
            <c:minus>
              <c:numRef>
                <c:f>('Graphe-body weight'!$C$3,'Graphe-body weight'!$E$3,'Graphe-body weight'!$G$3,'Graphe-body weight'!$I$3,'Graphe-body weight'!$K$3)</c:f>
                <c:numCache>
                  <c:formatCode>General</c:formatCode>
                  <c:ptCount val="5"/>
                  <c:pt idx="0">
                    <c:v>22.047899999999998</c:v>
                  </c:pt>
                  <c:pt idx="1">
                    <c:v>23.5749</c:v>
                  </c:pt>
                  <c:pt idx="2">
                    <c:v>20.729399999999998</c:v>
                  </c:pt>
                  <c:pt idx="3">
                    <c:v>23.662199999999999</c:v>
                  </c:pt>
                  <c:pt idx="4">
                    <c:v>21.78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('Graphe-body weight'!$B$1,'Graphe-body weight'!$D$1,'Graphe-body weight'!$F$1,'Graphe-body weight'!$H$1,'Graphe-body weight'!$J$1)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('Graphe-body weight'!$B$3,'Graphe-body weight'!$D$3,'Graphe-body weight'!$F$3,'Graphe-body weight'!$H$3,'Graphe-body weight'!$J$3)</c:f>
              <c:numCache>
                <c:formatCode>General</c:formatCode>
                <c:ptCount val="5"/>
                <c:pt idx="0">
                  <c:v>654.62</c:v>
                </c:pt>
                <c:pt idx="1">
                  <c:v>647.12</c:v>
                </c:pt>
                <c:pt idx="2">
                  <c:v>661.75</c:v>
                </c:pt>
                <c:pt idx="3">
                  <c:v>662.87</c:v>
                </c:pt>
                <c:pt idx="4">
                  <c:v>647.75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F5-48F4-B721-C45065DA02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4699504"/>
        <c:axId val="684700160"/>
      </c:barChart>
      <c:catAx>
        <c:axId val="684699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700160"/>
        <c:crosses val="autoZero"/>
        <c:auto val="1"/>
        <c:lblAlgn val="ctr"/>
        <c:lblOffset val="100"/>
        <c:noMultiLvlLbl val="0"/>
      </c:catAx>
      <c:valAx>
        <c:axId val="684700160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Body weight (Kg)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69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Vanacker, Noémie</dc:creator>
  <cp:keywords/>
  <dc:description/>
  <cp:lastModifiedBy>ANM</cp:lastModifiedBy>
  <cp:revision>3</cp:revision>
  <dcterms:created xsi:type="dcterms:W3CDTF">2019-07-23T10:05:00Z</dcterms:created>
  <dcterms:modified xsi:type="dcterms:W3CDTF">2019-07-23T10:05:00Z</dcterms:modified>
</cp:coreProperties>
</file>