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17" w:rsidRPr="00EB1B70" w:rsidRDefault="00902D17" w:rsidP="00902D17">
      <w:pPr>
        <w:spacing w:line="480" w:lineRule="auto"/>
        <w:rPr>
          <w:rFonts w:ascii="Arial" w:hAnsi="Arial" w:cs="Arial"/>
          <w:bCs/>
          <w:iCs/>
          <w:lang w:val="en-GB"/>
        </w:rPr>
      </w:pPr>
      <w:r w:rsidRPr="00EB1B70">
        <w:rPr>
          <w:rFonts w:ascii="Arial" w:hAnsi="Arial" w:cs="Arial"/>
          <w:b/>
          <w:bCs/>
          <w:iCs/>
          <w:lang w:val="en-GB"/>
        </w:rPr>
        <w:t>Supplementary Table S1</w:t>
      </w:r>
      <w:r w:rsidRPr="00EB1B70">
        <w:rPr>
          <w:rFonts w:ascii="Arial" w:hAnsi="Arial" w:cs="Arial"/>
          <w:bCs/>
          <w:iCs/>
          <w:lang w:val="en-GB"/>
        </w:rPr>
        <w:t>. Top five GO terms of biological processes using cut-off of 1% for each method of selection signatures</w:t>
      </w:r>
      <w:r w:rsidR="00EB1B70" w:rsidRPr="00EB1B70">
        <w:rPr>
          <w:rFonts w:ascii="Arial" w:hAnsi="Arial" w:cs="Arial"/>
          <w:bCs/>
          <w:iCs/>
          <w:lang w:val="en-GB"/>
        </w:rPr>
        <w:t xml:space="preserve"> in rabbits</w:t>
      </w:r>
      <w:r w:rsidRPr="00EB1B70">
        <w:rPr>
          <w:rFonts w:ascii="Arial" w:hAnsi="Arial" w:cs="Arial"/>
          <w:bCs/>
          <w:iCs/>
          <w:lang w:val="en-GB"/>
        </w:rPr>
        <w:t>.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559"/>
        <w:gridCol w:w="1281"/>
        <w:gridCol w:w="1271"/>
        <w:gridCol w:w="1275"/>
        <w:gridCol w:w="4258"/>
      </w:tblGrid>
      <w:tr w:rsidR="00902D17" w:rsidRPr="00EB1B70" w:rsidTr="00877ED7">
        <w:trPr>
          <w:trHeight w:val="408"/>
          <w:jc w:val="center"/>
        </w:trPr>
        <w:tc>
          <w:tcPr>
            <w:tcW w:w="4815" w:type="dxa"/>
            <w:tcBorders>
              <w:left w:val="nil"/>
              <w:right w:val="nil"/>
            </w:tcBorders>
            <w:shd w:val="clear" w:color="auto" w:fill="F2F2F2"/>
            <w:vAlign w:val="center"/>
            <w:hideMark/>
          </w:tcPr>
          <w:p w:rsidR="00902D17" w:rsidRPr="00EB1B70" w:rsidRDefault="00902D17" w:rsidP="006E2F3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</w:pPr>
            <w:bookmarkStart w:id="0" w:name="OLE_LINK1"/>
            <w:r w:rsidRPr="00EB1B70"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  <w:t>Method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2F2F2"/>
            <w:vAlign w:val="center"/>
            <w:hideMark/>
          </w:tcPr>
          <w:p w:rsidR="00902D17" w:rsidRPr="00EB1B70" w:rsidRDefault="00902D17" w:rsidP="006E2F3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B1B70">
              <w:rPr>
                <w:rFonts w:ascii="Arial" w:hAnsi="Arial" w:cs="Arial"/>
                <w:bCs/>
                <w:iCs/>
                <w:lang w:val="en-GB"/>
              </w:rPr>
              <w:t>XP-CLR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02D17" w:rsidRPr="00EB1B70" w:rsidRDefault="00902D17" w:rsidP="006E2F3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27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02D17" w:rsidRPr="00EB1B70" w:rsidRDefault="00902D17" w:rsidP="006E2F33">
            <w:pPr>
              <w:spacing w:line="240" w:lineRule="auto"/>
              <w:rPr>
                <w:rFonts w:ascii="Arial" w:eastAsia="Times New Roman" w:hAnsi="Arial" w:cs="Arial"/>
                <w:color w:val="auto"/>
                <w:lang w:val="en-GB" w:eastAsia="es-ES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02D17" w:rsidRPr="00EB1B70" w:rsidRDefault="00902D17" w:rsidP="006E2F33">
            <w:pPr>
              <w:spacing w:line="240" w:lineRule="auto"/>
              <w:rPr>
                <w:rFonts w:ascii="Arial" w:eastAsia="Times New Roman" w:hAnsi="Arial" w:cs="Arial"/>
                <w:color w:val="auto"/>
                <w:lang w:val="en-GB" w:eastAsia="es-ES"/>
              </w:rPr>
            </w:pPr>
          </w:p>
        </w:tc>
        <w:tc>
          <w:tcPr>
            <w:tcW w:w="425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02D17" w:rsidRPr="00EB1B70" w:rsidRDefault="00902D17" w:rsidP="006E2F33">
            <w:pPr>
              <w:spacing w:line="240" w:lineRule="auto"/>
              <w:rPr>
                <w:rFonts w:ascii="Arial" w:eastAsia="Times New Roman" w:hAnsi="Arial" w:cs="Arial"/>
                <w:color w:val="auto"/>
                <w:lang w:val="en-GB" w:eastAsia="es-ES"/>
              </w:rPr>
            </w:pPr>
          </w:p>
        </w:tc>
      </w:tr>
      <w:tr w:rsidR="00902D17" w:rsidRPr="00EB1B70" w:rsidTr="00877ED7">
        <w:trPr>
          <w:trHeight w:val="329"/>
          <w:jc w:val="center"/>
        </w:trPr>
        <w:tc>
          <w:tcPr>
            <w:tcW w:w="4815" w:type="dxa"/>
            <w:tcBorders>
              <w:left w:val="nil"/>
              <w:right w:val="nil"/>
            </w:tcBorders>
            <w:shd w:val="clear" w:color="auto" w:fill="F2F2F2"/>
            <w:vAlign w:val="center"/>
            <w:hideMark/>
          </w:tcPr>
          <w:p w:rsidR="00902D17" w:rsidRPr="00EB1B70" w:rsidRDefault="00902D17" w:rsidP="006E2F3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</w:pPr>
            <w:r w:rsidRPr="00EB1B70"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  <w:t>Genes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2F2F2"/>
            <w:vAlign w:val="center"/>
            <w:hideMark/>
          </w:tcPr>
          <w:p w:rsidR="00902D17" w:rsidRPr="00EB1B70" w:rsidRDefault="00905B23" w:rsidP="006E2F3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B1B70">
              <w:rPr>
                <w:rFonts w:ascii="Arial" w:eastAsia="Times New Roman" w:hAnsi="Arial" w:cs="Arial"/>
                <w:color w:val="000000"/>
                <w:lang w:val="en-GB" w:eastAsia="es-ES"/>
              </w:rPr>
              <w:t>579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02D17" w:rsidRPr="00EB1B70" w:rsidRDefault="00902D17" w:rsidP="006E2F3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27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02D17" w:rsidRPr="00EB1B70" w:rsidRDefault="00902D17" w:rsidP="006E2F33">
            <w:pPr>
              <w:spacing w:line="240" w:lineRule="auto"/>
              <w:rPr>
                <w:rFonts w:ascii="Arial" w:eastAsia="Times New Roman" w:hAnsi="Arial" w:cs="Arial"/>
                <w:color w:val="auto"/>
                <w:lang w:val="en-GB" w:eastAsia="es-ES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02D17" w:rsidRPr="00EB1B70" w:rsidRDefault="00902D17" w:rsidP="006E2F33">
            <w:pPr>
              <w:spacing w:line="240" w:lineRule="auto"/>
              <w:rPr>
                <w:rFonts w:ascii="Arial" w:eastAsia="Times New Roman" w:hAnsi="Arial" w:cs="Arial"/>
                <w:color w:val="auto"/>
                <w:lang w:val="en-GB" w:eastAsia="es-ES"/>
              </w:rPr>
            </w:pPr>
          </w:p>
        </w:tc>
        <w:tc>
          <w:tcPr>
            <w:tcW w:w="425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02D17" w:rsidRPr="00EB1B70" w:rsidRDefault="00902D17" w:rsidP="006E2F33">
            <w:pPr>
              <w:spacing w:line="240" w:lineRule="auto"/>
              <w:rPr>
                <w:rFonts w:ascii="Arial" w:eastAsia="Times New Roman" w:hAnsi="Arial" w:cs="Arial"/>
                <w:color w:val="auto"/>
                <w:lang w:val="en-GB" w:eastAsia="es-ES"/>
              </w:rPr>
            </w:pPr>
          </w:p>
        </w:tc>
      </w:tr>
      <w:tr w:rsidR="00902D17" w:rsidRPr="00EB1B70" w:rsidTr="00877ED7">
        <w:trPr>
          <w:trHeight w:val="482"/>
          <w:jc w:val="center"/>
        </w:trPr>
        <w:tc>
          <w:tcPr>
            <w:tcW w:w="48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D17" w:rsidRPr="00EB1B70" w:rsidRDefault="00902D17" w:rsidP="006E2F3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</w:pPr>
            <w:r w:rsidRPr="00EB1B70"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  <w:t>Name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D17" w:rsidRPr="00EB1B70" w:rsidRDefault="00902D17" w:rsidP="006E2F3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</w:pPr>
            <w:r w:rsidRPr="00EB1B70"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  <w:t>GO term</w:t>
            </w:r>
          </w:p>
        </w:tc>
        <w:tc>
          <w:tcPr>
            <w:tcW w:w="12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D17" w:rsidRPr="00EB1B70" w:rsidRDefault="00902D17" w:rsidP="006E2F3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</w:pPr>
            <w:r w:rsidRPr="00EB1B70"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  <w:t>P-value</w:t>
            </w: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D17" w:rsidRPr="00EB1B70" w:rsidRDefault="00905B23" w:rsidP="006E2F3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</w:pPr>
            <w:r w:rsidRPr="00EB1B70"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  <w:t>Odds ratio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D17" w:rsidRPr="00EB1B70" w:rsidRDefault="00902D17" w:rsidP="006E2F3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</w:pPr>
            <w:r w:rsidRPr="00EB1B70"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  <w:t>Combined Score</w:t>
            </w:r>
          </w:p>
        </w:tc>
        <w:tc>
          <w:tcPr>
            <w:tcW w:w="4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D17" w:rsidRPr="00EB1B70" w:rsidRDefault="00902D17" w:rsidP="006E2F3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</w:pPr>
            <w:r w:rsidRPr="00EB1B70"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  <w:t>Genes</w:t>
            </w:r>
          </w:p>
        </w:tc>
      </w:tr>
      <w:tr w:rsidR="00905B23" w:rsidRPr="00EB1B70" w:rsidTr="00877ED7">
        <w:trPr>
          <w:trHeight w:val="482"/>
          <w:jc w:val="center"/>
        </w:trPr>
        <w:tc>
          <w:tcPr>
            <w:tcW w:w="481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23" w:rsidRPr="00EB1B70" w:rsidRDefault="00905B23" w:rsidP="00905B23">
            <w:pPr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ribosomal small subunit export from nucleus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23" w:rsidRPr="00EB1B70" w:rsidRDefault="00905B23" w:rsidP="00905B23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GO:0000056</w:t>
            </w: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23" w:rsidRPr="00EB1B70" w:rsidRDefault="00905B23" w:rsidP="00905B23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6.74E-03</w:t>
            </w:r>
          </w:p>
        </w:tc>
        <w:tc>
          <w:tcPr>
            <w:tcW w:w="127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23" w:rsidRPr="00EB1B70" w:rsidRDefault="00905B23" w:rsidP="00905B23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15.26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23" w:rsidRPr="00EB1B70" w:rsidRDefault="00905B23" w:rsidP="00905B23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76.27</w:t>
            </w:r>
          </w:p>
        </w:tc>
        <w:tc>
          <w:tcPr>
            <w:tcW w:w="425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23" w:rsidRPr="00EB1B70" w:rsidRDefault="00905B23" w:rsidP="00905B23">
            <w:pPr>
              <w:rPr>
                <w:rFonts w:ascii="Arial" w:hAnsi="Arial" w:cs="Arial"/>
                <w:i/>
                <w:lang w:val="en-GB"/>
              </w:rPr>
            </w:pPr>
            <w:r w:rsidRPr="00EB1B70">
              <w:rPr>
                <w:rFonts w:ascii="Arial" w:hAnsi="Arial" w:cs="Arial"/>
                <w:i/>
                <w:lang w:val="en-GB"/>
              </w:rPr>
              <w:t>LTV1;</w:t>
            </w:r>
            <w:r w:rsidR="00D37126" w:rsidRPr="00EB1B70">
              <w:rPr>
                <w:rFonts w:ascii="Arial" w:hAnsi="Arial" w:cs="Arial"/>
                <w:i/>
                <w:lang w:val="en-GB"/>
              </w:rPr>
              <w:t xml:space="preserve"> </w:t>
            </w:r>
            <w:r w:rsidRPr="00EB1B70">
              <w:rPr>
                <w:rFonts w:ascii="Arial" w:hAnsi="Arial" w:cs="Arial"/>
                <w:i/>
                <w:lang w:val="en-GB"/>
              </w:rPr>
              <w:t>RPS15</w:t>
            </w:r>
          </w:p>
        </w:tc>
      </w:tr>
      <w:tr w:rsidR="00905B23" w:rsidRPr="00EB1B70" w:rsidTr="00877ED7">
        <w:trPr>
          <w:trHeight w:val="482"/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23" w:rsidRPr="00EB1B70" w:rsidRDefault="00905B23" w:rsidP="00905B23">
            <w:pPr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ventricular compact myocardium morphogenesis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23" w:rsidRPr="00EB1B70" w:rsidRDefault="00905B23" w:rsidP="00905B23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GO:0003223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23" w:rsidRPr="00EB1B70" w:rsidRDefault="00905B23" w:rsidP="00905B23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6.74E-03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23" w:rsidRPr="00EB1B70" w:rsidRDefault="00905B23" w:rsidP="00905B23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15.26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23" w:rsidRPr="00EB1B70" w:rsidRDefault="00905B23" w:rsidP="00905B23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76.27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23" w:rsidRPr="00EB1B70" w:rsidRDefault="00905B23" w:rsidP="00905B23">
            <w:pPr>
              <w:rPr>
                <w:rFonts w:ascii="Arial" w:hAnsi="Arial" w:cs="Arial"/>
                <w:i/>
                <w:lang w:val="en-GB"/>
              </w:rPr>
            </w:pPr>
            <w:r w:rsidRPr="00EB1B70">
              <w:rPr>
                <w:rFonts w:ascii="Arial" w:hAnsi="Arial" w:cs="Arial"/>
                <w:i/>
                <w:lang w:val="en-GB"/>
              </w:rPr>
              <w:t>DSP;</w:t>
            </w:r>
            <w:r w:rsidR="00D37126" w:rsidRPr="00EB1B70">
              <w:rPr>
                <w:rFonts w:ascii="Arial" w:hAnsi="Arial" w:cs="Arial"/>
                <w:i/>
                <w:lang w:val="en-GB"/>
              </w:rPr>
              <w:t xml:space="preserve"> </w:t>
            </w:r>
            <w:r w:rsidRPr="00EB1B70">
              <w:rPr>
                <w:rFonts w:ascii="Arial" w:hAnsi="Arial" w:cs="Arial"/>
                <w:i/>
                <w:lang w:val="en-GB"/>
              </w:rPr>
              <w:t>BMPR1A</w:t>
            </w:r>
          </w:p>
        </w:tc>
      </w:tr>
      <w:tr w:rsidR="00905B23" w:rsidRPr="00EB1B70" w:rsidTr="00877ED7">
        <w:trPr>
          <w:trHeight w:val="482"/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23" w:rsidRPr="00EB1B70" w:rsidRDefault="00905B23" w:rsidP="00905B23">
            <w:pPr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regulation of anion channel activity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23" w:rsidRPr="00EB1B70" w:rsidRDefault="00905B23" w:rsidP="00905B23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GO:0010359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23" w:rsidRPr="00EB1B70" w:rsidRDefault="00905B23" w:rsidP="00905B23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6.74E-03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23" w:rsidRPr="00EB1B70" w:rsidRDefault="00905B23" w:rsidP="00905B23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15.26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23" w:rsidRPr="00EB1B70" w:rsidRDefault="00905B23" w:rsidP="00905B23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76.27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23" w:rsidRPr="00EB1B70" w:rsidRDefault="00905B23" w:rsidP="00905B23">
            <w:pPr>
              <w:rPr>
                <w:rFonts w:ascii="Arial" w:hAnsi="Arial" w:cs="Arial"/>
                <w:i/>
                <w:lang w:val="en-GB"/>
              </w:rPr>
            </w:pPr>
            <w:r w:rsidRPr="00EB1B70">
              <w:rPr>
                <w:rFonts w:ascii="Arial" w:hAnsi="Arial" w:cs="Arial"/>
                <w:i/>
                <w:lang w:val="en-GB"/>
              </w:rPr>
              <w:t>TCAF2;</w:t>
            </w:r>
            <w:r w:rsidR="00D37126" w:rsidRPr="00EB1B70">
              <w:rPr>
                <w:rFonts w:ascii="Arial" w:hAnsi="Arial" w:cs="Arial"/>
                <w:i/>
                <w:lang w:val="en-GB"/>
              </w:rPr>
              <w:t xml:space="preserve"> </w:t>
            </w:r>
            <w:r w:rsidRPr="00EB1B70">
              <w:rPr>
                <w:rFonts w:ascii="Arial" w:hAnsi="Arial" w:cs="Arial"/>
                <w:i/>
                <w:lang w:val="en-GB"/>
              </w:rPr>
              <w:t>TCAF1</w:t>
            </w:r>
          </w:p>
        </w:tc>
      </w:tr>
      <w:tr w:rsidR="00905B23" w:rsidRPr="00EB1B70" w:rsidTr="00877ED7">
        <w:trPr>
          <w:trHeight w:val="482"/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23" w:rsidRPr="00EB1B70" w:rsidRDefault="00905B23" w:rsidP="00905B23">
            <w:pPr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maintenance of protein location in extracellular region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23" w:rsidRPr="00EB1B70" w:rsidRDefault="00905B23" w:rsidP="00905B23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GO:0071694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23" w:rsidRPr="00EB1B70" w:rsidRDefault="00905B23" w:rsidP="00905B23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6.74E-03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23" w:rsidRPr="00EB1B70" w:rsidRDefault="00905B23" w:rsidP="00905B23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15.26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23" w:rsidRPr="00EB1B70" w:rsidRDefault="00905B23" w:rsidP="00905B23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76.27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23" w:rsidRPr="00EB1B70" w:rsidRDefault="00905B23" w:rsidP="00905B23">
            <w:pPr>
              <w:rPr>
                <w:rFonts w:ascii="Arial" w:hAnsi="Arial" w:cs="Arial"/>
                <w:i/>
                <w:lang w:val="en-GB"/>
              </w:rPr>
            </w:pPr>
            <w:r w:rsidRPr="00EB1B70">
              <w:rPr>
                <w:rFonts w:ascii="Arial" w:hAnsi="Arial" w:cs="Arial"/>
                <w:i/>
                <w:lang w:val="en-GB"/>
              </w:rPr>
              <w:t>FBN2;</w:t>
            </w:r>
            <w:r w:rsidR="00D37126" w:rsidRPr="00EB1B70">
              <w:rPr>
                <w:rFonts w:ascii="Arial" w:hAnsi="Arial" w:cs="Arial"/>
                <w:i/>
                <w:lang w:val="en-GB"/>
              </w:rPr>
              <w:t xml:space="preserve"> </w:t>
            </w:r>
            <w:r w:rsidRPr="00EB1B70">
              <w:rPr>
                <w:rFonts w:ascii="Arial" w:hAnsi="Arial" w:cs="Arial"/>
                <w:i/>
                <w:lang w:val="en-GB"/>
              </w:rPr>
              <w:t>NBL1</w:t>
            </w:r>
          </w:p>
        </w:tc>
      </w:tr>
      <w:tr w:rsidR="00905B23" w:rsidRPr="00EB1B70" w:rsidTr="00877ED7">
        <w:trPr>
          <w:trHeight w:val="482"/>
          <w:jc w:val="center"/>
        </w:trPr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B23" w:rsidRPr="00EB1B70" w:rsidRDefault="00905B23" w:rsidP="00905B23">
            <w:pPr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glutamate catabolic process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B23" w:rsidRPr="00EB1B70" w:rsidRDefault="00905B23" w:rsidP="00905B23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GO:0006538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B23" w:rsidRPr="00EB1B70" w:rsidRDefault="00905B23" w:rsidP="00905B23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6.74E-03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B23" w:rsidRPr="00EB1B70" w:rsidRDefault="00905B23" w:rsidP="00905B23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15.26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B23" w:rsidRPr="00EB1B70" w:rsidRDefault="00905B23" w:rsidP="00905B23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76.27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B23" w:rsidRPr="00EB1B70" w:rsidRDefault="00905B23" w:rsidP="00905B23">
            <w:pPr>
              <w:rPr>
                <w:rFonts w:ascii="Arial" w:hAnsi="Arial" w:cs="Arial"/>
                <w:i/>
                <w:lang w:val="en-GB"/>
              </w:rPr>
            </w:pPr>
            <w:r w:rsidRPr="00EB1B70">
              <w:rPr>
                <w:rFonts w:ascii="Arial" w:hAnsi="Arial" w:cs="Arial"/>
                <w:i/>
                <w:lang w:val="en-GB"/>
              </w:rPr>
              <w:t>GLUD1;</w:t>
            </w:r>
            <w:r w:rsidR="00D37126" w:rsidRPr="00EB1B70">
              <w:rPr>
                <w:rFonts w:ascii="Arial" w:hAnsi="Arial" w:cs="Arial"/>
                <w:i/>
                <w:lang w:val="en-GB"/>
              </w:rPr>
              <w:t xml:space="preserve"> </w:t>
            </w:r>
            <w:r w:rsidRPr="00EB1B70">
              <w:rPr>
                <w:rFonts w:ascii="Arial" w:hAnsi="Arial" w:cs="Arial"/>
                <w:i/>
                <w:lang w:val="en-GB"/>
              </w:rPr>
              <w:t>GLUD2</w:t>
            </w:r>
          </w:p>
        </w:tc>
      </w:tr>
      <w:tr w:rsidR="00902D17" w:rsidRPr="00EB1B70" w:rsidTr="00877ED7">
        <w:trPr>
          <w:trHeight w:val="405"/>
          <w:jc w:val="center"/>
        </w:trPr>
        <w:tc>
          <w:tcPr>
            <w:tcW w:w="4815" w:type="dxa"/>
            <w:tcBorders>
              <w:left w:val="nil"/>
              <w:right w:val="nil"/>
            </w:tcBorders>
            <w:shd w:val="clear" w:color="auto" w:fill="F2F2F2"/>
            <w:vAlign w:val="center"/>
            <w:hideMark/>
          </w:tcPr>
          <w:p w:rsidR="00902D17" w:rsidRPr="00EB1B70" w:rsidRDefault="00902D17" w:rsidP="006E2F3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</w:pPr>
            <w:r w:rsidRPr="00EB1B70"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  <w:t>Method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2F2F2"/>
            <w:vAlign w:val="center"/>
            <w:hideMark/>
          </w:tcPr>
          <w:p w:rsidR="00902D17" w:rsidRPr="00EB1B70" w:rsidRDefault="00902D17" w:rsidP="006E2F3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B1B70">
              <w:rPr>
                <w:rFonts w:ascii="Arial" w:hAnsi="Arial" w:cs="Arial"/>
                <w:bCs/>
                <w:iCs/>
                <w:lang w:val="en-GB"/>
              </w:rPr>
              <w:t>XP-EHH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02D17" w:rsidRPr="00EB1B70" w:rsidRDefault="00902D17" w:rsidP="006E2F3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27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02D17" w:rsidRPr="00EB1B70" w:rsidRDefault="00902D17" w:rsidP="006E2F33">
            <w:pPr>
              <w:spacing w:line="240" w:lineRule="auto"/>
              <w:rPr>
                <w:rFonts w:ascii="Arial" w:eastAsia="Times New Roman" w:hAnsi="Arial" w:cs="Arial"/>
                <w:color w:val="auto"/>
                <w:lang w:val="en-GB" w:eastAsia="es-ES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02D17" w:rsidRPr="00EB1B70" w:rsidRDefault="00902D17" w:rsidP="006E2F33">
            <w:pPr>
              <w:spacing w:line="240" w:lineRule="auto"/>
              <w:rPr>
                <w:rFonts w:ascii="Arial" w:eastAsia="Times New Roman" w:hAnsi="Arial" w:cs="Arial"/>
                <w:color w:val="auto"/>
                <w:lang w:val="en-GB" w:eastAsia="es-ES"/>
              </w:rPr>
            </w:pPr>
          </w:p>
        </w:tc>
        <w:tc>
          <w:tcPr>
            <w:tcW w:w="425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02D17" w:rsidRPr="00EB1B70" w:rsidRDefault="00902D17" w:rsidP="006E2F33">
            <w:pPr>
              <w:spacing w:line="240" w:lineRule="auto"/>
              <w:rPr>
                <w:rFonts w:ascii="Arial" w:eastAsia="Times New Roman" w:hAnsi="Arial" w:cs="Arial"/>
                <w:color w:val="auto"/>
                <w:lang w:val="en-GB" w:eastAsia="es-ES"/>
              </w:rPr>
            </w:pPr>
          </w:p>
        </w:tc>
      </w:tr>
      <w:tr w:rsidR="00902D17" w:rsidRPr="00EB1B70" w:rsidTr="00877ED7">
        <w:trPr>
          <w:trHeight w:val="425"/>
          <w:jc w:val="center"/>
        </w:trPr>
        <w:tc>
          <w:tcPr>
            <w:tcW w:w="4815" w:type="dxa"/>
            <w:tcBorders>
              <w:left w:val="nil"/>
              <w:right w:val="nil"/>
            </w:tcBorders>
            <w:shd w:val="clear" w:color="auto" w:fill="F2F2F2"/>
            <w:vAlign w:val="center"/>
            <w:hideMark/>
          </w:tcPr>
          <w:p w:rsidR="00902D17" w:rsidRPr="00EB1B70" w:rsidRDefault="00902D17" w:rsidP="006E2F3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</w:pPr>
            <w:r w:rsidRPr="00EB1B70">
              <w:rPr>
                <w:rFonts w:ascii="Arial" w:hAnsi="Arial" w:cs="Arial"/>
                <w:b/>
                <w:lang w:val="en-GB"/>
              </w:rPr>
              <w:t>Genes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2F2F2"/>
            <w:vAlign w:val="center"/>
            <w:hideMark/>
          </w:tcPr>
          <w:p w:rsidR="00902D17" w:rsidRPr="00EB1B70" w:rsidRDefault="00D37126" w:rsidP="006E2F3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B1B70">
              <w:rPr>
                <w:rFonts w:ascii="Arial" w:hAnsi="Arial" w:cs="Arial"/>
                <w:lang w:val="en-GB"/>
              </w:rPr>
              <w:t>443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02D17" w:rsidRPr="00EB1B70" w:rsidRDefault="00902D17" w:rsidP="006E2F3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27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02D17" w:rsidRPr="00EB1B70" w:rsidRDefault="00902D17" w:rsidP="006E2F33">
            <w:pPr>
              <w:spacing w:line="240" w:lineRule="auto"/>
              <w:rPr>
                <w:rFonts w:ascii="Arial" w:eastAsia="Times New Roman" w:hAnsi="Arial" w:cs="Arial"/>
                <w:color w:val="auto"/>
                <w:lang w:val="en-GB" w:eastAsia="es-ES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02D17" w:rsidRPr="00EB1B70" w:rsidRDefault="00902D17" w:rsidP="006E2F33">
            <w:pPr>
              <w:spacing w:line="240" w:lineRule="auto"/>
              <w:rPr>
                <w:rFonts w:ascii="Arial" w:eastAsia="Times New Roman" w:hAnsi="Arial" w:cs="Arial"/>
                <w:color w:val="auto"/>
                <w:lang w:val="en-GB" w:eastAsia="es-ES"/>
              </w:rPr>
            </w:pPr>
          </w:p>
        </w:tc>
        <w:tc>
          <w:tcPr>
            <w:tcW w:w="425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02D17" w:rsidRPr="00EB1B70" w:rsidRDefault="00902D17" w:rsidP="006E2F33">
            <w:pPr>
              <w:spacing w:line="240" w:lineRule="auto"/>
              <w:rPr>
                <w:rFonts w:ascii="Arial" w:eastAsia="Times New Roman" w:hAnsi="Arial" w:cs="Arial"/>
                <w:color w:val="auto"/>
                <w:lang w:val="en-GB" w:eastAsia="es-ES"/>
              </w:rPr>
            </w:pPr>
          </w:p>
        </w:tc>
      </w:tr>
      <w:tr w:rsidR="00D37126" w:rsidRPr="00EB1B70" w:rsidTr="00877ED7">
        <w:trPr>
          <w:trHeight w:val="482"/>
          <w:jc w:val="center"/>
        </w:trPr>
        <w:tc>
          <w:tcPr>
            <w:tcW w:w="48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D3712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</w:pPr>
            <w:r w:rsidRPr="00EB1B70">
              <w:rPr>
                <w:rFonts w:ascii="Arial" w:hAnsi="Arial" w:cs="Arial"/>
                <w:b/>
                <w:lang w:val="en-GB"/>
              </w:rPr>
              <w:t>Name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D3712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</w:pPr>
            <w:r w:rsidRPr="00EB1B70">
              <w:rPr>
                <w:rFonts w:ascii="Arial" w:hAnsi="Arial" w:cs="Arial"/>
                <w:b/>
                <w:lang w:val="en-GB"/>
              </w:rPr>
              <w:t>GO term</w:t>
            </w:r>
          </w:p>
        </w:tc>
        <w:tc>
          <w:tcPr>
            <w:tcW w:w="12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D3712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</w:pPr>
            <w:r w:rsidRPr="00EB1B70">
              <w:rPr>
                <w:rFonts w:ascii="Arial" w:hAnsi="Arial" w:cs="Arial"/>
                <w:b/>
                <w:lang w:val="en-GB"/>
              </w:rPr>
              <w:t>P-value</w:t>
            </w: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D3712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</w:pPr>
            <w:r w:rsidRPr="00EB1B70"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  <w:t>Odds ratio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D3712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</w:pPr>
            <w:r w:rsidRPr="00EB1B70">
              <w:rPr>
                <w:rFonts w:ascii="Arial" w:hAnsi="Arial" w:cs="Arial"/>
                <w:b/>
                <w:lang w:val="en-GB"/>
              </w:rPr>
              <w:t>Combined Score</w:t>
            </w:r>
          </w:p>
        </w:tc>
        <w:tc>
          <w:tcPr>
            <w:tcW w:w="4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D3712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</w:pPr>
            <w:r w:rsidRPr="00EB1B70">
              <w:rPr>
                <w:rFonts w:ascii="Arial" w:hAnsi="Arial" w:cs="Arial"/>
                <w:b/>
                <w:lang w:val="en-GB"/>
              </w:rPr>
              <w:t>Genes</w:t>
            </w:r>
          </w:p>
        </w:tc>
      </w:tr>
      <w:tr w:rsidR="00D37126" w:rsidRPr="00EB1B70" w:rsidTr="00877ED7">
        <w:trPr>
          <w:trHeight w:val="482"/>
          <w:jc w:val="center"/>
        </w:trPr>
        <w:tc>
          <w:tcPr>
            <w:tcW w:w="481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D37126">
            <w:pPr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regulation of osteoclast development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GO:2001204</w:t>
            </w: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4.16E-03</w:t>
            </w:r>
          </w:p>
        </w:tc>
        <w:tc>
          <w:tcPr>
            <w:tcW w:w="127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19.55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107.20</w:t>
            </w:r>
          </w:p>
        </w:tc>
        <w:tc>
          <w:tcPr>
            <w:tcW w:w="425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D37126">
            <w:pPr>
              <w:rPr>
                <w:rFonts w:ascii="Arial" w:hAnsi="Arial" w:cs="Arial"/>
                <w:i/>
                <w:lang w:val="en-GB"/>
              </w:rPr>
            </w:pPr>
            <w:r w:rsidRPr="00EB1B70">
              <w:rPr>
                <w:rFonts w:ascii="Arial" w:hAnsi="Arial" w:cs="Arial"/>
                <w:i/>
                <w:lang w:val="en-GB"/>
              </w:rPr>
              <w:t>NOTCH2; FBN1</w:t>
            </w:r>
          </w:p>
        </w:tc>
      </w:tr>
      <w:tr w:rsidR="00D37126" w:rsidRPr="00EB1B70" w:rsidTr="00877ED7">
        <w:trPr>
          <w:trHeight w:val="744"/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D37126">
            <w:pPr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detection of chemical stimulus involved in sensory perception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GO:0050907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1.90E-07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6.83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105.77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D37126">
            <w:pPr>
              <w:rPr>
                <w:rFonts w:ascii="Arial" w:hAnsi="Arial" w:cs="Arial"/>
                <w:i/>
                <w:lang w:val="en-GB"/>
              </w:rPr>
            </w:pPr>
            <w:r w:rsidRPr="00EB1B70">
              <w:rPr>
                <w:rFonts w:ascii="Arial" w:hAnsi="Arial" w:cs="Arial"/>
                <w:i/>
                <w:lang w:val="en-GB"/>
              </w:rPr>
              <w:t>OR4A8; OR4C12; OR4C45; OR4C11; OR4A47; OR4P4; OR4C15; OR2A4; OR4A15; OR4C13; OR4S2; OR4C46</w:t>
            </w:r>
          </w:p>
        </w:tc>
      </w:tr>
      <w:tr w:rsidR="00D37126" w:rsidRPr="00EB1B70" w:rsidTr="00877ED7">
        <w:trPr>
          <w:trHeight w:val="482"/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D37126">
            <w:pPr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 xml:space="preserve">aminoglycoside antibiotic metabolic process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GO:0030647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7.58E-03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14.66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71.58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D37126">
            <w:pPr>
              <w:rPr>
                <w:rFonts w:ascii="Arial" w:hAnsi="Arial" w:cs="Arial"/>
                <w:i/>
                <w:lang w:val="en-GB"/>
              </w:rPr>
            </w:pPr>
            <w:r w:rsidRPr="00EB1B70">
              <w:rPr>
                <w:rFonts w:ascii="Arial" w:hAnsi="Arial" w:cs="Arial"/>
                <w:i/>
                <w:lang w:val="en-GB"/>
              </w:rPr>
              <w:t>AKR1B10;</w:t>
            </w:r>
            <w:r w:rsidR="001B7BD7" w:rsidRPr="00EB1B70">
              <w:rPr>
                <w:rFonts w:ascii="Arial" w:hAnsi="Arial" w:cs="Arial"/>
                <w:i/>
                <w:lang w:val="en-GB"/>
              </w:rPr>
              <w:t xml:space="preserve"> </w:t>
            </w:r>
            <w:r w:rsidRPr="00EB1B70">
              <w:rPr>
                <w:rFonts w:ascii="Arial" w:hAnsi="Arial" w:cs="Arial"/>
                <w:i/>
                <w:lang w:val="en-GB"/>
              </w:rPr>
              <w:t>AKR1B1</w:t>
            </w:r>
          </w:p>
        </w:tc>
      </w:tr>
      <w:tr w:rsidR="00D37126" w:rsidRPr="00EB1B70" w:rsidTr="00877ED7">
        <w:trPr>
          <w:trHeight w:val="482"/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D37126">
            <w:pPr>
              <w:rPr>
                <w:rFonts w:ascii="Arial" w:hAnsi="Arial" w:cs="Arial"/>
                <w:lang w:val="en-GB"/>
              </w:rPr>
            </w:pPr>
            <w:proofErr w:type="spellStart"/>
            <w:r w:rsidRPr="00EB1B70">
              <w:rPr>
                <w:rFonts w:ascii="Arial" w:hAnsi="Arial" w:cs="Arial"/>
                <w:lang w:val="en-GB"/>
              </w:rPr>
              <w:t>daunorubicin</w:t>
            </w:r>
            <w:proofErr w:type="spellEnd"/>
            <w:r w:rsidRPr="00EB1B70">
              <w:rPr>
                <w:rFonts w:ascii="Arial" w:hAnsi="Arial" w:cs="Arial"/>
                <w:lang w:val="en-GB"/>
              </w:rPr>
              <w:t xml:space="preserve"> metabolic process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GO:0044597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7.58E-03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14.66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71.58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D37126">
            <w:pPr>
              <w:rPr>
                <w:rFonts w:ascii="Arial" w:hAnsi="Arial" w:cs="Arial"/>
                <w:i/>
                <w:lang w:val="en-GB"/>
              </w:rPr>
            </w:pPr>
            <w:r w:rsidRPr="00EB1B70">
              <w:rPr>
                <w:rFonts w:ascii="Arial" w:hAnsi="Arial" w:cs="Arial"/>
                <w:i/>
                <w:lang w:val="en-GB"/>
              </w:rPr>
              <w:t>AKR1B10;</w:t>
            </w:r>
            <w:r w:rsidR="001B7BD7" w:rsidRPr="00EB1B70">
              <w:rPr>
                <w:rFonts w:ascii="Arial" w:hAnsi="Arial" w:cs="Arial"/>
                <w:i/>
                <w:lang w:val="en-GB"/>
              </w:rPr>
              <w:t xml:space="preserve"> </w:t>
            </w:r>
            <w:r w:rsidRPr="00EB1B70">
              <w:rPr>
                <w:rFonts w:ascii="Arial" w:hAnsi="Arial" w:cs="Arial"/>
                <w:i/>
                <w:lang w:val="en-GB"/>
              </w:rPr>
              <w:t>AKR1B1</w:t>
            </w:r>
          </w:p>
        </w:tc>
      </w:tr>
      <w:tr w:rsidR="00D37126" w:rsidRPr="00EB1B70" w:rsidTr="00877ED7">
        <w:trPr>
          <w:trHeight w:val="482"/>
          <w:jc w:val="center"/>
        </w:trPr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D37126">
            <w:pPr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 xml:space="preserve">positive regulation of TORC1 </w:t>
            </w:r>
            <w:proofErr w:type="spellStart"/>
            <w:r w:rsidRPr="00EB1B70">
              <w:rPr>
                <w:rFonts w:ascii="Arial" w:hAnsi="Arial" w:cs="Arial"/>
                <w:lang w:val="en-GB"/>
              </w:rPr>
              <w:t>signaling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GO:1904263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7.58E-03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14.66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71.58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D37126">
            <w:pPr>
              <w:rPr>
                <w:rFonts w:ascii="Arial" w:hAnsi="Arial" w:cs="Arial"/>
                <w:i/>
                <w:lang w:val="en-GB"/>
              </w:rPr>
            </w:pPr>
            <w:r w:rsidRPr="00EB1B70">
              <w:rPr>
                <w:rFonts w:ascii="Arial" w:hAnsi="Arial" w:cs="Arial"/>
                <w:i/>
                <w:lang w:val="en-GB"/>
              </w:rPr>
              <w:t>RRAGA;</w:t>
            </w:r>
            <w:r w:rsidR="001B7BD7" w:rsidRPr="00EB1B70">
              <w:rPr>
                <w:rFonts w:ascii="Arial" w:hAnsi="Arial" w:cs="Arial"/>
                <w:i/>
                <w:lang w:val="en-GB"/>
              </w:rPr>
              <w:t xml:space="preserve"> </w:t>
            </w:r>
            <w:r w:rsidRPr="00EB1B70">
              <w:rPr>
                <w:rFonts w:ascii="Arial" w:hAnsi="Arial" w:cs="Arial"/>
                <w:i/>
                <w:lang w:val="en-GB"/>
              </w:rPr>
              <w:t>LARS</w:t>
            </w:r>
          </w:p>
        </w:tc>
      </w:tr>
      <w:tr w:rsidR="00D37126" w:rsidRPr="00EB1B70" w:rsidTr="00877ED7">
        <w:trPr>
          <w:trHeight w:val="482"/>
          <w:jc w:val="center"/>
        </w:trPr>
        <w:tc>
          <w:tcPr>
            <w:tcW w:w="4815" w:type="dxa"/>
            <w:tcBorders>
              <w:left w:val="nil"/>
              <w:right w:val="nil"/>
            </w:tcBorders>
            <w:shd w:val="clear" w:color="auto" w:fill="F2F2F2"/>
            <w:vAlign w:val="center"/>
            <w:hideMark/>
          </w:tcPr>
          <w:p w:rsidR="00D37126" w:rsidRPr="00EB1B70" w:rsidRDefault="00D37126" w:rsidP="00D37126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</w:pPr>
            <w:r w:rsidRPr="00EB1B70"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  <w:lastRenderedPageBreak/>
              <w:t>Method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D37126" w:rsidRPr="00EB1B70" w:rsidRDefault="00D37126" w:rsidP="00D37126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B1B70">
              <w:rPr>
                <w:rFonts w:ascii="Arial" w:hAnsi="Arial" w:cs="Arial"/>
                <w:bCs/>
                <w:iCs/>
                <w:lang w:val="en-GB"/>
              </w:rPr>
              <w:t>normalised-</w:t>
            </w:r>
            <w:proofErr w:type="spellStart"/>
            <w:r w:rsidRPr="00EB1B70">
              <w:rPr>
                <w:rFonts w:ascii="Arial" w:hAnsi="Arial" w:cs="Arial"/>
                <w:bCs/>
                <w:iCs/>
                <w:lang w:val="en-GB"/>
              </w:rPr>
              <w:t>F</w:t>
            </w:r>
            <w:r w:rsidRPr="00EB1B70">
              <w:rPr>
                <w:rFonts w:ascii="Arial" w:hAnsi="Arial" w:cs="Arial"/>
                <w:bCs/>
                <w:iCs/>
                <w:vertAlign w:val="subscript"/>
                <w:lang w:val="en-GB"/>
              </w:rPr>
              <w:t>st</w:t>
            </w:r>
            <w:proofErr w:type="spellEnd"/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D37126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27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D37126">
            <w:pPr>
              <w:spacing w:line="240" w:lineRule="auto"/>
              <w:rPr>
                <w:rFonts w:ascii="Arial" w:eastAsia="Times New Roman" w:hAnsi="Arial" w:cs="Arial"/>
                <w:color w:val="auto"/>
                <w:lang w:val="en-GB" w:eastAsia="es-ES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D37126">
            <w:pPr>
              <w:spacing w:line="240" w:lineRule="auto"/>
              <w:rPr>
                <w:rFonts w:ascii="Arial" w:eastAsia="Times New Roman" w:hAnsi="Arial" w:cs="Arial"/>
                <w:color w:val="auto"/>
                <w:lang w:val="en-GB" w:eastAsia="es-ES"/>
              </w:rPr>
            </w:pPr>
          </w:p>
        </w:tc>
        <w:tc>
          <w:tcPr>
            <w:tcW w:w="425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D37126">
            <w:pPr>
              <w:spacing w:line="240" w:lineRule="auto"/>
              <w:rPr>
                <w:rFonts w:ascii="Arial" w:eastAsia="Times New Roman" w:hAnsi="Arial" w:cs="Arial"/>
                <w:color w:val="auto"/>
                <w:lang w:val="en-GB" w:eastAsia="es-ES"/>
              </w:rPr>
            </w:pPr>
          </w:p>
        </w:tc>
      </w:tr>
      <w:tr w:rsidR="00D37126" w:rsidRPr="00EB1B70" w:rsidTr="00877ED7">
        <w:trPr>
          <w:trHeight w:val="482"/>
          <w:jc w:val="center"/>
        </w:trPr>
        <w:tc>
          <w:tcPr>
            <w:tcW w:w="4815" w:type="dxa"/>
            <w:tcBorders>
              <w:left w:val="nil"/>
              <w:right w:val="nil"/>
            </w:tcBorders>
            <w:shd w:val="clear" w:color="auto" w:fill="F2F2F2"/>
            <w:vAlign w:val="center"/>
            <w:hideMark/>
          </w:tcPr>
          <w:p w:rsidR="00D37126" w:rsidRPr="00EB1B70" w:rsidRDefault="00D37126" w:rsidP="00D37126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</w:pPr>
            <w:r w:rsidRPr="00EB1B70">
              <w:rPr>
                <w:rFonts w:ascii="Arial" w:hAnsi="Arial" w:cs="Arial"/>
                <w:b/>
                <w:lang w:val="en-GB"/>
              </w:rPr>
              <w:t>Genes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D37126" w:rsidRPr="00EB1B70" w:rsidRDefault="001B7BD7" w:rsidP="00D37126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B1B70">
              <w:rPr>
                <w:rFonts w:ascii="Arial" w:hAnsi="Arial" w:cs="Arial"/>
                <w:lang w:val="en-GB"/>
              </w:rPr>
              <w:t>368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D37126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27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D37126">
            <w:pPr>
              <w:spacing w:line="240" w:lineRule="auto"/>
              <w:rPr>
                <w:rFonts w:ascii="Arial" w:eastAsia="Times New Roman" w:hAnsi="Arial" w:cs="Arial"/>
                <w:color w:val="auto"/>
                <w:lang w:val="en-GB" w:eastAsia="es-ES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D37126">
            <w:pPr>
              <w:spacing w:line="240" w:lineRule="auto"/>
              <w:rPr>
                <w:rFonts w:ascii="Arial" w:eastAsia="Times New Roman" w:hAnsi="Arial" w:cs="Arial"/>
                <w:color w:val="auto"/>
                <w:lang w:val="en-GB" w:eastAsia="es-ES"/>
              </w:rPr>
            </w:pPr>
          </w:p>
        </w:tc>
        <w:tc>
          <w:tcPr>
            <w:tcW w:w="425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D37126">
            <w:pPr>
              <w:spacing w:line="240" w:lineRule="auto"/>
              <w:rPr>
                <w:rFonts w:ascii="Arial" w:eastAsia="Times New Roman" w:hAnsi="Arial" w:cs="Arial"/>
                <w:color w:val="auto"/>
                <w:lang w:val="en-GB" w:eastAsia="es-ES"/>
              </w:rPr>
            </w:pPr>
          </w:p>
        </w:tc>
      </w:tr>
      <w:tr w:rsidR="00D37126" w:rsidRPr="00EB1B70" w:rsidTr="00877ED7">
        <w:trPr>
          <w:trHeight w:val="482"/>
          <w:jc w:val="center"/>
        </w:trPr>
        <w:tc>
          <w:tcPr>
            <w:tcW w:w="48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D3712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</w:pPr>
            <w:r w:rsidRPr="00EB1B70">
              <w:rPr>
                <w:rFonts w:ascii="Arial" w:hAnsi="Arial" w:cs="Arial"/>
                <w:b/>
                <w:lang w:val="en-GB"/>
              </w:rPr>
              <w:t>Term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D3712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</w:pPr>
            <w:r w:rsidRPr="00EB1B70">
              <w:rPr>
                <w:rFonts w:ascii="Arial" w:hAnsi="Arial" w:cs="Arial"/>
                <w:b/>
                <w:lang w:val="en-GB"/>
              </w:rPr>
              <w:t>GO term</w:t>
            </w:r>
          </w:p>
        </w:tc>
        <w:tc>
          <w:tcPr>
            <w:tcW w:w="12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D3712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</w:pPr>
            <w:r w:rsidRPr="00EB1B70">
              <w:rPr>
                <w:rFonts w:ascii="Arial" w:hAnsi="Arial" w:cs="Arial"/>
                <w:b/>
                <w:lang w:val="en-GB"/>
              </w:rPr>
              <w:t>P-value</w:t>
            </w: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D3712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</w:pPr>
            <w:r w:rsidRPr="00EB1B70"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  <w:t>Odds ratio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D3712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</w:pPr>
            <w:r w:rsidRPr="00EB1B70">
              <w:rPr>
                <w:rFonts w:ascii="Arial" w:hAnsi="Arial" w:cs="Arial"/>
                <w:b/>
                <w:lang w:val="en-GB"/>
              </w:rPr>
              <w:t>Combined Score</w:t>
            </w:r>
          </w:p>
        </w:tc>
        <w:tc>
          <w:tcPr>
            <w:tcW w:w="4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126" w:rsidRPr="00EB1B70" w:rsidRDefault="00D37126" w:rsidP="00D3712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</w:pPr>
            <w:r w:rsidRPr="00EB1B70">
              <w:rPr>
                <w:rFonts w:ascii="Arial" w:hAnsi="Arial" w:cs="Arial"/>
                <w:b/>
                <w:lang w:val="en-GB"/>
              </w:rPr>
              <w:t>Genes</w:t>
            </w:r>
          </w:p>
        </w:tc>
      </w:tr>
      <w:tr w:rsidR="001B7BD7" w:rsidRPr="00EB1B70" w:rsidTr="00877ED7">
        <w:trPr>
          <w:trHeight w:val="482"/>
          <w:jc w:val="center"/>
        </w:trPr>
        <w:tc>
          <w:tcPr>
            <w:tcW w:w="481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BD7" w:rsidRPr="00EB1B70" w:rsidRDefault="001B7BD7" w:rsidP="001B7BD7">
            <w:pPr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citrate metabolic process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BD7" w:rsidRPr="00EB1B70" w:rsidRDefault="001B7BD7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GO:0006101</w:t>
            </w: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BD7" w:rsidRPr="00EB1B70" w:rsidRDefault="001B7BD7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3.43E-03</w:t>
            </w:r>
          </w:p>
        </w:tc>
        <w:tc>
          <w:tcPr>
            <w:tcW w:w="127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BD7" w:rsidRPr="00EB1B70" w:rsidRDefault="001B7BD7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21.57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BD7" w:rsidRPr="00EB1B70" w:rsidRDefault="001B7BD7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122.47</w:t>
            </w:r>
          </w:p>
        </w:tc>
        <w:tc>
          <w:tcPr>
            <w:tcW w:w="425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BD7" w:rsidRPr="00EB1B70" w:rsidRDefault="001B7BD7" w:rsidP="001B7BD7">
            <w:pPr>
              <w:rPr>
                <w:rFonts w:ascii="Arial" w:hAnsi="Arial" w:cs="Arial"/>
                <w:i/>
                <w:lang w:val="en-GB"/>
              </w:rPr>
            </w:pPr>
            <w:r w:rsidRPr="00EB1B70">
              <w:rPr>
                <w:rFonts w:ascii="Arial" w:hAnsi="Arial" w:cs="Arial"/>
                <w:i/>
                <w:lang w:val="en-GB"/>
              </w:rPr>
              <w:t>STAT5A; STAT5B</w:t>
            </w:r>
          </w:p>
        </w:tc>
      </w:tr>
      <w:tr w:rsidR="001B7BD7" w:rsidRPr="00EB1B70" w:rsidTr="00877ED7">
        <w:trPr>
          <w:trHeight w:val="482"/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BD7" w:rsidRPr="00EB1B70" w:rsidRDefault="001B7BD7" w:rsidP="001B7BD7">
            <w:pPr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 xml:space="preserve">interleukin-15-mediated </w:t>
            </w:r>
            <w:proofErr w:type="spellStart"/>
            <w:r w:rsidRPr="00EB1B70">
              <w:rPr>
                <w:rFonts w:ascii="Arial" w:hAnsi="Arial" w:cs="Arial"/>
                <w:lang w:val="en-GB"/>
              </w:rPr>
              <w:t>signaling</w:t>
            </w:r>
            <w:proofErr w:type="spellEnd"/>
            <w:r w:rsidRPr="00EB1B70">
              <w:rPr>
                <w:rFonts w:ascii="Arial" w:hAnsi="Arial" w:cs="Arial"/>
                <w:lang w:val="en-GB"/>
              </w:rPr>
              <w:t xml:space="preserve"> pathway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BD7" w:rsidRPr="00EB1B70" w:rsidRDefault="001B7BD7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GO:0035723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BD7" w:rsidRPr="00EB1B70" w:rsidRDefault="001B7BD7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9.31E-04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BD7" w:rsidRPr="00EB1B70" w:rsidRDefault="001B7BD7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14.94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BD7" w:rsidRPr="00EB1B70" w:rsidRDefault="001B7BD7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104.24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BD7" w:rsidRPr="00EB1B70" w:rsidRDefault="001B7BD7" w:rsidP="001B7BD7">
            <w:pPr>
              <w:rPr>
                <w:rFonts w:ascii="Arial" w:hAnsi="Arial" w:cs="Arial"/>
                <w:i/>
                <w:lang w:val="en-GB"/>
              </w:rPr>
            </w:pPr>
            <w:r w:rsidRPr="00EB1B70">
              <w:rPr>
                <w:rFonts w:ascii="Arial" w:hAnsi="Arial" w:cs="Arial"/>
                <w:i/>
                <w:lang w:val="en-GB"/>
              </w:rPr>
              <w:t>STAT5A; STAT5B; STAT3</w:t>
            </w:r>
          </w:p>
        </w:tc>
      </w:tr>
      <w:tr w:rsidR="001B7BD7" w:rsidRPr="00EB1B70" w:rsidTr="00877ED7">
        <w:trPr>
          <w:trHeight w:val="482"/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BD7" w:rsidRPr="00EB1B70" w:rsidRDefault="001B7BD7" w:rsidP="001B7BD7">
            <w:pPr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cellular response to interleukin-15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BD7" w:rsidRPr="00EB1B70" w:rsidRDefault="001B7BD7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GO:0071350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BD7" w:rsidRPr="00EB1B70" w:rsidRDefault="001B7BD7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9.31E-04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BD7" w:rsidRPr="00EB1B70" w:rsidRDefault="001B7BD7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14.94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BD7" w:rsidRPr="00EB1B70" w:rsidRDefault="001B7BD7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104.24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BD7" w:rsidRPr="00EB1B70" w:rsidRDefault="001B7BD7" w:rsidP="001B7BD7">
            <w:pPr>
              <w:rPr>
                <w:rFonts w:ascii="Arial" w:hAnsi="Arial" w:cs="Arial"/>
                <w:i/>
                <w:lang w:val="en-GB"/>
              </w:rPr>
            </w:pPr>
            <w:r w:rsidRPr="00EB1B70">
              <w:rPr>
                <w:rFonts w:ascii="Arial" w:hAnsi="Arial" w:cs="Arial"/>
                <w:i/>
                <w:lang w:val="en-GB"/>
              </w:rPr>
              <w:t>STAT5A; STAT5B; STAT3</w:t>
            </w:r>
          </w:p>
        </w:tc>
      </w:tr>
      <w:tr w:rsidR="001B7BD7" w:rsidRPr="00EB1B70" w:rsidTr="00877ED7">
        <w:trPr>
          <w:trHeight w:val="482"/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BD7" w:rsidRPr="00EB1B70" w:rsidRDefault="001B7BD7" w:rsidP="001B7BD7">
            <w:pPr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oxaloacetate metabolic process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BD7" w:rsidRPr="00EB1B70" w:rsidRDefault="001B7BD7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GO:0006107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BD7" w:rsidRPr="00EB1B70" w:rsidRDefault="001B7BD7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4.75E-03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BD7" w:rsidRPr="00EB1B70" w:rsidRDefault="001B7BD7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18.49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BD7" w:rsidRPr="00EB1B70" w:rsidRDefault="001B7BD7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98.94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BD7" w:rsidRPr="00EB1B70" w:rsidRDefault="001B7BD7" w:rsidP="001B7BD7">
            <w:pPr>
              <w:rPr>
                <w:rFonts w:ascii="Arial" w:hAnsi="Arial" w:cs="Arial"/>
                <w:i/>
                <w:lang w:val="en-GB"/>
              </w:rPr>
            </w:pPr>
            <w:r w:rsidRPr="00EB1B70">
              <w:rPr>
                <w:rFonts w:ascii="Arial" w:hAnsi="Arial" w:cs="Arial"/>
                <w:i/>
                <w:lang w:val="en-GB"/>
              </w:rPr>
              <w:t>STAT5A; STAT5B</w:t>
            </w:r>
          </w:p>
        </w:tc>
      </w:tr>
      <w:tr w:rsidR="001B7BD7" w:rsidRPr="00EB1B70" w:rsidTr="00877ED7">
        <w:trPr>
          <w:trHeight w:val="482"/>
          <w:jc w:val="center"/>
        </w:trPr>
        <w:tc>
          <w:tcPr>
            <w:tcW w:w="48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B7BD7" w:rsidRPr="00EB1B70" w:rsidRDefault="001B7BD7" w:rsidP="001B7BD7">
            <w:pPr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valine metabolic process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B7BD7" w:rsidRPr="00EB1B70" w:rsidRDefault="001B7BD7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GO:0006573</w:t>
            </w:r>
          </w:p>
        </w:tc>
        <w:tc>
          <w:tcPr>
            <w:tcW w:w="12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B7BD7" w:rsidRPr="00EB1B70" w:rsidRDefault="001B7BD7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4.75E-03</w:t>
            </w: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B7BD7" w:rsidRPr="00EB1B70" w:rsidRDefault="001B7BD7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18.49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B7BD7" w:rsidRPr="00EB1B70" w:rsidRDefault="001B7BD7" w:rsidP="001B7BD7">
            <w:pPr>
              <w:jc w:val="right"/>
              <w:rPr>
                <w:rFonts w:ascii="Arial" w:hAnsi="Arial" w:cs="Arial"/>
                <w:lang w:val="en-GB"/>
              </w:rPr>
            </w:pPr>
            <w:r w:rsidRPr="00EB1B70">
              <w:rPr>
                <w:rFonts w:ascii="Arial" w:hAnsi="Arial" w:cs="Arial"/>
                <w:lang w:val="en-GB"/>
              </w:rPr>
              <w:t>98.94</w:t>
            </w:r>
          </w:p>
        </w:tc>
        <w:tc>
          <w:tcPr>
            <w:tcW w:w="42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B7BD7" w:rsidRPr="00EB1B70" w:rsidRDefault="001B7BD7" w:rsidP="001B7BD7">
            <w:pPr>
              <w:rPr>
                <w:rFonts w:ascii="Arial" w:hAnsi="Arial" w:cs="Arial"/>
                <w:i/>
                <w:lang w:val="en-GB"/>
              </w:rPr>
            </w:pPr>
            <w:r w:rsidRPr="00EB1B70">
              <w:rPr>
                <w:rFonts w:ascii="Arial" w:hAnsi="Arial" w:cs="Arial"/>
                <w:i/>
                <w:lang w:val="en-GB"/>
              </w:rPr>
              <w:t>STAT5A; STAT5B</w:t>
            </w:r>
          </w:p>
        </w:tc>
      </w:tr>
    </w:tbl>
    <w:bookmarkEnd w:id="0"/>
    <w:p w:rsidR="00EB1B70" w:rsidRDefault="00EB1B70" w:rsidP="00EB1B70">
      <w:pPr>
        <w:tabs>
          <w:tab w:val="left" w:pos="1134"/>
        </w:tabs>
        <w:spacing w:before="120"/>
        <w:jc w:val="both"/>
        <w:rPr>
          <w:rFonts w:ascii="Arial" w:hAnsi="Arial" w:cs="Arial"/>
          <w:lang w:val="en-GB"/>
        </w:rPr>
      </w:pPr>
      <w:r w:rsidRPr="00EB1B70">
        <w:rPr>
          <w:rFonts w:ascii="Arial" w:hAnsi="Arial" w:cs="Arial"/>
          <w:bCs/>
          <w:iCs/>
          <w:lang w:val="en-GB"/>
        </w:rPr>
        <w:t xml:space="preserve">Gene Ontology (GO) knowledgebase is the world's largest source of information on the functions of genes. </w:t>
      </w:r>
      <w:r w:rsidRPr="00EB1B70">
        <w:rPr>
          <w:rFonts w:ascii="Arial" w:hAnsi="Arial" w:cs="Arial"/>
          <w:iCs/>
          <w:lang w:val="en-GB"/>
        </w:rPr>
        <w:t xml:space="preserve">Odds ratios </w:t>
      </w:r>
      <w:proofErr w:type="gramStart"/>
      <w:r w:rsidRPr="00EB1B70">
        <w:rPr>
          <w:rFonts w:ascii="Arial" w:hAnsi="Arial" w:cs="Arial"/>
          <w:iCs/>
          <w:lang w:val="en-GB"/>
        </w:rPr>
        <w:t>are used</w:t>
      </w:r>
      <w:proofErr w:type="gramEnd"/>
      <w:r w:rsidRPr="00EB1B70">
        <w:rPr>
          <w:rFonts w:ascii="Arial" w:hAnsi="Arial" w:cs="Arial"/>
          <w:iCs/>
          <w:lang w:val="en-GB"/>
        </w:rPr>
        <w:t xml:space="preserve"> to compare the relative odds of the occurrence of the outcome of interest given exposure to the variable of interest. The odds ratio </w:t>
      </w:r>
      <w:proofErr w:type="gramStart"/>
      <w:r w:rsidRPr="00EB1B70">
        <w:rPr>
          <w:rFonts w:ascii="Arial" w:hAnsi="Arial" w:cs="Arial"/>
          <w:iCs/>
          <w:lang w:val="en-GB"/>
        </w:rPr>
        <w:t>is calculated</w:t>
      </w:r>
      <w:proofErr w:type="gramEnd"/>
      <w:r w:rsidRPr="00EB1B70">
        <w:rPr>
          <w:rFonts w:ascii="Arial" w:hAnsi="Arial" w:cs="Arial"/>
          <w:iCs/>
          <w:lang w:val="en-GB"/>
        </w:rPr>
        <w:t xml:space="preserve"> using the analysed genes and GO terms of the datable.</w:t>
      </w:r>
      <w:r w:rsidRPr="00EB1B70">
        <w:rPr>
          <w:rFonts w:ascii="Arial" w:hAnsi="Arial" w:cs="Arial"/>
          <w:color w:val="auto"/>
          <w:lang w:val="en-GB"/>
        </w:rPr>
        <w:t xml:space="preserve"> XP-CLR = cross population – composite likelihood ratio. XP-EHH = cross population – extended haplotype homozygosity. </w:t>
      </w:r>
      <w:proofErr w:type="spellStart"/>
      <w:r w:rsidRPr="00EB1B70">
        <w:rPr>
          <w:rFonts w:ascii="Arial" w:hAnsi="Arial" w:cs="Arial"/>
          <w:color w:val="auto"/>
          <w:lang w:val="en-GB"/>
        </w:rPr>
        <w:t>F</w:t>
      </w:r>
      <w:r w:rsidRPr="00EB1B70">
        <w:rPr>
          <w:rFonts w:ascii="Arial" w:hAnsi="Arial" w:cs="Arial"/>
          <w:color w:val="auto"/>
          <w:vertAlign w:val="subscript"/>
          <w:lang w:val="en-GB"/>
        </w:rPr>
        <w:t>st</w:t>
      </w:r>
      <w:proofErr w:type="spellEnd"/>
      <w:r w:rsidRPr="00EB1B70">
        <w:rPr>
          <w:rFonts w:ascii="Arial" w:hAnsi="Arial" w:cs="Arial"/>
          <w:color w:val="auto"/>
          <w:lang w:val="en-GB"/>
        </w:rPr>
        <w:t xml:space="preserve"> = Wright’s fixation index. </w:t>
      </w:r>
      <w:r w:rsidRPr="00EB1B70">
        <w:rPr>
          <w:rFonts w:ascii="Arial" w:hAnsi="Arial" w:cs="Arial"/>
          <w:lang w:val="en-GB"/>
        </w:rPr>
        <w:t>TORC1 =</w:t>
      </w:r>
      <w:r w:rsidRPr="00EB1B70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 xml:space="preserve"> </w:t>
      </w:r>
      <w:r w:rsidRPr="00EB1B70">
        <w:rPr>
          <w:rFonts w:ascii="Arial" w:hAnsi="Arial" w:cs="Arial"/>
          <w:lang w:val="en-GB"/>
        </w:rPr>
        <w:t>mammalian target of rapamycin complex 1.</w:t>
      </w:r>
    </w:p>
    <w:p w:rsidR="00902D17" w:rsidRPr="00EB1B70" w:rsidRDefault="00902D17" w:rsidP="00902D17">
      <w:pPr>
        <w:jc w:val="both"/>
        <w:rPr>
          <w:rFonts w:ascii="Arial" w:hAnsi="Arial" w:cs="Arial"/>
          <w:iCs/>
        </w:rPr>
      </w:pPr>
    </w:p>
    <w:p w:rsidR="00902D17" w:rsidRPr="00EB1B70" w:rsidRDefault="00902D17" w:rsidP="00902D17">
      <w:pPr>
        <w:jc w:val="both"/>
        <w:rPr>
          <w:rFonts w:ascii="Arial" w:hAnsi="Arial" w:cs="Arial"/>
          <w:iCs/>
        </w:rPr>
      </w:pPr>
    </w:p>
    <w:p w:rsidR="00902D17" w:rsidRPr="00EB1B70" w:rsidRDefault="00902D17" w:rsidP="00902D17">
      <w:pPr>
        <w:rPr>
          <w:rFonts w:ascii="Arial" w:hAnsi="Arial" w:cs="Arial"/>
        </w:rPr>
      </w:pPr>
    </w:p>
    <w:p w:rsidR="0099527A" w:rsidRDefault="0099527A">
      <w:pPr>
        <w:spacing w:after="160"/>
      </w:pPr>
      <w:r>
        <w:br w:type="page"/>
      </w:r>
    </w:p>
    <w:p w:rsidR="0099527A" w:rsidRPr="00ED5890" w:rsidRDefault="0099527A" w:rsidP="0099527A">
      <w:pPr>
        <w:spacing w:line="360" w:lineRule="auto"/>
        <w:rPr>
          <w:rFonts w:ascii="Arial" w:hAnsi="Arial" w:cs="Arial"/>
          <w:bCs/>
          <w:iCs/>
          <w:lang w:val="en-GB"/>
        </w:rPr>
      </w:pPr>
      <w:r w:rsidRPr="00ED5890">
        <w:rPr>
          <w:rFonts w:ascii="Arial" w:hAnsi="Arial" w:cs="Arial"/>
          <w:b/>
          <w:bCs/>
          <w:iCs/>
          <w:lang w:val="en-GB"/>
        </w:rPr>
        <w:lastRenderedPageBreak/>
        <w:t>Supplementary Table S2</w:t>
      </w:r>
      <w:r w:rsidRPr="00ED5890">
        <w:rPr>
          <w:rFonts w:ascii="Arial" w:hAnsi="Arial" w:cs="Arial"/>
          <w:bCs/>
          <w:iCs/>
          <w:lang w:val="en-GB"/>
        </w:rPr>
        <w:t>. Annotated Genes in the sel</w:t>
      </w:r>
      <w:bookmarkStart w:id="1" w:name="_GoBack"/>
      <w:bookmarkEnd w:id="1"/>
      <w:r w:rsidRPr="00ED5890">
        <w:rPr>
          <w:rFonts w:ascii="Arial" w:hAnsi="Arial" w:cs="Arial"/>
          <w:bCs/>
          <w:iCs/>
          <w:lang w:val="en-GB"/>
        </w:rPr>
        <w:t>ection signatures of intramuscular fat in rabbits.</w:t>
      </w:r>
    </w:p>
    <w:p w:rsidR="0099527A" w:rsidRPr="00A1366F" w:rsidRDefault="0099527A" w:rsidP="0099527A">
      <w:pPr>
        <w:spacing w:after="120" w:line="276" w:lineRule="auto"/>
        <w:rPr>
          <w:rFonts w:ascii="Arial" w:hAnsi="Arial" w:cs="Arial"/>
          <w:bCs/>
          <w:iCs/>
          <w:color w:val="auto"/>
          <w:lang w:val="en-GB"/>
        </w:rPr>
      </w:pPr>
      <w:r w:rsidRPr="00A1366F">
        <w:rPr>
          <w:rFonts w:ascii="Arial" w:hAnsi="Arial" w:cs="Arial"/>
          <w:bCs/>
          <w:iCs/>
          <w:color w:val="auto"/>
          <w:lang w:val="en-GB"/>
        </w:rPr>
        <w:t>See the ‘Supplementary Table S2.xlsx’ file</w:t>
      </w:r>
    </w:p>
    <w:p w:rsidR="0099527A" w:rsidRDefault="0099527A">
      <w:pPr>
        <w:spacing w:after="160"/>
        <w:rPr>
          <w:rFonts w:ascii="Arial" w:hAnsi="Arial" w:cs="Arial"/>
          <w:b/>
          <w:bCs/>
          <w:iCs/>
          <w:lang w:val="en-GB"/>
        </w:rPr>
      </w:pPr>
      <w:r>
        <w:rPr>
          <w:rFonts w:ascii="Arial" w:hAnsi="Arial" w:cs="Arial"/>
          <w:b/>
          <w:bCs/>
          <w:iCs/>
          <w:lang w:val="en-GB"/>
        </w:rPr>
        <w:br w:type="page"/>
      </w:r>
    </w:p>
    <w:p w:rsidR="0099527A" w:rsidRPr="00EB1B70" w:rsidRDefault="0099527A" w:rsidP="00CC6516">
      <w:pPr>
        <w:spacing w:after="120" w:line="276" w:lineRule="auto"/>
        <w:rPr>
          <w:rFonts w:ascii="Arial" w:hAnsi="Arial" w:cs="Arial"/>
          <w:bCs/>
          <w:iCs/>
          <w:lang w:val="en-GB"/>
        </w:rPr>
      </w:pPr>
      <w:r>
        <w:rPr>
          <w:rFonts w:ascii="Arial" w:hAnsi="Arial" w:cs="Arial"/>
          <w:b/>
          <w:bCs/>
          <w:iCs/>
          <w:lang w:val="en-GB"/>
        </w:rPr>
        <w:lastRenderedPageBreak/>
        <w:t>Supplementary Table S3</w:t>
      </w:r>
      <w:r>
        <w:rPr>
          <w:rFonts w:ascii="Arial" w:hAnsi="Arial" w:cs="Arial"/>
          <w:bCs/>
          <w:iCs/>
          <w:lang w:val="en-GB"/>
        </w:rPr>
        <w:t xml:space="preserve">. </w:t>
      </w:r>
      <w:proofErr w:type="gramStart"/>
      <w:r w:rsidRPr="0012776E">
        <w:rPr>
          <w:rFonts w:ascii="Arial" w:hAnsi="Arial" w:cs="Arial"/>
          <w:bCs/>
          <w:iCs/>
          <w:lang w:val="en-GB"/>
        </w:rPr>
        <w:t>First</w:t>
      </w:r>
      <w:proofErr w:type="gramEnd"/>
      <w:r w:rsidRPr="0012776E">
        <w:rPr>
          <w:rFonts w:ascii="Arial" w:hAnsi="Arial" w:cs="Arial"/>
          <w:bCs/>
          <w:iCs/>
          <w:lang w:val="en-GB"/>
        </w:rPr>
        <w:t xml:space="preserve"> ten </w:t>
      </w:r>
      <w:r>
        <w:rPr>
          <w:rFonts w:ascii="Arial" w:hAnsi="Arial" w:cs="Arial"/>
          <w:bCs/>
          <w:iCs/>
          <w:lang w:val="en-GB"/>
        </w:rPr>
        <w:t>go ontology (</w:t>
      </w:r>
      <w:r w:rsidRPr="0012776E">
        <w:rPr>
          <w:rFonts w:ascii="Arial" w:hAnsi="Arial" w:cs="Arial"/>
          <w:bCs/>
          <w:iCs/>
          <w:lang w:val="en-GB"/>
        </w:rPr>
        <w:t>GO</w:t>
      </w:r>
      <w:r>
        <w:rPr>
          <w:rFonts w:ascii="Arial" w:hAnsi="Arial" w:cs="Arial"/>
          <w:bCs/>
          <w:iCs/>
          <w:lang w:val="en-GB"/>
        </w:rPr>
        <w:t>)</w:t>
      </w:r>
      <w:r w:rsidRPr="0012776E">
        <w:rPr>
          <w:rFonts w:ascii="Arial" w:hAnsi="Arial" w:cs="Arial"/>
          <w:bCs/>
          <w:iCs/>
          <w:lang w:val="en-GB"/>
        </w:rPr>
        <w:t xml:space="preserve"> </w:t>
      </w:r>
      <w:r w:rsidRPr="00CC6516">
        <w:rPr>
          <w:rFonts w:ascii="Arial" w:hAnsi="Arial" w:cs="Arial"/>
          <w:bCs/>
          <w:iCs/>
          <w:lang w:val="en-GB"/>
        </w:rPr>
        <w:t>terms of biological processes using genes located in genomic regions that exceeded a cut-off of 1% in at least two methods of selection signatures in rabbits.</w:t>
      </w:r>
    </w:p>
    <w:tbl>
      <w:tblPr>
        <w:tblW w:w="1404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964"/>
        <w:gridCol w:w="1276"/>
        <w:gridCol w:w="1417"/>
        <w:gridCol w:w="1701"/>
        <w:gridCol w:w="2127"/>
      </w:tblGrid>
      <w:tr w:rsidR="0099527A" w:rsidRPr="00D36491" w:rsidTr="00637BAB">
        <w:trPr>
          <w:trHeight w:val="397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</w:pPr>
            <w:r w:rsidRPr="00CC6516"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  <w:t>GO term’s CODE</w:t>
            </w:r>
          </w:p>
        </w:tc>
        <w:tc>
          <w:tcPr>
            <w:tcW w:w="5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</w:pPr>
            <w:r w:rsidRPr="00CC6516"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  <w:t>Term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</w:pPr>
            <w:r w:rsidRPr="00CC6516"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  <w:t>P-value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b/>
                <w:lang w:val="en-GB"/>
              </w:rPr>
              <w:t>Odds Ratio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b/>
                <w:color w:val="000000"/>
                <w:lang w:val="en-GB"/>
              </w:rPr>
              <w:t>Combined Score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CC6516"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  <w:t>Annotated Mouse</w:t>
            </w:r>
            <w:r w:rsidRPr="00CC6516">
              <w:rPr>
                <w:rFonts w:ascii="Arial" w:hAnsi="Arial" w:cs="Arial"/>
                <w:b/>
                <w:color w:val="000000"/>
                <w:lang w:val="en-GB"/>
              </w:rPr>
              <w:t xml:space="preserve"> Genes</w:t>
            </w:r>
          </w:p>
        </w:tc>
      </w:tr>
      <w:tr w:rsidR="0099527A" w:rsidRPr="00D36491" w:rsidTr="00637BAB">
        <w:trPr>
          <w:trHeight w:val="397"/>
          <w:jc w:val="center"/>
        </w:trPr>
        <w:tc>
          <w:tcPr>
            <w:tcW w:w="1555" w:type="dxa"/>
            <w:tcBorders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GO:0072528</w:t>
            </w:r>
          </w:p>
        </w:tc>
        <w:tc>
          <w:tcPr>
            <w:tcW w:w="5964" w:type="dxa"/>
            <w:tcBorders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pyrimidine-containing compound biosynthetic process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1.67E-02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59.52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243.65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i/>
                <w:lang w:val="en-GB"/>
              </w:rPr>
              <w:t>TPK1</w:t>
            </w:r>
          </w:p>
        </w:tc>
      </w:tr>
      <w:tr w:rsidR="0099527A" w:rsidRPr="00D36491" w:rsidTr="00637BAB">
        <w:trPr>
          <w:trHeight w:val="397"/>
          <w:jc w:val="center"/>
        </w:trPr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GO:0070417</w:t>
            </w:r>
          </w:p>
        </w:tc>
        <w:tc>
          <w:tcPr>
            <w:tcW w:w="59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cellular response to cold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1.67E-02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59.52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243.65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i/>
                <w:lang w:val="en-GB"/>
              </w:rPr>
              <w:t>SAXO1</w:t>
            </w:r>
          </w:p>
        </w:tc>
      </w:tr>
      <w:tr w:rsidR="0099527A" w:rsidRPr="00D36491" w:rsidTr="00637BAB">
        <w:trPr>
          <w:trHeight w:val="397"/>
          <w:jc w:val="center"/>
        </w:trPr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GO:0010665</w:t>
            </w:r>
          </w:p>
        </w:tc>
        <w:tc>
          <w:tcPr>
            <w:tcW w:w="59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regulation of cardiac muscle cell apoptotic process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1.67E-02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59.52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243.65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i/>
                <w:lang w:val="en-GB"/>
              </w:rPr>
              <w:t>LTK</w:t>
            </w:r>
          </w:p>
        </w:tc>
      </w:tr>
      <w:tr w:rsidR="0099527A" w:rsidRPr="00D36491" w:rsidTr="00637BAB">
        <w:trPr>
          <w:trHeight w:val="397"/>
          <w:jc w:val="center"/>
        </w:trPr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GO:0044003</w:t>
            </w:r>
          </w:p>
        </w:tc>
        <w:tc>
          <w:tcPr>
            <w:tcW w:w="59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modification by symbiont of host morphology or physiology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1.94E-02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51.02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201.04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i/>
                <w:lang w:val="en-GB"/>
              </w:rPr>
              <w:t>RRAGA</w:t>
            </w:r>
          </w:p>
        </w:tc>
      </w:tr>
      <w:tr w:rsidR="0099527A" w:rsidRPr="00D36491" w:rsidTr="00637BAB">
        <w:trPr>
          <w:trHeight w:val="397"/>
          <w:jc w:val="center"/>
        </w:trPr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GO:1904526</w:t>
            </w:r>
          </w:p>
        </w:tc>
        <w:tc>
          <w:tcPr>
            <w:tcW w:w="59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regulation of microtubule binding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1.94E-02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51.02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201.04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i/>
                <w:lang w:val="en-GB"/>
              </w:rPr>
              <w:t>TTBK2</w:t>
            </w:r>
          </w:p>
        </w:tc>
      </w:tr>
      <w:tr w:rsidR="0099527A" w:rsidRPr="00D36491" w:rsidTr="00637BAB">
        <w:trPr>
          <w:trHeight w:val="397"/>
          <w:jc w:val="center"/>
        </w:trPr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GO:2000483</w:t>
            </w:r>
          </w:p>
        </w:tc>
        <w:tc>
          <w:tcPr>
            <w:tcW w:w="59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negative regulation of interleukin-8 secretion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1.94E-02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51.02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201.04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i/>
                <w:lang w:val="en-GB"/>
              </w:rPr>
              <w:t>MAPKBP1</w:t>
            </w:r>
          </w:p>
        </w:tc>
      </w:tr>
      <w:tr w:rsidR="0099527A" w:rsidRPr="00D36491" w:rsidTr="00637BAB">
        <w:trPr>
          <w:trHeight w:val="397"/>
          <w:jc w:val="center"/>
        </w:trPr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GO:0042723</w:t>
            </w:r>
          </w:p>
        </w:tc>
        <w:tc>
          <w:tcPr>
            <w:tcW w:w="59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thiamine-containing compound metabolic process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1.94E-02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51.02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201.04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i/>
                <w:lang w:val="en-GB"/>
              </w:rPr>
              <w:t>TPK1</w:t>
            </w:r>
          </w:p>
        </w:tc>
      </w:tr>
      <w:tr w:rsidR="0099527A" w:rsidRPr="00D36491" w:rsidTr="00637BAB">
        <w:trPr>
          <w:trHeight w:val="397"/>
          <w:jc w:val="center"/>
        </w:trPr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GO:0033629</w:t>
            </w:r>
          </w:p>
        </w:tc>
        <w:tc>
          <w:tcPr>
            <w:tcW w:w="59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negative regulation of cell adhesion mediated by integrin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1.94E-02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51.02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201.04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i/>
                <w:lang w:val="en-GB"/>
              </w:rPr>
              <w:t>ACER2</w:t>
            </w:r>
          </w:p>
        </w:tc>
      </w:tr>
      <w:tr w:rsidR="0099527A" w:rsidRPr="00D36491" w:rsidTr="00637BAB">
        <w:trPr>
          <w:trHeight w:val="397"/>
          <w:jc w:val="center"/>
        </w:trPr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GO:0060292</w:t>
            </w:r>
          </w:p>
        </w:tc>
        <w:tc>
          <w:tcPr>
            <w:tcW w:w="59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long term synaptic depression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1.94E-02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51.02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201.04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i/>
                <w:lang w:val="en-GB"/>
              </w:rPr>
              <w:t>SLC24A2</w:t>
            </w:r>
          </w:p>
        </w:tc>
      </w:tr>
      <w:tr w:rsidR="0099527A" w:rsidRPr="00D36491" w:rsidTr="00637BAB">
        <w:trPr>
          <w:trHeight w:val="397"/>
          <w:jc w:val="center"/>
        </w:trPr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GO:0060850</w:t>
            </w:r>
          </w:p>
        </w:tc>
        <w:tc>
          <w:tcPr>
            <w:tcW w:w="5964" w:type="dxa"/>
            <w:tcBorders>
              <w:top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regulation of transcription involved in cell fate commitment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1.94E-02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51.02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lang w:val="en-GB"/>
              </w:rPr>
              <w:t>201.04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99527A" w:rsidRPr="00CC6516" w:rsidRDefault="0099527A" w:rsidP="00637BAB">
            <w:pPr>
              <w:spacing w:line="240" w:lineRule="auto"/>
              <w:jc w:val="center"/>
              <w:rPr>
                <w:rFonts w:ascii="Arial" w:hAnsi="Arial" w:cs="Arial"/>
                <w:i/>
                <w:color w:val="000000"/>
                <w:lang w:val="en-GB"/>
              </w:rPr>
            </w:pPr>
            <w:r w:rsidRPr="00CC6516">
              <w:rPr>
                <w:rFonts w:ascii="Arial" w:hAnsi="Arial" w:cs="Arial"/>
                <w:i/>
                <w:lang w:val="en-GB"/>
              </w:rPr>
              <w:t>RORA</w:t>
            </w:r>
          </w:p>
        </w:tc>
      </w:tr>
    </w:tbl>
    <w:p w:rsidR="0099527A" w:rsidRPr="00AE639D" w:rsidRDefault="0099527A" w:rsidP="00CC6516">
      <w:pPr>
        <w:spacing w:before="120"/>
        <w:rPr>
          <w:rFonts w:ascii="Arial" w:hAnsi="Arial" w:cs="Arial"/>
          <w:bCs/>
          <w:iCs/>
          <w:lang w:val="en-GB"/>
        </w:rPr>
      </w:pPr>
      <w:r w:rsidRPr="00CC6516">
        <w:rPr>
          <w:rFonts w:ascii="Arial" w:hAnsi="Arial" w:cs="Arial"/>
          <w:bCs/>
          <w:iCs/>
          <w:lang w:val="en-GB"/>
        </w:rPr>
        <w:t xml:space="preserve">Gene Ontology (GO) knowledgebase is the world's largest source of information on the functions of genes. </w:t>
      </w:r>
      <w:r w:rsidRPr="00CC6516">
        <w:rPr>
          <w:rFonts w:ascii="Arial" w:hAnsi="Arial" w:cs="Arial"/>
          <w:iCs/>
          <w:lang w:val="en-GB"/>
        </w:rPr>
        <w:t xml:space="preserve">Odds ratios </w:t>
      </w:r>
      <w:proofErr w:type="gramStart"/>
      <w:r w:rsidRPr="00CC6516">
        <w:rPr>
          <w:rFonts w:ascii="Arial" w:hAnsi="Arial" w:cs="Arial"/>
          <w:iCs/>
          <w:lang w:val="en-GB"/>
        </w:rPr>
        <w:t>are used</w:t>
      </w:r>
      <w:proofErr w:type="gramEnd"/>
      <w:r w:rsidRPr="00CC6516">
        <w:rPr>
          <w:rFonts w:ascii="Arial" w:hAnsi="Arial" w:cs="Arial"/>
          <w:iCs/>
          <w:lang w:val="en-GB"/>
        </w:rPr>
        <w:t xml:space="preserve"> to compare the relative odds of the occurrence of the outcome of interest given exposure to the variable of interest. The odds ratio </w:t>
      </w:r>
      <w:proofErr w:type="gramStart"/>
      <w:r w:rsidRPr="00CC6516">
        <w:rPr>
          <w:rFonts w:ascii="Arial" w:hAnsi="Arial" w:cs="Arial"/>
          <w:iCs/>
          <w:lang w:val="en-GB"/>
        </w:rPr>
        <w:t>is calculated</w:t>
      </w:r>
      <w:proofErr w:type="gramEnd"/>
      <w:r w:rsidRPr="00CC6516">
        <w:rPr>
          <w:rFonts w:ascii="Arial" w:hAnsi="Arial" w:cs="Arial"/>
          <w:iCs/>
          <w:lang w:val="en-GB"/>
        </w:rPr>
        <w:t xml:space="preserve"> using the analysed genes and GO terms of the datable.</w:t>
      </w:r>
    </w:p>
    <w:p w:rsidR="0099527A" w:rsidRPr="00EB1B70" w:rsidRDefault="0099527A" w:rsidP="00902D17">
      <w:pPr>
        <w:jc w:val="both"/>
        <w:rPr>
          <w:rFonts w:ascii="Arial" w:hAnsi="Arial" w:cs="Arial"/>
          <w:iCs/>
        </w:rPr>
      </w:pPr>
    </w:p>
    <w:p w:rsidR="0099527A" w:rsidRPr="00EB1B70" w:rsidRDefault="0099527A" w:rsidP="00902D17">
      <w:pPr>
        <w:jc w:val="both"/>
        <w:rPr>
          <w:rFonts w:ascii="Arial" w:hAnsi="Arial" w:cs="Arial"/>
          <w:iCs/>
        </w:rPr>
      </w:pPr>
    </w:p>
    <w:p w:rsidR="0099527A" w:rsidRPr="00EB1B70" w:rsidRDefault="0099527A" w:rsidP="00902D17">
      <w:pPr>
        <w:rPr>
          <w:rFonts w:ascii="Arial" w:hAnsi="Arial" w:cs="Arial"/>
        </w:rPr>
      </w:pPr>
    </w:p>
    <w:p w:rsidR="0099527A" w:rsidRPr="00EB1B70" w:rsidRDefault="0099527A"/>
    <w:p w:rsidR="00627BC5" w:rsidRPr="00EB1B70" w:rsidRDefault="00627BC5"/>
    <w:sectPr w:rsidR="00627BC5" w:rsidRPr="00EB1B70" w:rsidSect="00FD1C90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8E7" w:rsidRDefault="005048E7">
      <w:pPr>
        <w:spacing w:line="240" w:lineRule="auto"/>
      </w:pPr>
      <w:r>
        <w:separator/>
      </w:r>
    </w:p>
  </w:endnote>
  <w:endnote w:type="continuationSeparator" w:id="0">
    <w:p w:rsidR="005048E7" w:rsidRDefault="00504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3C6" w:rsidRDefault="00902D17">
    <w:pPr>
      <w:pStyle w:val="Pieddepage"/>
      <w:jc w:val="center"/>
    </w:pPr>
    <w:r>
      <w:fldChar w:fldCharType="begin"/>
    </w:r>
    <w:r>
      <w:instrText>PAGE</w:instrText>
    </w:r>
    <w:r>
      <w:fldChar w:fldCharType="separate"/>
    </w:r>
    <w:r w:rsidR="00A1366F">
      <w:rPr>
        <w:noProof/>
      </w:rPr>
      <w:t>4</w:t>
    </w:r>
    <w:r>
      <w:fldChar w:fldCharType="end"/>
    </w:r>
  </w:p>
  <w:p w:rsidR="008653C6" w:rsidRDefault="005048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8E7" w:rsidRDefault="005048E7">
      <w:pPr>
        <w:spacing w:line="240" w:lineRule="auto"/>
      </w:pPr>
      <w:r>
        <w:separator/>
      </w:r>
    </w:p>
  </w:footnote>
  <w:footnote w:type="continuationSeparator" w:id="0">
    <w:p w:rsidR="005048E7" w:rsidRDefault="005048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B70" w:rsidRPr="00EB1B70" w:rsidRDefault="00EB1B70" w:rsidP="00EB1B70">
    <w:pPr>
      <w:spacing w:line="276" w:lineRule="auto"/>
      <w:rPr>
        <w:rFonts w:ascii="Arial" w:hAnsi="Arial" w:cs="Arial"/>
        <w:bCs/>
        <w:iCs/>
        <w:sz w:val="20"/>
        <w:szCs w:val="20"/>
        <w:lang w:val="en-GB"/>
      </w:rPr>
    </w:pPr>
    <w:r w:rsidRPr="00EB1B70">
      <w:rPr>
        <w:rFonts w:ascii="Arial" w:hAnsi="Arial" w:cs="Arial"/>
        <w:bCs/>
        <w:iCs/>
        <w:sz w:val="20"/>
        <w:szCs w:val="20"/>
        <w:lang w:val="en-GB"/>
      </w:rPr>
      <w:t>Title: “The effect of divergent s</w:t>
    </w:r>
    <w:r w:rsidR="002834E1">
      <w:rPr>
        <w:rFonts w:ascii="Arial" w:hAnsi="Arial" w:cs="Arial"/>
        <w:bCs/>
        <w:iCs/>
        <w:sz w:val="20"/>
        <w:szCs w:val="20"/>
        <w:lang w:val="en-GB"/>
      </w:rPr>
      <w:t>election for intramuscular fat o</w:t>
    </w:r>
    <w:r w:rsidRPr="00EB1B70">
      <w:rPr>
        <w:rFonts w:ascii="Arial" w:hAnsi="Arial" w:cs="Arial"/>
        <w:bCs/>
        <w:iCs/>
        <w:sz w:val="20"/>
        <w:szCs w:val="20"/>
        <w:lang w:val="en-GB"/>
      </w:rPr>
      <w:t>n the domestic rabbit genome.”</w:t>
    </w:r>
  </w:p>
  <w:p w:rsidR="00EB1B70" w:rsidRPr="00EB1B70" w:rsidRDefault="00EB1B70" w:rsidP="00EB1B70">
    <w:pPr>
      <w:spacing w:line="276" w:lineRule="auto"/>
      <w:rPr>
        <w:rFonts w:ascii="Arial" w:hAnsi="Arial" w:cs="Arial"/>
        <w:bCs/>
        <w:iCs/>
        <w:sz w:val="20"/>
        <w:szCs w:val="20"/>
        <w:lang w:val="en-GB"/>
      </w:rPr>
    </w:pPr>
    <w:r w:rsidRPr="00EB1B70">
      <w:rPr>
        <w:rFonts w:ascii="Arial" w:hAnsi="Arial" w:cs="Arial"/>
        <w:bCs/>
        <w:iCs/>
        <w:sz w:val="20"/>
        <w:szCs w:val="20"/>
        <w:lang w:val="en-GB"/>
      </w:rPr>
      <w:t>Authors: B. S. Sosa-Madrid, L. Varona, A. Blasco, P. Hernánd</w:t>
    </w:r>
    <w:r w:rsidR="00EC013B">
      <w:rPr>
        <w:rFonts w:ascii="Arial" w:hAnsi="Arial" w:cs="Arial"/>
        <w:bCs/>
        <w:iCs/>
        <w:sz w:val="20"/>
        <w:szCs w:val="20"/>
        <w:lang w:val="en-GB"/>
      </w:rPr>
      <w:t>ez, C. Casto-Rebollo, and N. Ibá</w:t>
    </w:r>
    <w:r w:rsidRPr="00EB1B70">
      <w:rPr>
        <w:rFonts w:ascii="Arial" w:hAnsi="Arial" w:cs="Arial"/>
        <w:bCs/>
        <w:iCs/>
        <w:sz w:val="20"/>
        <w:szCs w:val="20"/>
        <w:lang w:val="en-GB"/>
      </w:rPr>
      <w:t>ñez-Escriche.</w:t>
    </w:r>
  </w:p>
  <w:p w:rsidR="00EB1B70" w:rsidRPr="00EB1B70" w:rsidRDefault="00EB1B70" w:rsidP="00EB1B70">
    <w:pPr>
      <w:spacing w:line="276" w:lineRule="auto"/>
      <w:rPr>
        <w:rFonts w:ascii="Arial" w:hAnsi="Arial" w:cs="Arial"/>
        <w:iCs/>
        <w:sz w:val="20"/>
        <w:szCs w:val="20"/>
        <w:lang w:val="en-GB"/>
      </w:rPr>
    </w:pPr>
    <w:r w:rsidRPr="00EB1B70">
      <w:rPr>
        <w:rFonts w:ascii="Arial" w:hAnsi="Arial" w:cs="Arial"/>
        <w:iCs/>
        <w:sz w:val="20"/>
        <w:szCs w:val="20"/>
        <w:lang w:val="en-GB"/>
      </w:rPr>
      <w:t>Journal: Animal</w:t>
    </w:r>
  </w:p>
  <w:p w:rsidR="00EB1B70" w:rsidRDefault="00EB1B70" w:rsidP="00EB1B7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2MTe3sDA1tjAzMjRQ0lEKTi0uzszPAykwrAUAKENH5iwAAAA="/>
  </w:docVars>
  <w:rsids>
    <w:rsidRoot w:val="00902D17"/>
    <w:rsid w:val="001B7BD7"/>
    <w:rsid w:val="002834E1"/>
    <w:rsid w:val="003F02B8"/>
    <w:rsid w:val="005048E7"/>
    <w:rsid w:val="00627BC5"/>
    <w:rsid w:val="007B0BC4"/>
    <w:rsid w:val="00877ED7"/>
    <w:rsid w:val="00902D17"/>
    <w:rsid w:val="00905B23"/>
    <w:rsid w:val="0099527A"/>
    <w:rsid w:val="009D1916"/>
    <w:rsid w:val="00A1366F"/>
    <w:rsid w:val="00D37126"/>
    <w:rsid w:val="00EB1B70"/>
    <w:rsid w:val="00EC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93190"/>
  <w15:chartTrackingRefBased/>
  <w15:docId w15:val="{CF6804EB-F119-44C2-BB69-44541374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D17"/>
    <w:pPr>
      <w:spacing w:after="0"/>
    </w:pPr>
    <w:rPr>
      <w:rFonts w:ascii="Calibri" w:eastAsia="SimSun" w:hAnsi="Calibri" w:cs="Times New Roman"/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Pieddepage"/>
    <w:uiPriority w:val="99"/>
    <w:qFormat/>
    <w:rsid w:val="00902D17"/>
  </w:style>
  <w:style w:type="paragraph" w:styleId="Pieddepage">
    <w:name w:val="footer"/>
    <w:basedOn w:val="Normal"/>
    <w:link w:val="PieddepageCar"/>
    <w:uiPriority w:val="99"/>
    <w:unhideWhenUsed/>
    <w:rsid w:val="00902D17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PiedepginaCar1">
    <w:name w:val="Pie de página Car1"/>
    <w:basedOn w:val="Policepardfaut"/>
    <w:uiPriority w:val="99"/>
    <w:semiHidden/>
    <w:rsid w:val="00902D17"/>
    <w:rPr>
      <w:rFonts w:ascii="Calibri" w:eastAsia="SimSun" w:hAnsi="Calibri" w:cs="Times New Roman"/>
      <w:color w:val="00000A"/>
    </w:rPr>
  </w:style>
  <w:style w:type="paragraph" w:styleId="En-tte">
    <w:name w:val="header"/>
    <w:basedOn w:val="Normal"/>
    <w:link w:val="En-tteCar"/>
    <w:uiPriority w:val="99"/>
    <w:unhideWhenUsed/>
    <w:rsid w:val="00EB1B70"/>
    <w:pPr>
      <w:tabs>
        <w:tab w:val="center" w:pos="4252"/>
        <w:tab w:val="right" w:pos="8504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1B70"/>
    <w:rPr>
      <w:rFonts w:ascii="Calibri" w:eastAsia="SimSu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898B4-073F-4AA2-B1AB-7921B7FC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ANM</cp:lastModifiedBy>
  <cp:revision>3</cp:revision>
  <dcterms:created xsi:type="dcterms:W3CDTF">2020-05-19T07:46:00Z</dcterms:created>
  <dcterms:modified xsi:type="dcterms:W3CDTF">2020-05-19T07:46:00Z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http://csl.mendeley.com/styles/454377171/animal-2</vt:lpwstr>
  </property>
  <property fmtid="{D5CDD505-2E9C-101B-9397-08002B2CF9AE}" pid="21" name="Mendeley Recent Style Name 9_1">
    <vt:lpwstr>animal - Bolivar Samuel Sosa Madrid</vt:lpwstr>
  </property>
</Properties>
</file>