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0"/>
        <w:rPr>
          <w:rFonts w:ascii="Arial" w:hAnsi="Arial" w:eastAsia="Times New Roman" w:cs="Times New Roman"/>
          <w:b/>
          <w:b/>
          <w:sz w:val="24"/>
          <w:szCs w:val="24"/>
          <w:lang w:val="en-GB" w:eastAsia="fr-FR"/>
        </w:rPr>
      </w:pPr>
      <w:r>
        <w:rPr>
          <w:rFonts w:eastAsia="Times New Roman" w:cs="Times New Roman" w:ascii="Arial" w:hAnsi="Arial"/>
          <w:b/>
          <w:sz w:val="24"/>
          <w:szCs w:val="24"/>
          <w:lang w:val="en-GB" w:eastAsia="fr-FR"/>
        </w:rPr>
        <w:t>Transient effect of single or repeated acute deoxynivalenol and zearalenone dietary challenge on fecal microbiota composition in female finishing pigs</w:t>
      </w:r>
    </w:p>
    <w:p>
      <w:pPr>
        <w:pStyle w:val="Normal"/>
        <w:spacing w:lineRule="auto" w:line="480" w:before="0" w:after="0"/>
        <w:rPr>
          <w:rFonts w:ascii="Arial" w:hAnsi="Arial" w:eastAsia="Times New Roman" w:cs="Times New Roman"/>
          <w:sz w:val="24"/>
          <w:szCs w:val="24"/>
          <w:lang w:val="en-US" w:eastAsia="fr-FR"/>
        </w:rPr>
      </w:pPr>
      <w:r>
        <w:rPr>
          <w:rFonts w:eastAsia="Times New Roman" w:cs="Times New Roman" w:ascii="Arial" w:hAnsi="Arial"/>
          <w:sz w:val="24"/>
          <w:szCs w:val="24"/>
          <w:lang w:val="en-US" w:eastAsia="fr-FR"/>
        </w:rPr>
        <w:t>M. Le Sciellour, O. Zemb, A.-M. Serviento and D. Renaudeau</w:t>
      </w:r>
    </w:p>
    <w:p>
      <w:pPr>
        <w:pStyle w:val="ANMTabtitle"/>
        <w:rPr>
          <w:i w:val="false"/>
          <w:i w:val="false"/>
        </w:rPr>
      </w:pPr>
      <w:r>
        <w:rPr>
          <w:rStyle w:val="ANMheading1Car"/>
          <w:i/>
          <w:iCs/>
        </w:rPr>
        <w:t>animal</w:t>
      </w:r>
      <w:r>
        <w:rPr>
          <w:rStyle w:val="ANMheading1Car"/>
          <w:i w:val="false"/>
        </w:rPr>
        <w:t xml:space="preserve"> journal</w:t>
      </w:r>
    </w:p>
    <w:p>
      <w:pPr>
        <w:pStyle w:val="Normal"/>
        <w:rPr>
          <w:rStyle w:val="ANMheading1Car"/>
          <w:i w:val="false"/>
          <w:i w:val="false"/>
        </w:rPr>
      </w:pPr>
      <w:r>
        <w:rPr>
          <w:i w:val="false"/>
        </w:rPr>
      </w:r>
    </w:p>
    <w:p>
      <w:pPr>
        <w:pStyle w:val="ANMTabtitle"/>
        <w:rPr/>
      </w:pPr>
      <w:r>
        <w:rPr>
          <w:rStyle w:val="ANMheading1Car"/>
          <w:i w:val="false"/>
        </w:rPr>
        <w:t>Table S2</w:t>
      </w:r>
      <w:r>
        <w:rPr>
          <w:rStyle w:val="ANMheading1Car"/>
        </w:rPr>
        <w:t xml:space="preserve"> </w:t>
      </w:r>
      <w:r>
        <w:rPr>
          <w:lang w:val="en-US"/>
        </w:rPr>
        <w:t>Relative abundance (%) of families and genera in pigs’ fecal samples collected in the two different experimental groups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at 140 days of age</w:t>
      </w:r>
      <w:r>
        <w:rPr/>
        <w:t>.</w:t>
      </w:r>
    </w:p>
    <w:tbl>
      <w:tblPr>
        <w:tblW w:w="5000" w:type="pct"/>
        <w:jc w:val="left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83"/>
        <w:gridCol w:w="1867"/>
        <w:gridCol w:w="1714"/>
        <w:gridCol w:w="1341"/>
      </w:tblGrid>
      <w:tr>
        <w:trPr>
          <w:trHeight w:val="300" w:hRule="atLeast"/>
        </w:trPr>
        <w:tc>
          <w:tcPr>
            <w:tcW w:w="448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Relative abundance (%)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CD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DD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p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48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ANMTabstubheading"/>
              <w:rPr/>
            </w:pPr>
            <w:r>
              <w:rPr/>
              <w:t>Families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448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ANMTabstubheading"/>
              <w:ind w:firstLine="142"/>
              <w:rPr>
                <w:i/>
                <w:i/>
              </w:rPr>
            </w:pPr>
            <w:r>
              <w:rPr>
                <w:i/>
              </w:rPr>
              <w:t>Coriobacteriaceae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 xml:space="preserve">0.06 </w:t>
            </w:r>
            <w:bookmarkStart w:id="0" w:name="__DdeLink__25237_2285085723"/>
            <w:r>
              <w:rPr>
                <w:rFonts w:eastAsia="Times New Roman" w:cs="Arial" w:ascii="Arial" w:hAnsi="Arial"/>
                <w:color w:val="000000"/>
                <w:lang w:val="en-US"/>
              </w:rPr>
              <w:t>± 0.04</w:t>
            </w:r>
            <w:bookmarkEnd w:id="0"/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0.03 ± 0.02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&lt;0.05</w:t>
            </w:r>
          </w:p>
        </w:tc>
      </w:tr>
      <w:tr>
        <w:trPr>
          <w:trHeight w:val="300" w:hRule="atLeast"/>
        </w:trPr>
        <w:tc>
          <w:tcPr>
            <w:tcW w:w="448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ANMTabstubheading"/>
              <w:ind w:firstLine="142"/>
              <w:rPr>
                <w:i/>
                <w:i/>
              </w:rPr>
            </w:pPr>
            <w:r>
              <w:rPr>
                <w:i/>
              </w:rPr>
              <w:t>Lactobacillaceae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10.97 ± 10.39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17.02 ± 10.30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&lt;0.05</w:t>
            </w:r>
          </w:p>
        </w:tc>
      </w:tr>
      <w:tr>
        <w:trPr>
          <w:trHeight w:val="300" w:hRule="atLeast"/>
        </w:trPr>
        <w:tc>
          <w:tcPr>
            <w:tcW w:w="448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ANMTabstubheading"/>
              <w:ind w:firstLine="142"/>
              <w:rPr>
                <w:i/>
                <w:i/>
              </w:rPr>
            </w:pPr>
            <w:r>
              <w:rPr>
                <w:i/>
              </w:rPr>
              <w:t>Spirochaetaceae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0.33 ± 0.28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0.43 ± 0.23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&lt;0.05</w:t>
            </w:r>
          </w:p>
        </w:tc>
      </w:tr>
      <w:tr>
        <w:trPr>
          <w:trHeight w:val="300" w:hRule="atLeast"/>
        </w:trPr>
        <w:tc>
          <w:tcPr>
            <w:tcW w:w="448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ANMTabstubheading"/>
              <w:rPr/>
            </w:pPr>
            <w:r>
              <w:rPr/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448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ANMTabstubheading"/>
              <w:rPr/>
            </w:pPr>
            <w:r>
              <w:rPr/>
              <w:t>Genera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448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ANMTabstubheading"/>
              <w:ind w:firstLine="142"/>
              <w:rPr>
                <w:i/>
                <w:i/>
              </w:rPr>
            </w:pPr>
            <w:r>
              <w:rPr>
                <w:i/>
              </w:rPr>
              <w:t>Collinsella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0.05 ± 0.03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0.03 ± 0.02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&lt;0.05</w:t>
            </w:r>
          </w:p>
        </w:tc>
      </w:tr>
      <w:tr>
        <w:trPr>
          <w:trHeight w:val="300" w:hRule="atLeast"/>
        </w:trPr>
        <w:tc>
          <w:tcPr>
            <w:tcW w:w="448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ANMTabstubheading"/>
              <w:ind w:firstLine="142"/>
              <w:rPr>
                <w:i/>
                <w:i/>
              </w:rPr>
            </w:pPr>
            <w:r>
              <w:rPr>
                <w:i/>
              </w:rPr>
              <w:t>Lactobacillus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10.95 ± 10.35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16.96 ± 10.24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lang w:val="en-US"/>
              </w:rPr>
              <w:t>&lt;0.05</w:t>
            </w:r>
          </w:p>
        </w:tc>
      </w:tr>
    </w:tbl>
    <w:p>
      <w:pPr>
        <w:pStyle w:val="Normal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>The treatments groups are: the CD group fed a deoxynivalenol (DON)- and zearalenone (ZEN)-contaminated diet between 134 and 140 days, and the DD group fed a DON- and ZEN-</w:t>
      </w:r>
      <w:bookmarkStart w:id="1" w:name="_GoBack"/>
      <w:bookmarkEnd w:id="1"/>
      <w:r>
        <w:rPr>
          <w:lang w:val="en-US"/>
        </w:rPr>
        <w:t>contaminated diet between 113 and 119 days and between 134 and 140 days.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vertAlign w:val="superscript"/>
          <w:lang w:val="en-US"/>
        </w:rPr>
        <w:t>2</w:t>
      </w:r>
      <w:r>
        <w:rPr>
          <w:lang w:val="en-US"/>
        </w:rPr>
        <w:t>The p-value (p) resulted from a Wilcoxon test. Only the families and genera that significantly differ between the treatments are presented in the table.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17f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017f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17f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17f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17f1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17f1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17f1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17f1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17f1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17f1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c017f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re2Car" w:customStyle="1">
    <w:name w:val="Titre 2 Car"/>
    <w:basedOn w:val="DefaultParagraphFont"/>
    <w:link w:val="Titre2"/>
    <w:uiPriority w:val="9"/>
    <w:qFormat/>
    <w:rsid w:val="00c017f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re3Car" w:customStyle="1">
    <w:name w:val="Titre 3 Car"/>
    <w:basedOn w:val="DefaultParagraphFont"/>
    <w:link w:val="Titre3"/>
    <w:uiPriority w:val="9"/>
    <w:qFormat/>
    <w:rsid w:val="00c017f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itreCar" w:customStyle="1">
    <w:name w:val="Titre Car"/>
    <w:basedOn w:val="DefaultParagraphFont"/>
    <w:link w:val="Titre"/>
    <w:uiPriority w:val="10"/>
    <w:qFormat/>
    <w:rsid w:val="00c017f1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rong">
    <w:name w:val="Strong"/>
    <w:basedOn w:val="DefaultParagraphFont"/>
    <w:uiPriority w:val="22"/>
    <w:qFormat/>
    <w:rsid w:val="00c017f1"/>
    <w:rPr>
      <w:b/>
      <w:bCs/>
    </w:rPr>
  </w:style>
  <w:style w:type="character" w:styleId="Accentuation">
    <w:name w:val="Accentuation"/>
    <w:basedOn w:val="DefaultParagraphFont"/>
    <w:uiPriority w:val="20"/>
    <w:qFormat/>
    <w:rsid w:val="00c017f1"/>
    <w:rPr>
      <w:i/>
      <w:iCs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c017f1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c017f1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c017f1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c017f1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c017f1"/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c017f1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c017f1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c017f1"/>
    <w:rPr>
      <w:i/>
      <w:iCs/>
      <w:color w:val="000000" w:themeColor="text1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c017f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017f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017f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017f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17f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17f1"/>
    <w:rPr>
      <w:b/>
      <w:bCs/>
      <w:smallCaps/>
      <w:spacing w:val="5"/>
    </w:rPr>
  </w:style>
  <w:style w:type="character" w:styleId="ANMheading1Car" w:customStyle="1">
    <w:name w:val="ANM heading 1 Car"/>
    <w:link w:val="ANMheading1"/>
    <w:uiPriority w:val="99"/>
    <w:qFormat/>
    <w:locked/>
    <w:rsid w:val="008b317c"/>
    <w:rPr>
      <w:rFonts w:ascii="Arial" w:hAnsi="Arial" w:eastAsia="Times New Roman" w:cs="Times New Roman"/>
      <w:b/>
      <w:sz w:val="24"/>
      <w:szCs w:val="24"/>
      <w:lang w:val="en-GB"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Normal"/>
    <w:link w:val="TitreCar"/>
    <w:uiPriority w:val="10"/>
    <w:qFormat/>
    <w:rsid w:val="00c017f1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c017f1"/>
    <w:pPr>
      <w:spacing w:before="0" w:after="200"/>
      <w:ind w:left="720" w:hanging="0"/>
      <w:contextualSpacing/>
    </w:pPr>
    <w:rPr/>
  </w:style>
  <w:style w:type="paragraph" w:styleId="TOCHeading">
    <w:name w:val="TOC Heading"/>
    <w:basedOn w:val="Titre1"/>
    <w:next w:val="Normal"/>
    <w:uiPriority w:val="39"/>
    <w:semiHidden/>
    <w:unhideWhenUsed/>
    <w:qFormat/>
    <w:rsid w:val="00c017f1"/>
    <w:pPr/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c017f1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oustitre">
    <w:name w:val="Subtitle"/>
    <w:basedOn w:val="Normal"/>
    <w:next w:val="Normal"/>
    <w:link w:val="Sous-titreCar"/>
    <w:uiPriority w:val="11"/>
    <w:qFormat/>
    <w:rsid w:val="00c017f1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017f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link w:val="CitationCar"/>
    <w:uiPriority w:val="29"/>
    <w:qFormat/>
    <w:rsid w:val="00c017f1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c017f1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ANMheading1" w:customStyle="1">
    <w:name w:val="ANM heading 1"/>
    <w:next w:val="Normal"/>
    <w:link w:val="ANMheading1Car"/>
    <w:uiPriority w:val="99"/>
    <w:qFormat/>
    <w:rsid w:val="008b317c"/>
    <w:pPr>
      <w:widowControl/>
      <w:bidi w:val="0"/>
      <w:spacing w:lineRule="auto" w:line="480" w:before="0" w:after="0"/>
      <w:jc w:val="left"/>
    </w:pPr>
    <w:rPr>
      <w:rFonts w:ascii="Arial" w:hAnsi="Arial" w:eastAsia="Times New Roman" w:cs="Times New Roman"/>
      <w:b/>
      <w:color w:val="auto"/>
      <w:kern w:val="0"/>
      <w:sz w:val="24"/>
      <w:szCs w:val="24"/>
      <w:lang w:val="en-GB" w:eastAsia="fr-FR" w:bidi="ar-SA"/>
    </w:rPr>
  </w:style>
  <w:style w:type="paragraph" w:styleId="ANMTabtitle" w:customStyle="1">
    <w:name w:val="ANM Tab title"/>
    <w:next w:val="Normal"/>
    <w:qFormat/>
    <w:rsid w:val="008b317c"/>
    <w:pPr>
      <w:widowControl/>
      <w:bidi w:val="0"/>
      <w:spacing w:lineRule="auto" w:line="480" w:before="0" w:after="0"/>
      <w:jc w:val="left"/>
    </w:pPr>
    <w:rPr>
      <w:rFonts w:ascii="Arial" w:hAnsi="Arial" w:eastAsia="Times New Roman" w:cs="Times New Roman"/>
      <w:i/>
      <w:color w:val="auto"/>
      <w:kern w:val="0"/>
      <w:sz w:val="24"/>
      <w:szCs w:val="24"/>
      <w:lang w:val="en-GB" w:eastAsia="fr-FR" w:bidi="ar-SA"/>
    </w:rPr>
  </w:style>
  <w:style w:type="paragraph" w:styleId="ANMTabstubheading" w:customStyle="1">
    <w:name w:val="ANM Tab stub heading"/>
    <w:next w:val="Normal"/>
    <w:qFormat/>
    <w:rsid w:val="00263b64"/>
    <w:pPr>
      <w:widowControl/>
      <w:bidi w:val="0"/>
      <w:spacing w:lineRule="auto" w:line="36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en-GB"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LibreOffice/6.0.7.3$Linux_X86_64 LibreOffice_project/00m0$Build-3</Application>
  <Pages>1</Pages>
  <Words>170</Words>
  <Characters>886</Characters>
  <CharactersWithSpaces>1024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2019-09-16T09:03:00Z</dcterms:created>
  <dc:creator>mlesciellou</dc:creator>
  <dc:description/>
  <dc:language>fr-FR</dc:language>
  <cp:lastModifiedBy/>
  <dcterms:modified xsi:type="dcterms:W3CDTF">2020-05-13T11:39:23Z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