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1633E4" w14:textId="5382DD60" w:rsidR="00B7450B" w:rsidRPr="00B7450B" w:rsidRDefault="00E12362" w:rsidP="00B7450B">
      <w:pPr>
        <w:spacing w:line="276" w:lineRule="auto"/>
        <w:jc w:val="both"/>
        <w:rPr>
          <w:rFonts w:ascii="Times New Roman" w:hAnsi="Times New Roman"/>
          <w:color w:val="FF0000"/>
        </w:rPr>
      </w:pPr>
      <w:r>
        <w:rPr>
          <w:rFonts w:ascii="Times New Roman" w:hAnsi="Times New Roman"/>
          <w:color w:val="FF0000"/>
        </w:rPr>
        <w:t xml:space="preserve">Online </w:t>
      </w:r>
      <w:r w:rsidR="0011270A" w:rsidRPr="008030CF">
        <w:rPr>
          <w:rFonts w:ascii="Times New Roman" w:hAnsi="Times New Roman"/>
          <w:color w:val="FF0000"/>
        </w:rPr>
        <w:t>Appendix</w:t>
      </w:r>
      <w:r w:rsidR="00B7450B">
        <w:rPr>
          <w:rFonts w:ascii="Times New Roman" w:hAnsi="Times New Roman"/>
          <w:color w:val="FF0000"/>
        </w:rPr>
        <w:t xml:space="preserve">: </w:t>
      </w:r>
      <w:r w:rsidR="00B7450B" w:rsidRPr="00B7450B">
        <w:rPr>
          <w:rFonts w:ascii="Times New Roman" w:hAnsi="Times New Roman"/>
          <w:color w:val="FF0000"/>
        </w:rPr>
        <w:t xml:space="preserve">The Political Economy of Support for Sharia: Evidence from the Russian North Caucasus </w:t>
      </w:r>
    </w:p>
    <w:p w14:paraId="23616ED2" w14:textId="368323EA" w:rsidR="0011270A" w:rsidRDefault="0011270A" w:rsidP="0011270A">
      <w:pPr>
        <w:spacing w:line="276" w:lineRule="auto"/>
        <w:jc w:val="both"/>
        <w:rPr>
          <w:rFonts w:ascii="Times New Roman" w:hAnsi="Times New Roman"/>
          <w:color w:val="FF0000"/>
        </w:rPr>
      </w:pPr>
    </w:p>
    <w:p w14:paraId="6BE542CE" w14:textId="77777777" w:rsidR="0011270A" w:rsidRPr="009B4EA2" w:rsidRDefault="0011270A" w:rsidP="0011270A">
      <w:pPr>
        <w:spacing w:line="276" w:lineRule="auto"/>
        <w:ind w:left="-270" w:right="-180"/>
        <w:jc w:val="center"/>
        <w:outlineLvl w:val="0"/>
        <w:rPr>
          <w:rFonts w:ascii="Times New Roman" w:hAnsi="Times New Roman"/>
        </w:rPr>
      </w:pPr>
      <w:r>
        <w:rPr>
          <w:rFonts w:ascii="Times New Roman" w:hAnsi="Times New Roman"/>
          <w:noProof/>
        </w:rPr>
        <w:drawing>
          <wp:inline distT="0" distB="0" distL="0" distR="0" wp14:anchorId="434DA30A" wp14:editId="2622C78F">
            <wp:extent cx="2597785" cy="6529133"/>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2608791" cy="6556794"/>
                    </a:xfrm>
                    <a:prstGeom prst="rect">
                      <a:avLst/>
                    </a:prstGeom>
                    <a:noFill/>
                    <a:ln w="9525">
                      <a:noFill/>
                      <a:miter lim="800000"/>
                      <a:headEnd/>
                      <a:tailEnd/>
                    </a:ln>
                  </pic:spPr>
                </pic:pic>
              </a:graphicData>
            </a:graphic>
          </wp:inline>
        </w:drawing>
      </w:r>
      <w:r w:rsidRPr="007248BA" w:rsidDel="00B654A7">
        <w:rPr>
          <w:rFonts w:ascii="Times New Roman" w:hAnsi="Times New Roman"/>
          <w:noProof/>
        </w:rPr>
        <w:t xml:space="preserve"> </w:t>
      </w:r>
    </w:p>
    <w:p w14:paraId="5540D4D7" w14:textId="567C5293" w:rsidR="0011270A" w:rsidRPr="008030CF" w:rsidRDefault="0011270A" w:rsidP="0011270A">
      <w:pPr>
        <w:spacing w:line="276" w:lineRule="auto"/>
        <w:ind w:left="-270" w:right="-180"/>
        <w:jc w:val="center"/>
        <w:rPr>
          <w:rFonts w:ascii="Times New Roman" w:hAnsi="Times New Roman"/>
          <w:i/>
          <w:color w:val="FF0000"/>
        </w:rPr>
      </w:pPr>
      <w:r>
        <w:rPr>
          <w:rFonts w:ascii="Times New Roman" w:hAnsi="Times New Roman"/>
          <w:i/>
          <w:color w:val="FF0000"/>
        </w:rPr>
        <w:t xml:space="preserve">Appendix </w:t>
      </w:r>
      <w:r w:rsidRPr="008030CF">
        <w:rPr>
          <w:rFonts w:ascii="Times New Roman" w:hAnsi="Times New Roman"/>
          <w:i/>
          <w:color w:val="FF0000"/>
        </w:rPr>
        <w:t>Table 1: Comparison of Two Ordinal Logistic Regression Models</w:t>
      </w:r>
      <w:r w:rsidR="00B7450B">
        <w:rPr>
          <w:rStyle w:val="FootnoteReference"/>
          <w:rFonts w:ascii="Times New Roman" w:hAnsi="Times New Roman"/>
          <w:i/>
          <w:color w:val="FF0000"/>
        </w:rPr>
        <w:footnoteReference w:id="1"/>
      </w:r>
    </w:p>
    <w:p w14:paraId="33322D9F" w14:textId="77777777" w:rsidR="0011270A" w:rsidRPr="008030CF" w:rsidRDefault="0011270A" w:rsidP="0011270A">
      <w:pPr>
        <w:spacing w:line="276" w:lineRule="auto"/>
        <w:ind w:left="-270" w:right="-180"/>
        <w:jc w:val="both"/>
        <w:rPr>
          <w:rFonts w:ascii="Times New Roman" w:hAnsi="Times New Roman"/>
          <w:i/>
          <w:color w:val="FF0000"/>
        </w:rPr>
      </w:pPr>
    </w:p>
    <w:p w14:paraId="270D0DB9" w14:textId="77777777" w:rsidR="0011270A" w:rsidRDefault="0011270A" w:rsidP="0011270A">
      <w:pPr>
        <w:spacing w:line="276" w:lineRule="auto"/>
        <w:ind w:left="-270" w:right="-180"/>
        <w:jc w:val="center"/>
        <w:rPr>
          <w:rFonts w:ascii="Times New Roman" w:hAnsi="Times New Roman"/>
          <w:noProof/>
          <w:color w:val="FF0000"/>
        </w:rPr>
      </w:pPr>
      <w:r>
        <w:rPr>
          <w:rFonts w:ascii="Times New Roman" w:hAnsi="Times New Roman"/>
          <w:noProof/>
          <w:color w:val="FF0000"/>
        </w:rPr>
        <w:lastRenderedPageBreak/>
        <w:drawing>
          <wp:inline distT="0" distB="0" distL="0" distR="0" wp14:anchorId="5430E226" wp14:editId="79978A9E">
            <wp:extent cx="2407285" cy="7081750"/>
            <wp:effectExtent l="0" t="0" r="5715" b="508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416945" cy="7110167"/>
                    </a:xfrm>
                    <a:prstGeom prst="rect">
                      <a:avLst/>
                    </a:prstGeom>
                    <a:noFill/>
                    <a:ln w="9525">
                      <a:noFill/>
                      <a:miter lim="800000"/>
                      <a:headEnd/>
                      <a:tailEnd/>
                    </a:ln>
                  </pic:spPr>
                </pic:pic>
              </a:graphicData>
            </a:graphic>
          </wp:inline>
        </w:drawing>
      </w:r>
    </w:p>
    <w:p w14:paraId="3AD42755" w14:textId="2AD7CAAC" w:rsidR="0011270A" w:rsidRPr="008030CF" w:rsidRDefault="0011270A" w:rsidP="0011270A">
      <w:pPr>
        <w:spacing w:line="276" w:lineRule="auto"/>
        <w:ind w:left="-270" w:right="-180"/>
        <w:jc w:val="center"/>
        <w:rPr>
          <w:rFonts w:ascii="Times New Roman" w:hAnsi="Times New Roman"/>
          <w:i/>
          <w:color w:val="FF0000"/>
        </w:rPr>
      </w:pPr>
      <w:r>
        <w:rPr>
          <w:rFonts w:ascii="Times New Roman" w:hAnsi="Times New Roman"/>
          <w:i/>
          <w:color w:val="FF0000"/>
        </w:rPr>
        <w:t>Appendix Table 2</w:t>
      </w:r>
      <w:r w:rsidRPr="008030CF">
        <w:rPr>
          <w:rFonts w:ascii="Times New Roman" w:hAnsi="Times New Roman"/>
          <w:i/>
          <w:color w:val="FF0000"/>
        </w:rPr>
        <w:t>: Or</w:t>
      </w:r>
      <w:r>
        <w:rPr>
          <w:rFonts w:ascii="Times New Roman" w:hAnsi="Times New Roman"/>
          <w:i/>
          <w:color w:val="FF0000"/>
        </w:rPr>
        <w:t>dinal Logistic Regression Model with Missing Data</w:t>
      </w:r>
      <w:r w:rsidR="00B7450B">
        <w:rPr>
          <w:rStyle w:val="FootnoteReference"/>
          <w:rFonts w:ascii="Times New Roman" w:hAnsi="Times New Roman"/>
          <w:i/>
          <w:color w:val="FF0000"/>
        </w:rPr>
        <w:footnoteReference w:id="2"/>
      </w:r>
    </w:p>
    <w:p w14:paraId="77F5B966" w14:textId="77777777" w:rsidR="0011270A" w:rsidRPr="00D54B0E" w:rsidRDefault="0011270A" w:rsidP="0011270A">
      <w:pPr>
        <w:spacing w:line="276" w:lineRule="auto"/>
        <w:ind w:left="-270" w:right="-180"/>
        <w:jc w:val="center"/>
        <w:rPr>
          <w:rFonts w:ascii="Times New Roman" w:hAnsi="Times New Roman"/>
          <w:i/>
        </w:rPr>
      </w:pPr>
    </w:p>
    <w:p w14:paraId="28D66FDF" w14:textId="77777777" w:rsidR="0011270A" w:rsidRDefault="0011270A" w:rsidP="0011270A">
      <w:pPr>
        <w:spacing w:line="276" w:lineRule="auto"/>
        <w:jc w:val="center"/>
        <w:rPr>
          <w:rFonts w:ascii="Times New Roman" w:hAnsi="Times New Roman"/>
        </w:rPr>
      </w:pPr>
      <w:r>
        <w:rPr>
          <w:rFonts w:ascii="Times New Roman" w:hAnsi="Times New Roman"/>
          <w:noProof/>
        </w:rPr>
        <w:lastRenderedPageBreak/>
        <w:drawing>
          <wp:inline distT="0" distB="0" distL="0" distR="0" wp14:anchorId="02B3A61D" wp14:editId="40F86566">
            <wp:extent cx="5930900" cy="3422650"/>
            <wp:effectExtent l="25400" t="0" r="0" b="0"/>
            <wp:docPr id="12" name="Picture 12" descr="pro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robs"/>
                    <pic:cNvPicPr>
                      <a:picLocks noChangeAspect="1" noChangeArrowheads="1"/>
                    </pic:cNvPicPr>
                  </pic:nvPicPr>
                  <pic:blipFill>
                    <a:blip r:embed="rId8"/>
                    <a:srcRect/>
                    <a:stretch>
                      <a:fillRect/>
                    </a:stretch>
                  </pic:blipFill>
                  <pic:spPr bwMode="auto">
                    <a:xfrm>
                      <a:off x="0" y="0"/>
                      <a:ext cx="5930900" cy="3422650"/>
                    </a:xfrm>
                    <a:prstGeom prst="rect">
                      <a:avLst/>
                    </a:prstGeom>
                    <a:noFill/>
                    <a:ln w="9525">
                      <a:noFill/>
                      <a:miter lim="800000"/>
                      <a:headEnd/>
                      <a:tailEnd/>
                    </a:ln>
                  </pic:spPr>
                </pic:pic>
              </a:graphicData>
            </a:graphic>
          </wp:inline>
        </w:drawing>
      </w:r>
    </w:p>
    <w:p w14:paraId="458E948E" w14:textId="2FC13CB0" w:rsidR="0011270A" w:rsidRPr="008030CF" w:rsidRDefault="0011270A" w:rsidP="0011270A">
      <w:pPr>
        <w:spacing w:line="276" w:lineRule="auto"/>
        <w:jc w:val="center"/>
        <w:rPr>
          <w:rFonts w:ascii="Times New Roman" w:hAnsi="Times New Roman"/>
          <w:i/>
          <w:color w:val="FF0000"/>
        </w:rPr>
      </w:pPr>
      <w:r>
        <w:rPr>
          <w:rFonts w:ascii="Times New Roman" w:hAnsi="Times New Roman"/>
          <w:i/>
          <w:color w:val="FF0000"/>
        </w:rPr>
        <w:t xml:space="preserve">Appendix </w:t>
      </w:r>
      <w:r w:rsidRPr="008030CF">
        <w:rPr>
          <w:rFonts w:ascii="Times New Roman" w:hAnsi="Times New Roman"/>
          <w:i/>
          <w:color w:val="FF0000"/>
        </w:rPr>
        <w:t xml:space="preserve">Figure </w:t>
      </w:r>
      <w:r>
        <w:rPr>
          <w:rFonts w:ascii="Times New Roman" w:hAnsi="Times New Roman"/>
          <w:i/>
          <w:color w:val="FF0000"/>
        </w:rPr>
        <w:t>1</w:t>
      </w:r>
      <w:r w:rsidRPr="008030CF">
        <w:rPr>
          <w:rFonts w:ascii="Times New Roman" w:hAnsi="Times New Roman"/>
          <w:i/>
          <w:color w:val="FF0000"/>
        </w:rPr>
        <w:t>. Predicted probabilities of supporting for Sharia.</w:t>
      </w:r>
      <w:r w:rsidR="00B7450B">
        <w:rPr>
          <w:rStyle w:val="FootnoteReference"/>
          <w:rFonts w:ascii="Times New Roman" w:hAnsi="Times New Roman"/>
          <w:i/>
          <w:color w:val="FF0000"/>
        </w:rPr>
        <w:footnoteReference w:id="3"/>
      </w:r>
    </w:p>
    <w:p w14:paraId="09E5DD90" w14:textId="77777777" w:rsidR="0011270A" w:rsidRPr="008030CF" w:rsidRDefault="0011270A" w:rsidP="0011270A">
      <w:pPr>
        <w:spacing w:line="276" w:lineRule="auto"/>
        <w:jc w:val="both"/>
        <w:rPr>
          <w:rFonts w:ascii="Times New Roman" w:hAnsi="Times New Roman"/>
          <w:color w:val="FF0000"/>
        </w:rPr>
      </w:pPr>
    </w:p>
    <w:p w14:paraId="527185D9" w14:textId="77777777" w:rsidR="0011270A" w:rsidRPr="004B5DC4" w:rsidRDefault="0011270A" w:rsidP="0011270A">
      <w:pPr>
        <w:spacing w:line="276" w:lineRule="auto"/>
        <w:ind w:firstLine="720"/>
        <w:jc w:val="both"/>
        <w:rPr>
          <w:rFonts w:ascii="Times New Roman" w:hAnsi="Times New Roman"/>
          <w:color w:val="FF0000"/>
        </w:rPr>
      </w:pPr>
      <w:r w:rsidRPr="004B5DC4">
        <w:rPr>
          <w:rFonts w:ascii="Times New Roman" w:hAnsi="Times New Roman"/>
          <w:color w:val="FF0000"/>
        </w:rPr>
        <w:t xml:space="preserve">We also calculated </w:t>
      </w:r>
      <w:r>
        <w:rPr>
          <w:rFonts w:ascii="Times New Roman" w:hAnsi="Times New Roman"/>
          <w:color w:val="FF0000"/>
        </w:rPr>
        <w:t xml:space="preserve">the </w:t>
      </w:r>
      <w:r w:rsidRPr="004B5DC4">
        <w:rPr>
          <w:rFonts w:ascii="Times New Roman" w:hAnsi="Times New Roman"/>
          <w:color w:val="FF0000"/>
        </w:rPr>
        <w:t>predicted probabilities of support for Sharia (</w:t>
      </w:r>
      <w:r w:rsidRPr="00115F10">
        <w:rPr>
          <w:rFonts w:ascii="Times New Roman" w:hAnsi="Times New Roman"/>
          <w:color w:val="FF0000"/>
        </w:rPr>
        <w:t>Appendix</w:t>
      </w:r>
      <w:r w:rsidRPr="004B5DC4">
        <w:rPr>
          <w:rFonts w:ascii="Times New Roman" w:hAnsi="Times New Roman"/>
          <w:color w:val="FF0000"/>
        </w:rPr>
        <w:t xml:space="preserve"> Figure </w:t>
      </w:r>
      <w:r>
        <w:rPr>
          <w:rFonts w:ascii="Times New Roman" w:hAnsi="Times New Roman"/>
          <w:color w:val="FF0000"/>
        </w:rPr>
        <w:t>2</w:t>
      </w:r>
      <w:r w:rsidRPr="004B5DC4">
        <w:rPr>
          <w:rFonts w:ascii="Times New Roman" w:hAnsi="Times New Roman"/>
          <w:color w:val="FF0000"/>
        </w:rPr>
        <w:t xml:space="preserve">). The dots indicate the predicted probability of supporting Sharia (with standard errors) for respondents who expressed low </w:t>
      </w:r>
      <w:r>
        <w:rPr>
          <w:rFonts w:ascii="Times New Roman" w:hAnsi="Times New Roman"/>
          <w:color w:val="FF0000"/>
        </w:rPr>
        <w:t xml:space="preserve">values </w:t>
      </w:r>
      <w:r w:rsidRPr="004B5DC4">
        <w:rPr>
          <w:rFonts w:ascii="Times New Roman" w:hAnsi="Times New Roman"/>
          <w:color w:val="FF0000"/>
        </w:rPr>
        <w:t xml:space="preserve">(triangle) and high values (circle) of the independent variables. The Y-axis indicates the probability of the respondent supporting “Sharia” or “rather Sharia”. Since the combined support for Sharia among respondents comprises only about 15% of the sample, the percentages are relatively small substantively, but they are still meaningful in statistical sense, because the shifts are quite pronounced. </w:t>
      </w:r>
    </w:p>
    <w:p w14:paraId="6828B9EF" w14:textId="77777777" w:rsidR="0011270A" w:rsidRDefault="0011270A" w:rsidP="0011270A">
      <w:pPr>
        <w:spacing w:line="276" w:lineRule="auto"/>
        <w:ind w:firstLine="720"/>
        <w:jc w:val="both"/>
        <w:rPr>
          <w:rFonts w:ascii="Times New Roman" w:hAnsi="Times New Roman"/>
          <w:color w:val="FF0000"/>
        </w:rPr>
      </w:pPr>
      <w:r>
        <w:rPr>
          <w:rFonts w:ascii="Times New Roman" w:hAnsi="Times New Roman"/>
          <w:color w:val="FF0000"/>
        </w:rPr>
        <w:t>All else equal, respondents who expressed a h</w:t>
      </w:r>
      <w:r w:rsidRPr="004B5DC4">
        <w:rPr>
          <w:rFonts w:ascii="Times New Roman" w:hAnsi="Times New Roman"/>
          <w:color w:val="FF0000"/>
        </w:rPr>
        <w:t xml:space="preserve">igh level of support for private ownership of enterprises </w:t>
      </w:r>
      <w:r>
        <w:rPr>
          <w:rFonts w:ascii="Times New Roman" w:hAnsi="Times New Roman"/>
          <w:color w:val="FF0000"/>
        </w:rPr>
        <w:t>have a</w:t>
      </w:r>
      <w:r w:rsidRPr="004B5DC4">
        <w:rPr>
          <w:rFonts w:ascii="Times New Roman" w:hAnsi="Times New Roman"/>
          <w:color w:val="FF0000"/>
        </w:rPr>
        <w:t xml:space="preserve"> 8% higher chance of support</w:t>
      </w:r>
      <w:r>
        <w:rPr>
          <w:rFonts w:ascii="Times New Roman" w:hAnsi="Times New Roman"/>
          <w:color w:val="FF0000"/>
        </w:rPr>
        <w:t>ing</w:t>
      </w:r>
      <w:r w:rsidRPr="004B5DC4">
        <w:rPr>
          <w:rFonts w:ascii="Times New Roman" w:hAnsi="Times New Roman"/>
          <w:color w:val="FF0000"/>
        </w:rPr>
        <w:t xml:space="preserve"> Sharia (i.e. falling into the level 3 and 4 of our 4-level ordered dependent variable), compared to respondents who </w:t>
      </w:r>
      <w:r>
        <w:rPr>
          <w:rFonts w:ascii="Times New Roman" w:hAnsi="Times New Roman"/>
          <w:color w:val="FF0000"/>
        </w:rPr>
        <w:t xml:space="preserve">expressed a low level of </w:t>
      </w:r>
      <w:r w:rsidRPr="004B5DC4">
        <w:rPr>
          <w:rFonts w:ascii="Times New Roman" w:hAnsi="Times New Roman"/>
          <w:color w:val="FF0000"/>
        </w:rPr>
        <w:t xml:space="preserve">support private ownership of enterprises. </w:t>
      </w:r>
      <w:r>
        <w:rPr>
          <w:rFonts w:ascii="Times New Roman" w:hAnsi="Times New Roman"/>
          <w:color w:val="FF0000"/>
        </w:rPr>
        <w:t>S</w:t>
      </w:r>
      <w:r w:rsidRPr="004B5DC4">
        <w:rPr>
          <w:rFonts w:ascii="Times New Roman" w:hAnsi="Times New Roman"/>
          <w:color w:val="FF0000"/>
        </w:rPr>
        <w:t xml:space="preserve">upport for private ownership of </w:t>
      </w:r>
      <w:r>
        <w:rPr>
          <w:rFonts w:ascii="Times New Roman" w:hAnsi="Times New Roman"/>
          <w:color w:val="FF0000"/>
        </w:rPr>
        <w:t xml:space="preserve">the </w:t>
      </w:r>
      <w:r w:rsidRPr="004B5DC4">
        <w:rPr>
          <w:rFonts w:ascii="Times New Roman" w:hAnsi="Times New Roman"/>
          <w:color w:val="FF0000"/>
        </w:rPr>
        <w:t>means of production is associated with</w:t>
      </w:r>
      <w:r>
        <w:rPr>
          <w:rFonts w:ascii="Times New Roman" w:hAnsi="Times New Roman"/>
          <w:color w:val="FF0000"/>
        </w:rPr>
        <w:t xml:space="preserve"> </w:t>
      </w:r>
      <w:r w:rsidRPr="004B5DC4">
        <w:rPr>
          <w:rFonts w:ascii="Times New Roman" w:hAnsi="Times New Roman"/>
          <w:color w:val="FF0000"/>
        </w:rPr>
        <w:t xml:space="preserve">65% increase in </w:t>
      </w:r>
      <w:r>
        <w:rPr>
          <w:rFonts w:ascii="Times New Roman" w:hAnsi="Times New Roman"/>
          <w:color w:val="FF0000"/>
        </w:rPr>
        <w:t xml:space="preserve">the </w:t>
      </w:r>
      <w:r w:rsidRPr="004B5DC4">
        <w:rPr>
          <w:rFonts w:ascii="Times New Roman" w:hAnsi="Times New Roman"/>
          <w:color w:val="FF0000"/>
        </w:rPr>
        <w:t xml:space="preserve">probability of the respondent landing in the category “rather Sharia” or “Sharia.” Respondents who strive to own or already own private enterprise are about 12% more likely to support Sharia. Those respondents who seek greater regional autonomy are about 60% more likely to support Sharia. Respondents who place responsibility for corruption on the federal government are about 7% more likely to support Sharia. </w:t>
      </w:r>
    </w:p>
    <w:p w14:paraId="7D71F96F" w14:textId="77777777" w:rsidR="0011270A" w:rsidRDefault="0011270A" w:rsidP="0011270A">
      <w:pPr>
        <w:spacing w:line="276" w:lineRule="auto"/>
        <w:ind w:firstLine="720"/>
        <w:jc w:val="both"/>
        <w:rPr>
          <w:rFonts w:ascii="Times New Roman" w:hAnsi="Times New Roman"/>
          <w:color w:val="FF0000"/>
        </w:rPr>
      </w:pPr>
    </w:p>
    <w:p w14:paraId="187B21F2" w14:textId="77777777" w:rsidR="0011270A" w:rsidRDefault="0011270A" w:rsidP="0011270A">
      <w:pPr>
        <w:spacing w:line="276" w:lineRule="auto"/>
        <w:ind w:firstLine="720"/>
        <w:jc w:val="center"/>
        <w:rPr>
          <w:rFonts w:ascii="Times New Roman" w:hAnsi="Times New Roman"/>
          <w:noProof/>
          <w:color w:val="FF0000"/>
        </w:rPr>
      </w:pPr>
    </w:p>
    <w:p w14:paraId="46D1F5E3" w14:textId="77777777" w:rsidR="0011270A" w:rsidRDefault="0011270A" w:rsidP="0011270A">
      <w:pPr>
        <w:spacing w:line="276" w:lineRule="auto"/>
        <w:ind w:firstLine="720"/>
        <w:jc w:val="both"/>
        <w:rPr>
          <w:rFonts w:ascii="Times New Roman" w:hAnsi="Times New Roman"/>
          <w:noProof/>
          <w:color w:val="FF0000"/>
        </w:rPr>
      </w:pPr>
    </w:p>
    <w:p w14:paraId="7FD2EF69" w14:textId="77777777" w:rsidR="009C5CF0" w:rsidRPr="0011270A" w:rsidRDefault="009C5CF0" w:rsidP="009C5CF0">
      <w:pPr>
        <w:spacing w:line="276" w:lineRule="auto"/>
        <w:ind w:right="-180" w:firstLine="720"/>
        <w:jc w:val="both"/>
        <w:rPr>
          <w:rFonts w:ascii="Times New Roman" w:hAnsi="Times New Roman"/>
        </w:rPr>
      </w:pPr>
      <w:r w:rsidRPr="0011270A">
        <w:rPr>
          <w:rFonts w:ascii="Times New Roman" w:hAnsi="Times New Roman"/>
        </w:rPr>
        <w:t xml:space="preserve">In order to illustrate the substantive impact of our independent variables, we also calculate their predicted effects on the level of support for Sharia.  Based on </w:t>
      </w:r>
      <w:r w:rsidRPr="0011270A">
        <w:rPr>
          <w:rFonts w:ascii="Times New Roman" w:hAnsi="Times New Roman"/>
          <w:color w:val="FF0000"/>
        </w:rPr>
        <w:t>Model 1 (without fixed effects)</w:t>
      </w:r>
      <w:r w:rsidRPr="0011270A">
        <w:rPr>
          <w:rFonts w:ascii="Times New Roman" w:hAnsi="Times New Roman"/>
        </w:rPr>
        <w:t xml:space="preserve">, we estimated the marginal effects </w:t>
      </w:r>
      <w:r w:rsidRPr="0011270A">
        <w:rPr>
          <w:rFonts w:ascii="Times New Roman" w:hAnsi="Times New Roman"/>
          <w:color w:val="FF0000"/>
        </w:rPr>
        <w:t>of our independent variables</w:t>
      </w:r>
      <w:r w:rsidRPr="0011270A">
        <w:rPr>
          <w:rFonts w:ascii="Times New Roman" w:hAnsi="Times New Roman"/>
        </w:rPr>
        <w:t xml:space="preserve">. While holding all other variables in the model constant, we estimate the predicted </w:t>
      </w:r>
      <w:r w:rsidRPr="0011270A">
        <w:rPr>
          <w:rFonts w:ascii="Times New Roman" w:hAnsi="Times New Roman"/>
          <w:color w:val="FF0000"/>
        </w:rPr>
        <w:t>change in</w:t>
      </w:r>
      <w:r w:rsidRPr="0011270A">
        <w:rPr>
          <w:rFonts w:ascii="Times New Roman" w:hAnsi="Times New Roman"/>
        </w:rPr>
        <w:t xml:space="preserve"> support for Sharia when the key independent variables </w:t>
      </w:r>
      <w:r w:rsidRPr="0011270A">
        <w:rPr>
          <w:rFonts w:ascii="Times New Roman" w:hAnsi="Times New Roman"/>
          <w:color w:val="FF0000"/>
        </w:rPr>
        <w:t>were varied from low to high values in the empirical distribution.</w:t>
      </w:r>
      <w:r w:rsidRPr="0011270A">
        <w:rPr>
          <w:rStyle w:val="FootnoteReference"/>
          <w:rFonts w:ascii="Times New Roman" w:hAnsi="Times New Roman"/>
          <w:color w:val="FF0000"/>
        </w:rPr>
        <w:footnoteReference w:id="4"/>
      </w:r>
      <w:r w:rsidRPr="0011270A">
        <w:rPr>
          <w:rFonts w:ascii="Times New Roman" w:hAnsi="Times New Roman"/>
        </w:rPr>
        <w:t xml:space="preserve"> The dependent variable is measured on </w:t>
      </w:r>
      <w:r w:rsidRPr="0011270A">
        <w:rPr>
          <w:rFonts w:ascii="Times New Roman" w:hAnsi="Times New Roman"/>
          <w:color w:val="FF0000"/>
        </w:rPr>
        <w:t>a four-level ordinal scale and the vast majority of respondents, about 85% are in favor of secular law, so we zoom in to the area between 1.0 and 2.5 for improved visibility (Figure 3). The Y-axis shows the average value of the dependent variable when the corresponding independent variable of interest is near the bottom of its empirical range (circle) and then near the top of its empirical range (triangle). In this figure, the symbol (circle and triangle) is the mean value of support for Sharia—circles indicate high values of the independent variables and triangles indicate the low values. The bars above and below the symbol indicate the standard error around the estimated value. All of our explanatory variables are either ordinal or binary, so we used the variable’s 25</w:t>
      </w:r>
      <w:r w:rsidRPr="0011270A">
        <w:rPr>
          <w:rFonts w:ascii="Times New Roman" w:hAnsi="Times New Roman"/>
          <w:color w:val="FF0000"/>
          <w:vertAlign w:val="superscript"/>
        </w:rPr>
        <w:t>th</w:t>
      </w:r>
      <w:r w:rsidRPr="0011270A">
        <w:rPr>
          <w:rFonts w:ascii="Times New Roman" w:hAnsi="Times New Roman"/>
          <w:color w:val="FF0000"/>
        </w:rPr>
        <w:t xml:space="preserve"> percentile as its “low” value and 75</w:t>
      </w:r>
      <w:r w:rsidRPr="0011270A">
        <w:rPr>
          <w:rFonts w:ascii="Times New Roman" w:hAnsi="Times New Roman"/>
          <w:color w:val="FF0000"/>
          <w:vertAlign w:val="superscript"/>
        </w:rPr>
        <w:t>th</w:t>
      </w:r>
      <w:r w:rsidRPr="0011270A">
        <w:rPr>
          <w:rFonts w:ascii="Times New Roman" w:hAnsi="Times New Roman"/>
          <w:color w:val="FF0000"/>
        </w:rPr>
        <w:t xml:space="preserve"> percentile as its “high” value for four-level ordinal variables. For binary indicators, we use 0 as its “low” values and 1 as its “high” values. The visual gap between the two means can be interpreted as the difference in</w:t>
      </w:r>
      <w:r w:rsidRPr="0011270A">
        <w:rPr>
          <w:rFonts w:ascii="Times New Roman" w:hAnsi="Times New Roman"/>
        </w:rPr>
        <w:t xml:space="preserve"> support for Sharia between respondents who scored low and those who scored high on that explanatory variable. Since the overall percentage of those who are willing to express their open support for sharia rule is relatively low in our sample </w:t>
      </w:r>
      <w:r w:rsidRPr="0011270A">
        <w:rPr>
          <w:rFonts w:ascii="Times New Roman" w:hAnsi="Times New Roman"/>
          <w:color w:val="FF0000"/>
        </w:rPr>
        <w:t xml:space="preserve">(about 15%) – which is not surprising, </w:t>
      </w:r>
      <w:r w:rsidRPr="0011270A">
        <w:rPr>
          <w:rFonts w:ascii="Times New Roman" w:hAnsi="Times New Roman"/>
        </w:rPr>
        <w:t xml:space="preserve">given the risks - these relatively small differences in the predicted probabilities represent substantively meaningful marginal effects. </w:t>
      </w:r>
    </w:p>
    <w:p w14:paraId="5A378934" w14:textId="77777777" w:rsidR="009C5CF0" w:rsidRPr="0011270A" w:rsidRDefault="009C5CF0" w:rsidP="009C5CF0">
      <w:pPr>
        <w:spacing w:line="276" w:lineRule="auto"/>
        <w:ind w:right="-180" w:firstLine="720"/>
        <w:jc w:val="both"/>
        <w:rPr>
          <w:rFonts w:ascii="Times New Roman" w:hAnsi="Times New Roman"/>
          <w:color w:val="FF0000"/>
        </w:rPr>
      </w:pPr>
      <w:r w:rsidRPr="0011270A">
        <w:rPr>
          <w:rFonts w:ascii="Times New Roman" w:hAnsi="Times New Roman"/>
        </w:rPr>
        <w:t>For example, w</w:t>
      </w:r>
      <w:r w:rsidRPr="0011270A">
        <w:rPr>
          <w:rFonts w:ascii="Times New Roman" w:hAnsi="Times New Roman"/>
          <w:color w:val="FF0000"/>
        </w:rPr>
        <w:t>hen</w:t>
      </w:r>
      <w:r w:rsidRPr="0011270A">
        <w:rPr>
          <w:rFonts w:ascii="Times New Roman" w:hAnsi="Times New Roman"/>
        </w:rPr>
        <w:t xml:space="preserve"> support for private ownership of “the means of production” </w:t>
      </w:r>
      <w:r w:rsidRPr="0011270A">
        <w:rPr>
          <w:rFonts w:ascii="Times New Roman" w:hAnsi="Times New Roman"/>
          <w:color w:val="FF0000"/>
        </w:rPr>
        <w:t xml:space="preserve">is at 0, predicted support for Sharia is centered around 1.5. When support for private ownership of “the means of production” is at 1, predicted support for Sharia is centered around 1.8, which </w:t>
      </w:r>
      <w:proofErr w:type="gramStart"/>
      <w:r w:rsidRPr="0011270A">
        <w:rPr>
          <w:rFonts w:ascii="Times New Roman" w:hAnsi="Times New Roman"/>
          <w:color w:val="FF0000"/>
        </w:rPr>
        <w:t>represents  an</w:t>
      </w:r>
      <w:proofErr w:type="gramEnd"/>
      <w:r w:rsidRPr="0011270A">
        <w:rPr>
          <w:rFonts w:ascii="Times New Roman" w:hAnsi="Times New Roman"/>
          <w:color w:val="FF0000"/>
        </w:rPr>
        <w:t xml:space="preserve"> increase of support for Sharia of about 20%. When respondents express more support for owning a private business, their support for Sharia increases also by about 20%, from 1.4 to 1.7. When respondents want greater regional autonomy, their support for Sharia increases from 1.4 to above 1.6, which represents approximately 15% increase. When support for private ownership of enterprises is low (the 25% percentile), predicted support for Sharia is centered around 1.4. When support for private ownership of enterprises is high (the 75% percentile), support for Sharia is centered around 1.65, which represents a 15% increase in support for Sharia. “Federal Corruption”, which measures a respondent’s perception about who is responsible for the eradication of corruption – regional (Muslim) or </w:t>
      </w:r>
      <w:r w:rsidRPr="0011270A">
        <w:rPr>
          <w:rFonts w:ascii="Times New Roman" w:hAnsi="Times New Roman"/>
          <w:color w:val="FF0000"/>
        </w:rPr>
        <w:lastRenderedPageBreak/>
        <w:t xml:space="preserve">federal (non-Muslim) authorities - also shows that the more federal authorities are blamed, the stronger the support for Sharia by about 10% from 1.5 to just above 1.65. </w:t>
      </w:r>
    </w:p>
    <w:p w14:paraId="1F9765B0" w14:textId="77777777" w:rsidR="009C5CF0" w:rsidRDefault="009C5CF0"/>
    <w:p w14:paraId="0E24C398" w14:textId="77777777" w:rsidR="009C5CF0" w:rsidRDefault="009C5CF0"/>
    <w:p w14:paraId="3370499A" w14:textId="77777777" w:rsidR="009C5CF0" w:rsidRDefault="009C5CF0" w:rsidP="009C5CF0">
      <w:pPr>
        <w:spacing w:line="276" w:lineRule="auto"/>
        <w:ind w:right="-180"/>
        <w:jc w:val="both"/>
        <w:rPr>
          <w:rFonts w:ascii="Times New Roman" w:hAnsi="Times New Roman"/>
          <w:i/>
        </w:rPr>
      </w:pPr>
      <w:r>
        <w:rPr>
          <w:rFonts w:ascii="Times New Roman" w:hAnsi="Times New Roman"/>
          <w:i/>
          <w:noProof/>
        </w:rPr>
        <w:drawing>
          <wp:inline distT="0" distB="0" distL="0" distR="0" wp14:anchorId="1456E31C" wp14:editId="6453669C">
            <wp:extent cx="5937250" cy="5937250"/>
            <wp:effectExtent l="25400" t="0" r="6350" b="0"/>
            <wp:docPr id="7" name="Picture 7" descr="value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alues2"/>
                    <pic:cNvPicPr>
                      <a:picLocks noChangeAspect="1" noChangeArrowheads="1"/>
                    </pic:cNvPicPr>
                  </pic:nvPicPr>
                  <pic:blipFill>
                    <a:blip r:embed="rId9"/>
                    <a:srcRect/>
                    <a:stretch>
                      <a:fillRect/>
                    </a:stretch>
                  </pic:blipFill>
                  <pic:spPr bwMode="auto">
                    <a:xfrm>
                      <a:off x="0" y="0"/>
                      <a:ext cx="5937250" cy="5937250"/>
                    </a:xfrm>
                    <a:prstGeom prst="rect">
                      <a:avLst/>
                    </a:prstGeom>
                    <a:noFill/>
                    <a:ln w="9525">
                      <a:noFill/>
                      <a:miter lim="800000"/>
                      <a:headEnd/>
                      <a:tailEnd/>
                    </a:ln>
                  </pic:spPr>
                </pic:pic>
              </a:graphicData>
            </a:graphic>
          </wp:inline>
        </w:drawing>
      </w:r>
    </w:p>
    <w:p w14:paraId="75C4794D" w14:textId="607E9C12" w:rsidR="009C5CF0" w:rsidRDefault="0011270A" w:rsidP="009C5CF0">
      <w:pPr>
        <w:spacing w:line="276" w:lineRule="auto"/>
        <w:ind w:right="-180"/>
        <w:jc w:val="both"/>
        <w:rPr>
          <w:rFonts w:ascii="Times New Roman" w:hAnsi="Times New Roman"/>
          <w:i/>
        </w:rPr>
      </w:pPr>
      <w:r>
        <w:rPr>
          <w:rFonts w:ascii="Times New Roman" w:hAnsi="Times New Roman"/>
          <w:i/>
        </w:rPr>
        <w:t xml:space="preserve">Appendix </w:t>
      </w:r>
      <w:r w:rsidR="009C5CF0">
        <w:rPr>
          <w:rFonts w:ascii="Times New Roman" w:hAnsi="Times New Roman"/>
          <w:i/>
        </w:rPr>
        <w:t>Figure 2</w:t>
      </w:r>
      <w:r w:rsidR="009C5CF0" w:rsidRPr="009B4EA2">
        <w:rPr>
          <w:rFonts w:ascii="Times New Roman" w:hAnsi="Times New Roman"/>
          <w:i/>
        </w:rPr>
        <w:t>: Marginal Effects of Significant Predictors</w:t>
      </w:r>
      <w:r w:rsidR="009C5CF0">
        <w:rPr>
          <w:rFonts w:ascii="Times New Roman" w:hAnsi="Times New Roman"/>
          <w:i/>
        </w:rPr>
        <w:t>. 95% Confidence Interval.</w:t>
      </w:r>
      <w:r w:rsidR="00F45C7A">
        <w:rPr>
          <w:rStyle w:val="FootnoteReference"/>
          <w:rFonts w:ascii="Times New Roman" w:hAnsi="Times New Roman"/>
          <w:i/>
        </w:rPr>
        <w:footnoteReference w:id="5"/>
      </w:r>
    </w:p>
    <w:p w14:paraId="45ADD31F" w14:textId="77777777" w:rsidR="00F45C7A" w:rsidRDefault="00F45C7A" w:rsidP="009C5CF0">
      <w:pPr>
        <w:spacing w:line="276" w:lineRule="auto"/>
        <w:ind w:right="-180"/>
        <w:jc w:val="both"/>
        <w:rPr>
          <w:rFonts w:ascii="Times New Roman" w:hAnsi="Times New Roman"/>
          <w:i/>
        </w:rPr>
      </w:pPr>
    </w:p>
    <w:p w14:paraId="388932B1" w14:textId="77777777" w:rsidR="00F45C7A" w:rsidRDefault="00F45C7A" w:rsidP="009C5CF0">
      <w:pPr>
        <w:spacing w:line="276" w:lineRule="auto"/>
        <w:ind w:right="-180"/>
        <w:jc w:val="both"/>
        <w:rPr>
          <w:rFonts w:ascii="Times New Roman" w:hAnsi="Times New Roman"/>
          <w:i/>
        </w:rPr>
      </w:pPr>
    </w:p>
    <w:p w14:paraId="026A6F65" w14:textId="77777777" w:rsidR="00F45C7A" w:rsidRDefault="00F45C7A" w:rsidP="009C5CF0">
      <w:pPr>
        <w:spacing w:line="276" w:lineRule="auto"/>
        <w:ind w:right="-180"/>
        <w:jc w:val="both"/>
        <w:rPr>
          <w:rFonts w:ascii="Times New Roman" w:hAnsi="Times New Roman"/>
          <w:i/>
        </w:rPr>
      </w:pPr>
    </w:p>
    <w:p w14:paraId="484026EB" w14:textId="106E4CEC" w:rsidR="00F45C7A" w:rsidRDefault="00F45C7A" w:rsidP="009C5CF0">
      <w:pPr>
        <w:spacing w:line="276" w:lineRule="auto"/>
        <w:ind w:right="-180"/>
        <w:jc w:val="both"/>
        <w:rPr>
          <w:rFonts w:ascii="Times New Roman" w:hAnsi="Times New Roman"/>
        </w:rPr>
      </w:pPr>
      <w:r>
        <w:rPr>
          <w:rFonts w:ascii="Times New Roman" w:hAnsi="Times New Roman"/>
        </w:rPr>
        <w:lastRenderedPageBreak/>
        <w:t>References</w:t>
      </w:r>
    </w:p>
    <w:p w14:paraId="6021EC2C" w14:textId="77777777" w:rsidR="00F45C7A" w:rsidRDefault="00F45C7A" w:rsidP="009C5CF0">
      <w:pPr>
        <w:spacing w:line="276" w:lineRule="auto"/>
        <w:ind w:right="-180"/>
        <w:jc w:val="both"/>
        <w:rPr>
          <w:rFonts w:ascii="Times New Roman" w:hAnsi="Times New Roman"/>
        </w:rPr>
      </w:pPr>
    </w:p>
    <w:p w14:paraId="41ABB552" w14:textId="61D59594" w:rsidR="00F45C7A" w:rsidRDefault="00F45C7A" w:rsidP="009C5CF0">
      <w:pPr>
        <w:spacing w:line="276" w:lineRule="auto"/>
        <w:ind w:right="-180"/>
        <w:jc w:val="both"/>
        <w:rPr>
          <w:rFonts w:ascii="Times New Roman" w:hAnsi="Times New Roman"/>
        </w:rPr>
      </w:pPr>
      <w:r w:rsidRPr="00F45C7A">
        <w:rPr>
          <w:rFonts w:ascii="Times New Roman" w:hAnsi="Times New Roman"/>
        </w:rPr>
        <w:t>Imai,</w:t>
      </w:r>
      <w:r>
        <w:rPr>
          <w:rFonts w:ascii="Times New Roman" w:hAnsi="Times New Roman"/>
        </w:rPr>
        <w:t xml:space="preserve"> </w:t>
      </w:r>
      <w:proofErr w:type="spellStart"/>
      <w:r w:rsidRPr="00F45C7A">
        <w:rPr>
          <w:rFonts w:ascii="Times New Roman" w:hAnsi="Times New Roman"/>
        </w:rPr>
        <w:t>Kosuke</w:t>
      </w:r>
      <w:proofErr w:type="spellEnd"/>
      <w:r>
        <w:rPr>
          <w:rFonts w:ascii="Times New Roman" w:hAnsi="Times New Roman"/>
        </w:rPr>
        <w:t>,</w:t>
      </w:r>
      <w:r w:rsidRPr="00F45C7A">
        <w:rPr>
          <w:rFonts w:ascii="Times New Roman" w:hAnsi="Times New Roman"/>
        </w:rPr>
        <w:t xml:space="preserve"> King,</w:t>
      </w:r>
      <w:r>
        <w:rPr>
          <w:rFonts w:ascii="Times New Roman" w:hAnsi="Times New Roman"/>
        </w:rPr>
        <w:t xml:space="preserve"> </w:t>
      </w:r>
      <w:r w:rsidRPr="00F45C7A">
        <w:rPr>
          <w:rFonts w:ascii="Times New Roman" w:hAnsi="Times New Roman"/>
        </w:rPr>
        <w:t>Gary</w:t>
      </w:r>
      <w:r>
        <w:rPr>
          <w:rFonts w:ascii="Times New Roman" w:hAnsi="Times New Roman"/>
        </w:rPr>
        <w:t>,</w:t>
      </w:r>
      <w:r w:rsidRPr="00F45C7A">
        <w:rPr>
          <w:rFonts w:ascii="Times New Roman" w:hAnsi="Times New Roman"/>
        </w:rPr>
        <w:t xml:space="preserve"> and </w:t>
      </w:r>
      <w:r w:rsidRPr="00F45C7A">
        <w:rPr>
          <w:rFonts w:ascii="Times New Roman" w:hAnsi="Times New Roman"/>
        </w:rPr>
        <w:t>Lau</w:t>
      </w:r>
      <w:r>
        <w:rPr>
          <w:rFonts w:ascii="Times New Roman" w:hAnsi="Times New Roman"/>
        </w:rPr>
        <w:t>,</w:t>
      </w:r>
      <w:r w:rsidRPr="00F45C7A">
        <w:rPr>
          <w:rFonts w:ascii="Times New Roman" w:hAnsi="Times New Roman"/>
        </w:rPr>
        <w:t xml:space="preserve"> Olivia</w:t>
      </w:r>
      <w:r>
        <w:rPr>
          <w:rFonts w:ascii="Times New Roman" w:hAnsi="Times New Roman"/>
        </w:rPr>
        <w:t>. 2007. “</w:t>
      </w:r>
      <w:r w:rsidRPr="00F45C7A">
        <w:rPr>
          <w:rFonts w:ascii="Times New Roman" w:hAnsi="Times New Roman"/>
        </w:rPr>
        <w:t>Zelig: Ev</w:t>
      </w:r>
      <w:r>
        <w:rPr>
          <w:rFonts w:ascii="Times New Roman" w:hAnsi="Times New Roman"/>
        </w:rPr>
        <w:t>eryone's Statistical Software,”</w:t>
      </w:r>
      <w:r w:rsidRPr="00F45C7A">
        <w:rPr>
          <w:rFonts w:ascii="Times New Roman" w:hAnsi="Times New Roman"/>
        </w:rPr>
        <w:t xml:space="preserve"> </w:t>
      </w:r>
      <w:hyperlink r:id="rId10" w:history="1">
        <w:r w:rsidRPr="00D124B0">
          <w:rPr>
            <w:rStyle w:val="Hyperlink"/>
            <w:rFonts w:ascii="Times New Roman" w:hAnsi="Times New Roman"/>
          </w:rPr>
          <w:t>http://GKing.harvard.edu/zelig</w:t>
        </w:r>
      </w:hyperlink>
      <w:r w:rsidRPr="00F45C7A">
        <w:rPr>
          <w:rFonts w:ascii="Times New Roman" w:hAnsi="Times New Roman"/>
        </w:rPr>
        <w:t>.</w:t>
      </w:r>
    </w:p>
    <w:p w14:paraId="07B77E94" w14:textId="77777777" w:rsidR="00F45C7A" w:rsidRDefault="00F45C7A" w:rsidP="009C5CF0">
      <w:pPr>
        <w:spacing w:line="276" w:lineRule="auto"/>
        <w:ind w:right="-180"/>
        <w:jc w:val="both"/>
        <w:rPr>
          <w:rFonts w:ascii="Times New Roman" w:hAnsi="Times New Roman"/>
        </w:rPr>
      </w:pPr>
    </w:p>
    <w:p w14:paraId="77C757A0" w14:textId="2E046953" w:rsidR="00F45C7A" w:rsidRDefault="00F45C7A" w:rsidP="009C5CF0">
      <w:pPr>
        <w:spacing w:line="276" w:lineRule="auto"/>
        <w:ind w:right="-180"/>
        <w:jc w:val="both"/>
        <w:rPr>
          <w:rFonts w:ascii="Times New Roman" w:hAnsi="Times New Roman"/>
        </w:rPr>
      </w:pPr>
      <w:r w:rsidRPr="00F45C7A">
        <w:rPr>
          <w:rFonts w:ascii="Times New Roman" w:hAnsi="Times New Roman"/>
        </w:rPr>
        <w:t xml:space="preserve">Imai, </w:t>
      </w:r>
      <w:proofErr w:type="spellStart"/>
      <w:r w:rsidRPr="00F45C7A">
        <w:rPr>
          <w:rFonts w:ascii="Times New Roman" w:hAnsi="Times New Roman"/>
        </w:rPr>
        <w:t>Kosuke</w:t>
      </w:r>
      <w:proofErr w:type="spellEnd"/>
      <w:r w:rsidRPr="00F45C7A">
        <w:rPr>
          <w:rFonts w:ascii="Times New Roman" w:hAnsi="Times New Roman"/>
        </w:rPr>
        <w:t xml:space="preserve">, </w:t>
      </w:r>
      <w:r w:rsidRPr="00F45C7A">
        <w:rPr>
          <w:rFonts w:ascii="Times New Roman" w:hAnsi="Times New Roman"/>
        </w:rPr>
        <w:t>King</w:t>
      </w:r>
      <w:r>
        <w:rPr>
          <w:rFonts w:ascii="Times New Roman" w:hAnsi="Times New Roman"/>
        </w:rPr>
        <w:t>,</w:t>
      </w:r>
      <w:r w:rsidRPr="00F45C7A">
        <w:rPr>
          <w:rFonts w:ascii="Times New Roman" w:hAnsi="Times New Roman"/>
        </w:rPr>
        <w:t xml:space="preserve"> Gary, and </w:t>
      </w:r>
      <w:r w:rsidRPr="00F45C7A">
        <w:rPr>
          <w:rFonts w:ascii="Times New Roman" w:hAnsi="Times New Roman"/>
        </w:rPr>
        <w:t>Lau</w:t>
      </w:r>
      <w:r>
        <w:rPr>
          <w:rFonts w:ascii="Times New Roman" w:hAnsi="Times New Roman"/>
        </w:rPr>
        <w:t>,</w:t>
      </w:r>
      <w:r w:rsidRPr="00F45C7A">
        <w:rPr>
          <w:rFonts w:ascii="Times New Roman" w:hAnsi="Times New Roman"/>
        </w:rPr>
        <w:t xml:space="preserve"> Olivia</w:t>
      </w:r>
      <w:r w:rsidR="00244960">
        <w:rPr>
          <w:rFonts w:ascii="Times New Roman" w:hAnsi="Times New Roman"/>
        </w:rPr>
        <w:t>. 2008</w:t>
      </w:r>
      <w:r>
        <w:rPr>
          <w:rFonts w:ascii="Times New Roman" w:hAnsi="Times New Roman"/>
        </w:rPr>
        <w:t>. “</w:t>
      </w:r>
      <w:r w:rsidRPr="00F45C7A">
        <w:rPr>
          <w:rFonts w:ascii="Times New Roman" w:hAnsi="Times New Roman"/>
        </w:rPr>
        <w:t>Toward A Common Framework for Statist</w:t>
      </w:r>
      <w:r>
        <w:rPr>
          <w:rFonts w:ascii="Times New Roman" w:hAnsi="Times New Roman"/>
        </w:rPr>
        <w:t>ical Analysis and Development.”</w:t>
      </w:r>
      <w:r w:rsidRPr="00F45C7A">
        <w:rPr>
          <w:rFonts w:ascii="Times New Roman" w:hAnsi="Times New Roman"/>
        </w:rPr>
        <w:t xml:space="preserve"> </w:t>
      </w:r>
      <w:r w:rsidRPr="00244960">
        <w:rPr>
          <w:rFonts w:ascii="Times New Roman" w:hAnsi="Times New Roman"/>
          <w:i/>
        </w:rPr>
        <w:t>Journal of Computational and Graphical Statistics</w:t>
      </w:r>
      <w:r w:rsidR="00244960">
        <w:rPr>
          <w:rFonts w:ascii="Times New Roman" w:hAnsi="Times New Roman"/>
        </w:rPr>
        <w:t>, 17:4,</w:t>
      </w:r>
      <w:r w:rsidRPr="00F45C7A">
        <w:rPr>
          <w:rFonts w:ascii="Times New Roman" w:hAnsi="Times New Roman"/>
        </w:rPr>
        <w:t xml:space="preserve"> 892-913.</w:t>
      </w:r>
    </w:p>
    <w:p w14:paraId="4E486B1E" w14:textId="77777777" w:rsidR="00F45C7A" w:rsidRDefault="00F45C7A" w:rsidP="009C5CF0">
      <w:pPr>
        <w:spacing w:line="276" w:lineRule="auto"/>
        <w:ind w:right="-180"/>
        <w:jc w:val="both"/>
        <w:rPr>
          <w:rFonts w:ascii="Times New Roman" w:hAnsi="Times New Roman"/>
        </w:rPr>
      </w:pPr>
    </w:p>
    <w:p w14:paraId="14FA26B8" w14:textId="1ED89FE8" w:rsidR="00F45C7A" w:rsidRDefault="00244960" w:rsidP="009C5CF0">
      <w:pPr>
        <w:spacing w:line="276" w:lineRule="auto"/>
        <w:ind w:right="-180"/>
        <w:jc w:val="both"/>
        <w:rPr>
          <w:rFonts w:ascii="Times New Roman" w:hAnsi="Times New Roman"/>
        </w:rPr>
      </w:pPr>
      <w:proofErr w:type="spellStart"/>
      <w:r>
        <w:rPr>
          <w:rFonts w:ascii="Times New Roman" w:hAnsi="Times New Roman"/>
        </w:rPr>
        <w:t>Leifeld</w:t>
      </w:r>
      <w:proofErr w:type="spellEnd"/>
      <w:r>
        <w:rPr>
          <w:rFonts w:ascii="Times New Roman" w:hAnsi="Times New Roman"/>
        </w:rPr>
        <w:t>, Philip. 2013</w:t>
      </w:r>
      <w:r w:rsidRPr="00244960">
        <w:rPr>
          <w:rFonts w:ascii="Times New Roman" w:hAnsi="Times New Roman"/>
        </w:rPr>
        <w:t xml:space="preserve">. </w:t>
      </w:r>
      <w:r>
        <w:rPr>
          <w:rFonts w:ascii="Times New Roman" w:hAnsi="Times New Roman"/>
        </w:rPr>
        <w:t>“</w:t>
      </w:r>
      <w:proofErr w:type="spellStart"/>
      <w:r w:rsidRPr="00244960">
        <w:rPr>
          <w:rFonts w:ascii="Times New Roman" w:hAnsi="Times New Roman"/>
        </w:rPr>
        <w:t>texreg</w:t>
      </w:r>
      <w:proofErr w:type="spellEnd"/>
      <w:r w:rsidRPr="00244960">
        <w:rPr>
          <w:rFonts w:ascii="Times New Roman" w:hAnsi="Times New Roman"/>
        </w:rPr>
        <w:t>: Conversion of Statistical Mode</w:t>
      </w:r>
      <w:r>
        <w:rPr>
          <w:rFonts w:ascii="Times New Roman" w:hAnsi="Times New Roman"/>
        </w:rPr>
        <w:t xml:space="preserve">l Output in R to </w:t>
      </w:r>
      <w:proofErr w:type="spellStart"/>
      <w:r>
        <w:rPr>
          <w:rFonts w:ascii="Times New Roman" w:hAnsi="Times New Roman"/>
        </w:rPr>
        <w:t>LaTeX</w:t>
      </w:r>
      <w:proofErr w:type="spellEnd"/>
      <w:r>
        <w:rPr>
          <w:rFonts w:ascii="Times New Roman" w:hAnsi="Times New Roman"/>
        </w:rPr>
        <w:t xml:space="preserve"> and HTML </w:t>
      </w:r>
      <w:r w:rsidRPr="00244960">
        <w:rPr>
          <w:rFonts w:ascii="Times New Roman" w:hAnsi="Times New Roman"/>
        </w:rPr>
        <w:t>Tables.</w:t>
      </w:r>
      <w:r>
        <w:rPr>
          <w:rFonts w:ascii="Times New Roman" w:hAnsi="Times New Roman"/>
        </w:rPr>
        <w:t>”</w:t>
      </w:r>
      <w:r w:rsidRPr="00244960">
        <w:rPr>
          <w:rFonts w:ascii="Times New Roman" w:hAnsi="Times New Roman"/>
        </w:rPr>
        <w:t xml:space="preserve"> </w:t>
      </w:r>
      <w:r w:rsidRPr="00244960">
        <w:rPr>
          <w:rFonts w:ascii="Times New Roman" w:hAnsi="Times New Roman"/>
          <w:i/>
        </w:rPr>
        <w:t>Journal of Statistical Software</w:t>
      </w:r>
      <w:r w:rsidRPr="00244960">
        <w:rPr>
          <w:rFonts w:ascii="Times New Roman" w:hAnsi="Times New Roman"/>
        </w:rPr>
        <w:t xml:space="preserve">, 55(8), 1-24. URL </w:t>
      </w:r>
      <w:hyperlink r:id="rId11" w:history="1">
        <w:r w:rsidRPr="00D124B0">
          <w:rPr>
            <w:rStyle w:val="Hyperlink"/>
            <w:rFonts w:ascii="Times New Roman" w:hAnsi="Times New Roman"/>
          </w:rPr>
          <w:t>http://www.jstatsoft.org/v55/i08/</w:t>
        </w:r>
      </w:hyperlink>
      <w:r w:rsidRPr="00244960">
        <w:rPr>
          <w:rFonts w:ascii="Times New Roman" w:hAnsi="Times New Roman"/>
        </w:rPr>
        <w:t>.</w:t>
      </w:r>
    </w:p>
    <w:p w14:paraId="67B7972A" w14:textId="77777777" w:rsidR="00F45C7A" w:rsidRDefault="00F45C7A" w:rsidP="00F45C7A">
      <w:pPr>
        <w:spacing w:line="276" w:lineRule="auto"/>
        <w:ind w:right="-180"/>
        <w:jc w:val="both"/>
        <w:rPr>
          <w:rFonts w:ascii="Times New Roman" w:hAnsi="Times New Roman"/>
        </w:rPr>
      </w:pPr>
    </w:p>
    <w:p w14:paraId="6C10DAD6" w14:textId="0D864EA4" w:rsidR="00F45C7A" w:rsidRDefault="00F45C7A" w:rsidP="00F45C7A">
      <w:pPr>
        <w:spacing w:line="276" w:lineRule="auto"/>
        <w:ind w:right="-180"/>
        <w:jc w:val="both"/>
        <w:rPr>
          <w:rFonts w:ascii="Times New Roman" w:hAnsi="Times New Roman"/>
        </w:rPr>
      </w:pPr>
      <w:r w:rsidRPr="00F45C7A">
        <w:rPr>
          <w:rFonts w:ascii="Times New Roman" w:hAnsi="Times New Roman"/>
        </w:rPr>
        <w:t>Wickham</w:t>
      </w:r>
      <w:r>
        <w:rPr>
          <w:rFonts w:ascii="Times New Roman" w:hAnsi="Times New Roman"/>
        </w:rPr>
        <w:t xml:space="preserve">, </w:t>
      </w:r>
      <w:r w:rsidRPr="00F45C7A">
        <w:rPr>
          <w:rFonts w:ascii="Times New Roman" w:hAnsi="Times New Roman"/>
        </w:rPr>
        <w:t xml:space="preserve">Hadley. </w:t>
      </w:r>
      <w:r w:rsidR="00244960" w:rsidRPr="00F45C7A">
        <w:rPr>
          <w:rFonts w:ascii="Times New Roman" w:hAnsi="Times New Roman"/>
        </w:rPr>
        <w:t>2009</w:t>
      </w:r>
      <w:r w:rsidR="00244960">
        <w:rPr>
          <w:rFonts w:ascii="Times New Roman" w:hAnsi="Times New Roman"/>
        </w:rPr>
        <w:t xml:space="preserve">. </w:t>
      </w:r>
      <w:r w:rsidRPr="00244960">
        <w:rPr>
          <w:rFonts w:ascii="Times New Roman" w:hAnsi="Times New Roman"/>
          <w:i/>
        </w:rPr>
        <w:t>ggplot2: Elegant Graphics for Data Analysis</w:t>
      </w:r>
      <w:r w:rsidRPr="00F45C7A">
        <w:rPr>
          <w:rFonts w:ascii="Times New Roman" w:hAnsi="Times New Roman"/>
        </w:rPr>
        <w:t>. Springer-</w:t>
      </w:r>
      <w:proofErr w:type="spellStart"/>
      <w:r w:rsidRPr="00F45C7A">
        <w:rPr>
          <w:rFonts w:ascii="Times New Roman" w:hAnsi="Times New Roman"/>
        </w:rPr>
        <w:t>Verlag</w:t>
      </w:r>
      <w:proofErr w:type="spellEnd"/>
      <w:r w:rsidR="00244960">
        <w:rPr>
          <w:rFonts w:ascii="Times New Roman" w:hAnsi="Times New Roman"/>
        </w:rPr>
        <w:t>,</w:t>
      </w:r>
      <w:r w:rsidRPr="00F45C7A">
        <w:rPr>
          <w:rFonts w:ascii="Times New Roman" w:hAnsi="Times New Roman"/>
        </w:rPr>
        <w:t xml:space="preserve"> New</w:t>
      </w:r>
      <w:r>
        <w:rPr>
          <w:rFonts w:ascii="Times New Roman" w:hAnsi="Times New Roman"/>
        </w:rPr>
        <w:t xml:space="preserve"> </w:t>
      </w:r>
      <w:r w:rsidR="00244960">
        <w:rPr>
          <w:rFonts w:ascii="Times New Roman" w:hAnsi="Times New Roman"/>
        </w:rPr>
        <w:t>York</w:t>
      </w:r>
      <w:r w:rsidRPr="00F45C7A">
        <w:rPr>
          <w:rFonts w:ascii="Times New Roman" w:hAnsi="Times New Roman"/>
        </w:rPr>
        <w:t>.</w:t>
      </w:r>
    </w:p>
    <w:p w14:paraId="1C85D368" w14:textId="77777777" w:rsidR="00244960" w:rsidRDefault="00244960" w:rsidP="00F45C7A">
      <w:pPr>
        <w:spacing w:line="276" w:lineRule="auto"/>
        <w:ind w:right="-180"/>
        <w:jc w:val="both"/>
        <w:rPr>
          <w:rFonts w:ascii="Times New Roman" w:hAnsi="Times New Roman"/>
        </w:rPr>
      </w:pPr>
    </w:p>
    <w:p w14:paraId="4890C8AE" w14:textId="77777777" w:rsidR="00244960" w:rsidRDefault="00244960" w:rsidP="00244960">
      <w:pPr>
        <w:spacing w:line="276" w:lineRule="auto"/>
        <w:ind w:right="-180"/>
        <w:jc w:val="both"/>
        <w:rPr>
          <w:rFonts w:ascii="Times New Roman" w:hAnsi="Times New Roman"/>
        </w:rPr>
      </w:pPr>
      <w:r w:rsidRPr="00F45C7A">
        <w:rPr>
          <w:rFonts w:ascii="Times New Roman" w:hAnsi="Times New Roman"/>
        </w:rPr>
        <w:t>Wickham</w:t>
      </w:r>
      <w:r>
        <w:rPr>
          <w:rFonts w:ascii="Times New Roman" w:hAnsi="Times New Roman"/>
        </w:rPr>
        <w:t>,</w:t>
      </w:r>
      <w:r w:rsidRPr="00F45C7A">
        <w:rPr>
          <w:rFonts w:ascii="Times New Roman" w:hAnsi="Times New Roman"/>
        </w:rPr>
        <w:t xml:space="preserve"> </w:t>
      </w:r>
      <w:r>
        <w:rPr>
          <w:rFonts w:ascii="Times New Roman" w:hAnsi="Times New Roman"/>
        </w:rPr>
        <w:t>Hadley. 2007</w:t>
      </w:r>
      <w:r w:rsidRPr="00F45C7A">
        <w:rPr>
          <w:rFonts w:ascii="Times New Roman" w:hAnsi="Times New Roman"/>
        </w:rPr>
        <w:t xml:space="preserve">. </w:t>
      </w:r>
      <w:r>
        <w:rPr>
          <w:rFonts w:ascii="Times New Roman" w:hAnsi="Times New Roman"/>
        </w:rPr>
        <w:t>“</w:t>
      </w:r>
      <w:r w:rsidRPr="00F45C7A">
        <w:rPr>
          <w:rFonts w:ascii="Times New Roman" w:hAnsi="Times New Roman"/>
        </w:rPr>
        <w:t>Reshaping Data with the reshape Package. Journal of</w:t>
      </w:r>
      <w:r>
        <w:rPr>
          <w:rFonts w:ascii="Times New Roman" w:hAnsi="Times New Roman"/>
        </w:rPr>
        <w:t xml:space="preserve"> </w:t>
      </w:r>
      <w:r w:rsidRPr="00F45C7A">
        <w:rPr>
          <w:rFonts w:ascii="Times New Roman" w:hAnsi="Times New Roman"/>
        </w:rPr>
        <w:t>Statistical Software,</w:t>
      </w:r>
      <w:r>
        <w:rPr>
          <w:rFonts w:ascii="Times New Roman" w:hAnsi="Times New Roman"/>
        </w:rPr>
        <w:t>” 21:12</w:t>
      </w:r>
      <w:r w:rsidRPr="00F45C7A">
        <w:rPr>
          <w:rFonts w:ascii="Times New Roman" w:hAnsi="Times New Roman"/>
        </w:rPr>
        <w:t xml:space="preserve">, 1-20. URL </w:t>
      </w:r>
      <w:hyperlink r:id="rId12" w:history="1">
        <w:r w:rsidRPr="00D124B0">
          <w:rPr>
            <w:rStyle w:val="Hyperlink"/>
            <w:rFonts w:ascii="Times New Roman" w:hAnsi="Times New Roman"/>
          </w:rPr>
          <w:t>http://www.jstatsoft.org/v21/i12/</w:t>
        </w:r>
      </w:hyperlink>
      <w:r w:rsidRPr="00F45C7A">
        <w:rPr>
          <w:rFonts w:ascii="Times New Roman" w:hAnsi="Times New Roman"/>
        </w:rPr>
        <w:t>.</w:t>
      </w:r>
    </w:p>
    <w:p w14:paraId="550C010A" w14:textId="77777777" w:rsidR="00244960" w:rsidRPr="00F45C7A" w:rsidRDefault="00244960" w:rsidP="00F45C7A">
      <w:pPr>
        <w:spacing w:line="276" w:lineRule="auto"/>
        <w:ind w:right="-180"/>
        <w:jc w:val="both"/>
        <w:rPr>
          <w:rFonts w:ascii="Times New Roman" w:hAnsi="Times New Roman"/>
        </w:rPr>
      </w:pPr>
    </w:p>
    <w:p w14:paraId="0D6E6F72" w14:textId="77777777" w:rsidR="009C5CF0" w:rsidRPr="009B4EA2" w:rsidRDefault="009C5CF0" w:rsidP="009C5CF0">
      <w:pPr>
        <w:spacing w:line="276" w:lineRule="auto"/>
        <w:ind w:right="-180"/>
        <w:jc w:val="both"/>
        <w:rPr>
          <w:rFonts w:ascii="Times New Roman" w:hAnsi="Times New Roman"/>
        </w:rPr>
      </w:pPr>
    </w:p>
    <w:p w14:paraId="60B60E40" w14:textId="77777777" w:rsidR="00BA4487" w:rsidRDefault="00397CA9"/>
    <w:sectPr w:rsidR="00BA4487" w:rsidSect="00BA448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902E3F" w14:textId="77777777" w:rsidR="00397CA9" w:rsidRDefault="00397CA9">
      <w:r>
        <w:separator/>
      </w:r>
    </w:p>
  </w:endnote>
  <w:endnote w:type="continuationSeparator" w:id="0">
    <w:p w14:paraId="7F9D753B" w14:textId="77777777" w:rsidR="00397CA9" w:rsidRDefault="00397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MS ??">
    <w:altName w:val="Arial Unicode MS"/>
    <w:panose1 w:val="00000000000000000000"/>
    <w:charset w:val="80"/>
    <w:family w:val="auto"/>
    <w:notTrueType/>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9DCA37" w14:textId="77777777" w:rsidR="00397CA9" w:rsidRDefault="00397CA9">
      <w:r>
        <w:separator/>
      </w:r>
    </w:p>
  </w:footnote>
  <w:footnote w:type="continuationSeparator" w:id="0">
    <w:p w14:paraId="24CFE6CC" w14:textId="77777777" w:rsidR="00397CA9" w:rsidRDefault="00397CA9">
      <w:r>
        <w:continuationSeparator/>
      </w:r>
    </w:p>
  </w:footnote>
  <w:footnote w:id="1">
    <w:p w14:paraId="7A78C517" w14:textId="5AF7E4DB" w:rsidR="00B7450B" w:rsidRDefault="00B7450B">
      <w:pPr>
        <w:pStyle w:val="FootnoteText"/>
      </w:pPr>
      <w:r>
        <w:rPr>
          <w:rStyle w:val="FootnoteReference"/>
        </w:rPr>
        <w:footnoteRef/>
      </w:r>
      <w:r>
        <w:t xml:space="preserve"> The table was produced, using R package </w:t>
      </w:r>
      <w:bookmarkStart w:id="0" w:name="_GoBack"/>
      <w:proofErr w:type="spellStart"/>
      <w:r w:rsidRPr="00244960">
        <w:rPr>
          <w:i/>
        </w:rPr>
        <w:t>texreg</w:t>
      </w:r>
      <w:proofErr w:type="spellEnd"/>
      <w:r>
        <w:t xml:space="preserve"> </w:t>
      </w:r>
      <w:bookmarkEnd w:id="0"/>
      <w:r>
        <w:t>(</w:t>
      </w:r>
      <w:proofErr w:type="spellStart"/>
      <w:r>
        <w:t>Leifeld</w:t>
      </w:r>
      <w:proofErr w:type="spellEnd"/>
      <w:r>
        <w:t xml:space="preserve"> </w:t>
      </w:r>
      <w:r w:rsidRPr="00B7450B">
        <w:t>2013</w:t>
      </w:r>
      <w:r>
        <w:t>).</w:t>
      </w:r>
    </w:p>
  </w:footnote>
  <w:footnote w:id="2">
    <w:p w14:paraId="3386F822" w14:textId="2A6A2E1F" w:rsidR="00B7450B" w:rsidRDefault="00B7450B">
      <w:pPr>
        <w:pStyle w:val="FootnoteText"/>
      </w:pPr>
      <w:r>
        <w:rPr>
          <w:rStyle w:val="FootnoteReference"/>
        </w:rPr>
        <w:footnoteRef/>
      </w:r>
      <w:r>
        <w:t xml:space="preserve"> </w:t>
      </w:r>
      <w:r>
        <w:t>The table was produced, using R package</w:t>
      </w:r>
      <w:r>
        <w:t xml:space="preserve"> </w:t>
      </w:r>
      <w:proofErr w:type="spellStart"/>
      <w:r w:rsidRPr="00244960">
        <w:rPr>
          <w:i/>
        </w:rPr>
        <w:t>texreg</w:t>
      </w:r>
      <w:proofErr w:type="spellEnd"/>
      <w:r>
        <w:t xml:space="preserve"> (</w:t>
      </w:r>
      <w:proofErr w:type="spellStart"/>
      <w:r>
        <w:t>Leifeld</w:t>
      </w:r>
      <w:proofErr w:type="spellEnd"/>
      <w:r>
        <w:t xml:space="preserve"> </w:t>
      </w:r>
      <w:r w:rsidRPr="00B7450B">
        <w:t>2013</w:t>
      </w:r>
      <w:r>
        <w:t>).</w:t>
      </w:r>
    </w:p>
  </w:footnote>
  <w:footnote w:id="3">
    <w:p w14:paraId="2341E8A2" w14:textId="46306526" w:rsidR="00B7450B" w:rsidRDefault="00B7450B">
      <w:pPr>
        <w:pStyle w:val="FootnoteText"/>
      </w:pPr>
      <w:r>
        <w:rPr>
          <w:rStyle w:val="FootnoteReference"/>
        </w:rPr>
        <w:footnoteRef/>
      </w:r>
      <w:r>
        <w:t xml:space="preserve"> We calculated marginal effects</w:t>
      </w:r>
      <w:r w:rsidR="00244960">
        <w:t xml:space="preserve"> using R package </w:t>
      </w:r>
      <w:r w:rsidR="00244960" w:rsidRPr="00244960">
        <w:rPr>
          <w:i/>
        </w:rPr>
        <w:t>Zelig</w:t>
      </w:r>
      <w:r>
        <w:t xml:space="preserve"> (</w:t>
      </w:r>
      <w:proofErr w:type="spellStart"/>
      <w:r w:rsidRPr="00B7450B">
        <w:t>Kosuke</w:t>
      </w:r>
      <w:proofErr w:type="spellEnd"/>
      <w:r w:rsidRPr="00B7450B">
        <w:t xml:space="preserve"> </w:t>
      </w:r>
      <w:r>
        <w:t xml:space="preserve">Imai, Gary King, and Olivia </w:t>
      </w:r>
      <w:proofErr w:type="gramStart"/>
      <w:r>
        <w:t xml:space="preserve">Lau </w:t>
      </w:r>
      <w:r w:rsidRPr="00B7450B">
        <w:t xml:space="preserve"> 2007</w:t>
      </w:r>
      <w:proofErr w:type="gramEnd"/>
      <w:r>
        <w:t>)</w:t>
      </w:r>
      <w:r w:rsidR="00F45C7A">
        <w:t xml:space="preserve">. </w:t>
      </w:r>
      <w:r w:rsidR="00F45C7A">
        <w:t xml:space="preserve">We used R packages </w:t>
      </w:r>
      <w:r w:rsidR="00F45C7A" w:rsidRPr="00244960">
        <w:rPr>
          <w:i/>
        </w:rPr>
        <w:t>reshape2</w:t>
      </w:r>
      <w:r w:rsidR="00F45C7A">
        <w:t xml:space="preserve"> (</w:t>
      </w:r>
      <w:proofErr w:type="spellStart"/>
      <w:r w:rsidR="00F45C7A">
        <w:t>Wickam</w:t>
      </w:r>
      <w:proofErr w:type="spellEnd"/>
      <w:r w:rsidR="00F45C7A">
        <w:t xml:space="preserve"> 2007) and </w:t>
      </w:r>
      <w:r w:rsidR="00F45C7A" w:rsidRPr="00244960">
        <w:rPr>
          <w:i/>
        </w:rPr>
        <w:t>ggplot2</w:t>
      </w:r>
      <w:r w:rsidR="00F45C7A">
        <w:t xml:space="preserve"> (</w:t>
      </w:r>
      <w:r w:rsidR="00F45C7A" w:rsidRPr="00F45C7A">
        <w:t>Wickham</w:t>
      </w:r>
      <w:r w:rsidR="00F45C7A">
        <w:t xml:space="preserve"> 2009) to depict the effects.</w:t>
      </w:r>
    </w:p>
  </w:footnote>
  <w:footnote w:id="4">
    <w:p w14:paraId="4AC34BF4" w14:textId="77777777" w:rsidR="009C5CF0" w:rsidRDefault="009C5CF0" w:rsidP="009C5CF0">
      <w:pPr>
        <w:pStyle w:val="FootnoteText"/>
        <w:rPr>
          <w:color w:val="FF0000"/>
        </w:rPr>
      </w:pPr>
    </w:p>
    <w:p w14:paraId="4145B70B" w14:textId="77777777" w:rsidR="009C5CF0" w:rsidRDefault="009C5CF0" w:rsidP="009C5CF0">
      <w:pPr>
        <w:pStyle w:val="FootnoteText"/>
        <w:rPr>
          <w:color w:val="FF0000"/>
        </w:rPr>
      </w:pPr>
    </w:p>
    <w:p w14:paraId="2A8BEDF3" w14:textId="77777777" w:rsidR="009C5CF0" w:rsidRPr="00307BB1" w:rsidRDefault="009C5CF0" w:rsidP="009C5CF0">
      <w:pPr>
        <w:pStyle w:val="FootnoteText"/>
        <w:rPr>
          <w:color w:val="FF0000"/>
        </w:rPr>
      </w:pPr>
    </w:p>
  </w:footnote>
  <w:footnote w:id="5">
    <w:p w14:paraId="2EF2D0AB" w14:textId="5448AA4F" w:rsidR="00F45C7A" w:rsidRDefault="00F45C7A">
      <w:pPr>
        <w:pStyle w:val="FootnoteText"/>
      </w:pPr>
      <w:r>
        <w:rPr>
          <w:rStyle w:val="FootnoteReference"/>
        </w:rPr>
        <w:footnoteRef/>
      </w:r>
      <w:r>
        <w:t xml:space="preserve"> </w:t>
      </w:r>
      <w:r>
        <w:t xml:space="preserve">We calculated marginal effects using R package </w:t>
      </w:r>
      <w:r w:rsidRPr="00244960">
        <w:rPr>
          <w:i/>
        </w:rPr>
        <w:t>Zelig</w:t>
      </w:r>
      <w:r>
        <w:t xml:space="preserve"> (</w:t>
      </w:r>
      <w:proofErr w:type="spellStart"/>
      <w:r w:rsidRPr="00B7450B">
        <w:t>Kosuke</w:t>
      </w:r>
      <w:proofErr w:type="spellEnd"/>
      <w:r w:rsidRPr="00B7450B">
        <w:t xml:space="preserve"> </w:t>
      </w:r>
      <w:r>
        <w:t xml:space="preserve">Imai, Gary King, and Olivia </w:t>
      </w:r>
      <w:proofErr w:type="gramStart"/>
      <w:r>
        <w:t xml:space="preserve">Lau </w:t>
      </w:r>
      <w:r w:rsidRPr="00B7450B">
        <w:t xml:space="preserve"> 2007</w:t>
      </w:r>
      <w:proofErr w:type="gramEnd"/>
      <w:r>
        <w:t>). We used R package</w:t>
      </w:r>
      <w:r>
        <w:t xml:space="preserve">s </w:t>
      </w:r>
      <w:r w:rsidRPr="00244960">
        <w:rPr>
          <w:i/>
        </w:rPr>
        <w:t>reshape2</w:t>
      </w:r>
      <w:r>
        <w:t xml:space="preserve"> (</w:t>
      </w:r>
      <w:proofErr w:type="spellStart"/>
      <w:r>
        <w:t>Wickam</w:t>
      </w:r>
      <w:proofErr w:type="spellEnd"/>
      <w:r>
        <w:t xml:space="preserve"> 2007) and</w:t>
      </w:r>
      <w:r>
        <w:t xml:space="preserve"> </w:t>
      </w:r>
      <w:r w:rsidRPr="00244960">
        <w:rPr>
          <w:i/>
        </w:rPr>
        <w:t>ggplot2</w:t>
      </w:r>
      <w:r>
        <w:t xml:space="preserve"> (</w:t>
      </w:r>
      <w:r w:rsidRPr="00F45C7A">
        <w:t>Wickham</w:t>
      </w:r>
      <w:r>
        <w:t xml:space="preserve"> 2009)</w:t>
      </w:r>
      <w:r>
        <w:t xml:space="preserve"> </w:t>
      </w:r>
      <w:r>
        <w:t>to depict the effects.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CF0"/>
    <w:rsid w:val="0011270A"/>
    <w:rsid w:val="00244960"/>
    <w:rsid w:val="00397CA9"/>
    <w:rsid w:val="006727B3"/>
    <w:rsid w:val="00764B37"/>
    <w:rsid w:val="009C5CF0"/>
    <w:rsid w:val="00B7450B"/>
    <w:rsid w:val="00E12362"/>
    <w:rsid w:val="00F45C7A"/>
    <w:rsid w:val="00F5076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FC6EE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80">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CF0"/>
    <w:rPr>
      <w:rFonts w:ascii="Cambria" w:eastAsia="MS ??" w:hAnsi="Cambria"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9C5CF0"/>
    <w:rPr>
      <w:sz w:val="20"/>
      <w:szCs w:val="20"/>
    </w:rPr>
  </w:style>
  <w:style w:type="character" w:customStyle="1" w:styleId="FootnoteTextChar">
    <w:name w:val="Footnote Text Char"/>
    <w:basedOn w:val="DefaultParagraphFont"/>
    <w:link w:val="FootnoteText"/>
    <w:uiPriority w:val="99"/>
    <w:rsid w:val="009C5CF0"/>
    <w:rPr>
      <w:rFonts w:ascii="Cambria" w:eastAsia="MS ??" w:hAnsi="Cambria" w:cs="Times New Roman"/>
      <w:sz w:val="20"/>
      <w:szCs w:val="20"/>
    </w:rPr>
  </w:style>
  <w:style w:type="character" w:styleId="FootnoteReference">
    <w:name w:val="footnote reference"/>
    <w:uiPriority w:val="99"/>
    <w:rsid w:val="009C5CF0"/>
    <w:rPr>
      <w:rFonts w:cs="Times New Roman"/>
      <w:vertAlign w:val="superscript"/>
    </w:rPr>
  </w:style>
  <w:style w:type="character" w:styleId="Hyperlink">
    <w:name w:val="Hyperlink"/>
    <w:basedOn w:val="DefaultParagraphFont"/>
    <w:rsid w:val="00F45C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jstatsoft.org/v55/i08/" TargetMode="External"/><Relationship Id="rId12" Type="http://schemas.openxmlformats.org/officeDocument/2006/relationships/hyperlink" Target="http://www.jstatsoft.org/v21/i12/"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emf"/><Relationship Id="rId7" Type="http://schemas.openxmlformats.org/officeDocument/2006/relationships/image" Target="media/image2.emf"/><Relationship Id="rId8" Type="http://schemas.openxmlformats.org/officeDocument/2006/relationships/image" Target="media/image3.emf"/><Relationship Id="rId9" Type="http://schemas.openxmlformats.org/officeDocument/2006/relationships/image" Target="media/image4.emf"/><Relationship Id="rId10" Type="http://schemas.openxmlformats.org/officeDocument/2006/relationships/hyperlink" Target="http://GKing.harvard.edu/zeli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898</Words>
  <Characters>5120</Characters>
  <Application>Microsoft Macintosh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Siroky</dc:creator>
  <cp:keywords/>
  <cp:lastModifiedBy>Valery Dzutsati (Student)</cp:lastModifiedBy>
  <cp:revision>3</cp:revision>
  <dcterms:created xsi:type="dcterms:W3CDTF">2016-05-07T00:57:00Z</dcterms:created>
  <dcterms:modified xsi:type="dcterms:W3CDTF">2016-05-07T01:25:00Z</dcterms:modified>
</cp:coreProperties>
</file>