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BDB52" w14:textId="77777777" w:rsidR="00905AEC" w:rsidRPr="002F5EF5" w:rsidRDefault="00905AEC" w:rsidP="00905AEC">
      <w:pPr>
        <w:widowControl w:val="0"/>
        <w:autoSpaceDE w:val="0"/>
        <w:autoSpaceDN w:val="0"/>
        <w:adjustRightInd w:val="0"/>
        <w:spacing w:line="480" w:lineRule="auto"/>
        <w:ind w:left="284" w:hanging="284"/>
        <w:rPr>
          <w:lang w:val="en-US"/>
        </w:rPr>
      </w:pPr>
      <w:bookmarkStart w:id="0" w:name="_GoBack"/>
      <w:bookmarkEnd w:id="0"/>
      <w:r w:rsidRPr="002F5EF5">
        <w:rPr>
          <w:b/>
          <w:sz w:val="26"/>
          <w:szCs w:val="26"/>
          <w:lang w:val="en-US"/>
        </w:rPr>
        <w:t>Appendix: Measures of Party Profile</w:t>
      </w:r>
    </w:p>
    <w:p w14:paraId="4849CE20" w14:textId="77777777" w:rsidR="00905AEC" w:rsidRPr="002F5EF5" w:rsidRDefault="00905AEC" w:rsidP="00905AEC">
      <w:pPr>
        <w:spacing w:line="480" w:lineRule="auto"/>
        <w:jc w:val="both"/>
        <w:rPr>
          <w:lang w:val="en-US"/>
        </w:rPr>
      </w:pPr>
      <w:r w:rsidRPr="002F5EF5">
        <w:rPr>
          <w:lang w:val="en-US"/>
        </w:rPr>
        <w:t xml:space="preserve">According to our definition a party has a clear profile with respect to a given issue if </w:t>
      </w:r>
      <w:proofErr w:type="spellStart"/>
      <w:r w:rsidRPr="002F5EF5">
        <w:rPr>
          <w:lang w:val="en-US"/>
        </w:rPr>
        <w:t>i</w:t>
      </w:r>
      <w:proofErr w:type="spellEnd"/>
      <w:r w:rsidRPr="002F5EF5">
        <w:rPr>
          <w:lang w:val="en-US"/>
        </w:rPr>
        <w:t>) its position is distinct from that of its competitors, and ii) it is internally united. To assess the clarity of party profile</w:t>
      </w:r>
      <w:r w:rsidR="00BF40CA">
        <w:rPr>
          <w:lang w:val="en-US"/>
        </w:rPr>
        <w:t>s</w:t>
      </w:r>
      <w:r w:rsidRPr="002F5EF5">
        <w:rPr>
          <w:lang w:val="en-US"/>
        </w:rPr>
        <w:t xml:space="preserve"> we rely on data from the Comparative Candidate Survey (CSS). More specifically, for each of the five parties under study we compute the average position on a given issue scale among the candidates of a party. We then calculate the average distance between the party's location and that of its four competitors and use this distance as a measure of the "distinctiveness" of its profile: The higher the distance, the higher the distinctiveness of the party. Second, we use van der </w:t>
      </w:r>
      <w:proofErr w:type="spellStart"/>
      <w:r w:rsidRPr="002F5EF5">
        <w:rPr>
          <w:lang w:val="en-US"/>
        </w:rPr>
        <w:t>Eijk's</w:t>
      </w:r>
      <w:proofErr w:type="spellEnd"/>
      <w:r w:rsidRPr="002F5EF5">
        <w:rPr>
          <w:lang w:val="en-US"/>
        </w:rPr>
        <w:t xml:space="preserve"> (2001) index of agreement as a measure of the party's "internal unity" (or "cohesiveness"). This index informs about the degree to which a group of people shares the same preferences on an ordered rating scale.</w:t>
      </w:r>
      <w:r w:rsidRPr="002F5EF5">
        <w:rPr>
          <w:rStyle w:val="FootnoteReference"/>
          <w:lang w:val="en-US"/>
        </w:rPr>
        <w:footnoteReference w:id="1"/>
      </w:r>
      <w:r w:rsidRPr="002F5EF5">
        <w:rPr>
          <w:lang w:val="en-US"/>
        </w:rPr>
        <w:t xml:space="preserve"> It ranges from -1 (full disagreement) to 1 (full agreement). In the present case, 1 would mean that all candidates of a given party indicate exactly the same position (i.e., preference) on a given issue scale. Finally, the mean between the distance and the agreement index is our measure of party profile: The higher the mean the clearer the profile. </w:t>
      </w:r>
    </w:p>
    <w:p w14:paraId="52758CB2" w14:textId="77777777" w:rsidR="00905AEC" w:rsidRPr="002F5EF5" w:rsidRDefault="00905AEC" w:rsidP="00905AEC">
      <w:pPr>
        <w:spacing w:line="480" w:lineRule="auto"/>
        <w:jc w:val="both"/>
        <w:rPr>
          <w:lang w:val="en-US"/>
        </w:rPr>
      </w:pPr>
      <w:r w:rsidRPr="002F5EF5">
        <w:rPr>
          <w:lang w:val="en-US"/>
        </w:rPr>
        <w:t xml:space="preserve">The resulting index of profile clarity ranges </w:t>
      </w:r>
      <w:r w:rsidR="00A5432B" w:rsidRPr="002F5EF5">
        <w:rPr>
          <w:lang w:val="en-US"/>
        </w:rPr>
        <w:t xml:space="preserve">empirically </w:t>
      </w:r>
      <w:r w:rsidRPr="002F5EF5">
        <w:rPr>
          <w:lang w:val="en-US"/>
        </w:rPr>
        <w:t xml:space="preserve">from 0.82 to 1.52 (mean=1.08). To distinguish between a low, a moderate or a high profile we apply the following cut-off points: A party has a "low" profile if the mean between distance and agreement is lower or equal to 0.95; it has a "moderate" profile if the mean is greater </w:t>
      </w:r>
      <w:r w:rsidRPr="002F5EF5">
        <w:rPr>
          <w:lang w:val="en-US"/>
        </w:rPr>
        <w:lastRenderedPageBreak/>
        <w:t>than 0.95 but lower or equal to 1.15; and it has "high" profile if the mean is greater than 1.15.</w:t>
      </w:r>
      <w:r w:rsidRPr="002F5EF5">
        <w:rPr>
          <w:rStyle w:val="FootnoteReference"/>
          <w:rFonts w:eastAsia="Times New Roman"/>
          <w:lang w:val="en-US"/>
        </w:rPr>
        <w:footnoteReference w:id="2"/>
      </w:r>
    </w:p>
    <w:p w14:paraId="02A37829" w14:textId="77777777" w:rsidR="00905AEC" w:rsidRPr="002F5EF5" w:rsidRDefault="00905AEC" w:rsidP="00905AEC">
      <w:pPr>
        <w:spacing w:line="480" w:lineRule="auto"/>
        <w:jc w:val="both"/>
        <w:rPr>
          <w:lang w:val="en-US"/>
        </w:rPr>
      </w:pPr>
    </w:p>
    <w:p w14:paraId="54457B29" w14:textId="77777777" w:rsidR="00905AEC" w:rsidRPr="002F5EF5" w:rsidRDefault="00905AEC" w:rsidP="00905AEC">
      <w:pPr>
        <w:spacing w:line="480" w:lineRule="auto"/>
        <w:jc w:val="both"/>
        <w:rPr>
          <w:b/>
          <w:lang w:val="en-US"/>
        </w:rPr>
      </w:pPr>
      <w:r w:rsidRPr="002F5EF5">
        <w:rPr>
          <w:b/>
          <w:lang w:val="en-US"/>
        </w:rPr>
        <w:t>Synthetic indicator of issue competition (left-right)</w:t>
      </w:r>
    </w:p>
    <w:p w14:paraId="0892AB91" w14:textId="77777777" w:rsidR="00905AEC" w:rsidRPr="002F5EF5" w:rsidRDefault="00905AEC" w:rsidP="00905AEC">
      <w:pPr>
        <w:spacing w:line="480" w:lineRule="auto"/>
        <w:jc w:val="both"/>
        <w:rPr>
          <w:lang w:val="en-US"/>
        </w:rPr>
      </w:pPr>
      <w:r w:rsidRPr="002F5EF5">
        <w:rPr>
          <w:lang w:val="en-US"/>
        </w:rPr>
        <w:t>We start with the parties' profile</w:t>
      </w:r>
      <w:r w:rsidR="00A5432B">
        <w:rPr>
          <w:lang w:val="en-US"/>
        </w:rPr>
        <w:t>s</w:t>
      </w:r>
      <w:r w:rsidRPr="002F5EF5">
        <w:rPr>
          <w:lang w:val="en-US"/>
        </w:rPr>
        <w:t xml:space="preserve"> on the left-right dimension, which we use as a synthetic indicator of issue competition. Table A1 (first row) presents the average position on the 1 to 5 scale for each of the five parties under consideration.</w:t>
      </w:r>
      <w:r w:rsidRPr="002F5EF5">
        <w:rPr>
          <w:rStyle w:val="FootnoteReference"/>
          <w:lang w:val="en-US"/>
        </w:rPr>
        <w:footnoteReference w:id="3"/>
      </w:r>
      <w:r w:rsidRPr="002F5EF5">
        <w:rPr>
          <w:lang w:val="en-US"/>
        </w:rPr>
        <w:t xml:space="preserve">  The second row shows the measure of "distinctiveness" and the third the measure of "internal unity". The mean between distance and agreement appears in the fourth row, and the resulting classification of party profile in the last row. </w:t>
      </w:r>
    </w:p>
    <w:p w14:paraId="7DCC91B8" w14:textId="77777777" w:rsidR="00905AEC" w:rsidRPr="002F5EF5" w:rsidRDefault="00905AEC" w:rsidP="00905AEC">
      <w:pPr>
        <w:rPr>
          <w:i/>
          <w:lang w:val="en-US"/>
        </w:rPr>
      </w:pPr>
    </w:p>
    <w:p w14:paraId="2BFF3AF4" w14:textId="77777777" w:rsidR="00905AEC" w:rsidRPr="002F5EF5" w:rsidRDefault="00905AEC" w:rsidP="00905AEC">
      <w:pPr>
        <w:jc w:val="both"/>
        <w:rPr>
          <w:i/>
          <w:lang w:val="en-US"/>
        </w:rPr>
      </w:pPr>
      <w:r w:rsidRPr="002F5EF5">
        <w:rPr>
          <w:i/>
          <w:lang w:val="en-US"/>
        </w:rPr>
        <w:t>Table A1: Clarity of parties' profile on the left-right dimension (CCS data)</w:t>
      </w:r>
    </w:p>
    <w:p w14:paraId="798566E6" w14:textId="77777777" w:rsidR="00905AEC" w:rsidRPr="002F5EF5" w:rsidRDefault="00905AEC" w:rsidP="00905AEC">
      <w:pPr>
        <w:jc w:val="both"/>
        <w:rPr>
          <w:i/>
          <w:lang w:val="en-US"/>
        </w:rPr>
      </w:pPr>
    </w:p>
    <w:tbl>
      <w:tblPr>
        <w:tblStyle w:val="TableGrid"/>
        <w:tblW w:w="0" w:type="auto"/>
        <w:tblLayout w:type="fixed"/>
        <w:tblLook w:val="04A0" w:firstRow="1" w:lastRow="0" w:firstColumn="1" w:lastColumn="0" w:noHBand="0" w:noVBand="1"/>
      </w:tblPr>
      <w:tblGrid>
        <w:gridCol w:w="2235"/>
        <w:gridCol w:w="1256"/>
        <w:gridCol w:w="1256"/>
        <w:gridCol w:w="1256"/>
        <w:gridCol w:w="1256"/>
        <w:gridCol w:w="1257"/>
      </w:tblGrid>
      <w:tr w:rsidR="00905AEC" w:rsidRPr="002F5EF5" w14:paraId="457BFE0E" w14:textId="77777777" w:rsidTr="00F77D41">
        <w:tc>
          <w:tcPr>
            <w:tcW w:w="2235" w:type="dxa"/>
          </w:tcPr>
          <w:p w14:paraId="0DC9719B" w14:textId="77777777" w:rsidR="00905AEC" w:rsidRPr="002F5EF5" w:rsidRDefault="00905AEC" w:rsidP="00F77D41">
            <w:pPr>
              <w:rPr>
                <w:i/>
                <w:sz w:val="22"/>
                <w:szCs w:val="22"/>
                <w:lang w:val="en-US"/>
              </w:rPr>
            </w:pPr>
          </w:p>
        </w:tc>
        <w:tc>
          <w:tcPr>
            <w:tcW w:w="1256" w:type="dxa"/>
          </w:tcPr>
          <w:p w14:paraId="0417F817" w14:textId="77777777" w:rsidR="00905AEC" w:rsidRPr="002F5EF5" w:rsidRDefault="00905AEC" w:rsidP="00F77D41">
            <w:pPr>
              <w:jc w:val="center"/>
              <w:rPr>
                <w:sz w:val="22"/>
                <w:szCs w:val="22"/>
                <w:lang w:val="en-US"/>
              </w:rPr>
            </w:pPr>
            <w:r w:rsidRPr="002F5EF5">
              <w:rPr>
                <w:sz w:val="22"/>
                <w:szCs w:val="22"/>
                <w:lang w:val="en-US"/>
              </w:rPr>
              <w:t>Social Democratic party</w:t>
            </w:r>
          </w:p>
          <w:p w14:paraId="26954759" w14:textId="77777777" w:rsidR="00905AEC" w:rsidRPr="002F5EF5" w:rsidRDefault="00905AEC" w:rsidP="00F77D41">
            <w:pPr>
              <w:jc w:val="center"/>
              <w:rPr>
                <w:sz w:val="22"/>
                <w:szCs w:val="22"/>
                <w:lang w:val="en-US"/>
              </w:rPr>
            </w:pPr>
            <w:r w:rsidRPr="002F5EF5">
              <w:rPr>
                <w:sz w:val="22"/>
                <w:szCs w:val="22"/>
                <w:lang w:val="en-US"/>
              </w:rPr>
              <w:t>(N=274)</w:t>
            </w:r>
          </w:p>
        </w:tc>
        <w:tc>
          <w:tcPr>
            <w:tcW w:w="1256" w:type="dxa"/>
          </w:tcPr>
          <w:p w14:paraId="47DEF5A0" w14:textId="77777777" w:rsidR="00905AEC" w:rsidRPr="002F5EF5" w:rsidRDefault="00905AEC" w:rsidP="00F77D41">
            <w:pPr>
              <w:jc w:val="center"/>
              <w:rPr>
                <w:sz w:val="22"/>
                <w:szCs w:val="22"/>
                <w:lang w:val="en-US"/>
              </w:rPr>
            </w:pPr>
          </w:p>
          <w:p w14:paraId="4F81E23A" w14:textId="77777777" w:rsidR="00905AEC" w:rsidRPr="002F5EF5" w:rsidRDefault="00905AEC" w:rsidP="00F77D41">
            <w:pPr>
              <w:jc w:val="center"/>
              <w:rPr>
                <w:sz w:val="22"/>
                <w:szCs w:val="22"/>
                <w:lang w:val="en-US"/>
              </w:rPr>
            </w:pPr>
            <w:r w:rsidRPr="002F5EF5">
              <w:rPr>
                <w:sz w:val="22"/>
                <w:szCs w:val="22"/>
                <w:lang w:val="en-US"/>
              </w:rPr>
              <w:t>Green party</w:t>
            </w:r>
          </w:p>
          <w:p w14:paraId="44D0A283" w14:textId="77777777" w:rsidR="00905AEC" w:rsidRPr="002F5EF5" w:rsidRDefault="00905AEC" w:rsidP="00F77D41">
            <w:pPr>
              <w:jc w:val="center"/>
              <w:rPr>
                <w:sz w:val="22"/>
                <w:szCs w:val="22"/>
                <w:lang w:val="en-US"/>
              </w:rPr>
            </w:pPr>
            <w:r w:rsidRPr="002F5EF5">
              <w:rPr>
                <w:sz w:val="22"/>
                <w:szCs w:val="22"/>
                <w:lang w:val="en-US"/>
              </w:rPr>
              <w:t>(N=263)</w:t>
            </w:r>
          </w:p>
        </w:tc>
        <w:tc>
          <w:tcPr>
            <w:tcW w:w="1256" w:type="dxa"/>
          </w:tcPr>
          <w:p w14:paraId="12F75475" w14:textId="77777777" w:rsidR="00905AEC" w:rsidRPr="002F5EF5" w:rsidRDefault="00905AEC" w:rsidP="00F77D41">
            <w:pPr>
              <w:jc w:val="center"/>
              <w:rPr>
                <w:sz w:val="22"/>
                <w:szCs w:val="22"/>
                <w:lang w:val="en-US"/>
              </w:rPr>
            </w:pPr>
            <w:r w:rsidRPr="002F5EF5">
              <w:rPr>
                <w:sz w:val="22"/>
                <w:szCs w:val="22"/>
                <w:lang w:val="en-US"/>
              </w:rPr>
              <w:t>Christian Democratic party</w:t>
            </w:r>
          </w:p>
          <w:p w14:paraId="356FD051" w14:textId="77777777" w:rsidR="00905AEC" w:rsidRPr="002F5EF5" w:rsidRDefault="00905AEC" w:rsidP="00F77D41">
            <w:pPr>
              <w:jc w:val="center"/>
              <w:rPr>
                <w:sz w:val="22"/>
                <w:szCs w:val="22"/>
                <w:lang w:val="en-US"/>
              </w:rPr>
            </w:pPr>
            <w:r w:rsidRPr="002F5EF5">
              <w:rPr>
                <w:sz w:val="22"/>
                <w:szCs w:val="22"/>
                <w:lang w:val="en-US"/>
              </w:rPr>
              <w:t>(N=208)</w:t>
            </w:r>
          </w:p>
        </w:tc>
        <w:tc>
          <w:tcPr>
            <w:tcW w:w="1256" w:type="dxa"/>
          </w:tcPr>
          <w:p w14:paraId="1D9775AA" w14:textId="77777777" w:rsidR="00905AEC" w:rsidRPr="002F5EF5" w:rsidRDefault="00905AEC" w:rsidP="00F77D41">
            <w:pPr>
              <w:jc w:val="center"/>
              <w:rPr>
                <w:sz w:val="22"/>
                <w:szCs w:val="22"/>
                <w:lang w:val="en-US"/>
              </w:rPr>
            </w:pPr>
            <w:r w:rsidRPr="002F5EF5">
              <w:rPr>
                <w:sz w:val="22"/>
                <w:szCs w:val="22"/>
                <w:lang w:val="en-US"/>
              </w:rPr>
              <w:t>Radical democratic party</w:t>
            </w:r>
          </w:p>
          <w:p w14:paraId="5689C41D" w14:textId="77777777" w:rsidR="00905AEC" w:rsidRPr="002F5EF5" w:rsidRDefault="00905AEC" w:rsidP="00F77D41">
            <w:pPr>
              <w:jc w:val="center"/>
              <w:rPr>
                <w:sz w:val="22"/>
                <w:szCs w:val="22"/>
                <w:lang w:val="en-US"/>
              </w:rPr>
            </w:pPr>
            <w:r w:rsidRPr="002F5EF5">
              <w:rPr>
                <w:sz w:val="22"/>
                <w:szCs w:val="22"/>
                <w:lang w:val="en-US"/>
              </w:rPr>
              <w:t>(N=228)</w:t>
            </w:r>
          </w:p>
        </w:tc>
        <w:tc>
          <w:tcPr>
            <w:tcW w:w="1257" w:type="dxa"/>
          </w:tcPr>
          <w:p w14:paraId="7E355FB4" w14:textId="77777777" w:rsidR="00905AEC" w:rsidRPr="002F5EF5" w:rsidRDefault="00905AEC" w:rsidP="00F77D41">
            <w:pPr>
              <w:jc w:val="center"/>
              <w:rPr>
                <w:sz w:val="22"/>
                <w:szCs w:val="22"/>
                <w:lang w:val="en-US"/>
              </w:rPr>
            </w:pPr>
            <w:r w:rsidRPr="002F5EF5">
              <w:rPr>
                <w:sz w:val="22"/>
                <w:szCs w:val="22"/>
                <w:lang w:val="en-US"/>
              </w:rPr>
              <w:t>Swiss People's party</w:t>
            </w:r>
          </w:p>
          <w:p w14:paraId="60A56E0E" w14:textId="77777777" w:rsidR="00905AEC" w:rsidRPr="002F5EF5" w:rsidRDefault="00905AEC" w:rsidP="00F77D41">
            <w:pPr>
              <w:spacing w:after="120"/>
              <w:jc w:val="center"/>
              <w:rPr>
                <w:sz w:val="22"/>
                <w:szCs w:val="22"/>
                <w:lang w:val="en-US"/>
              </w:rPr>
            </w:pPr>
            <w:r w:rsidRPr="002F5EF5">
              <w:rPr>
                <w:sz w:val="22"/>
                <w:szCs w:val="22"/>
                <w:lang w:val="en-US"/>
              </w:rPr>
              <w:t>(N=212)</w:t>
            </w:r>
          </w:p>
        </w:tc>
      </w:tr>
      <w:tr w:rsidR="00905AEC" w:rsidRPr="002F5EF5" w14:paraId="64BFE83C" w14:textId="77777777" w:rsidTr="00F77D41">
        <w:tc>
          <w:tcPr>
            <w:tcW w:w="2235" w:type="dxa"/>
          </w:tcPr>
          <w:p w14:paraId="40CE394D" w14:textId="77777777" w:rsidR="00905AEC" w:rsidRPr="002F5EF5" w:rsidRDefault="00905AEC" w:rsidP="00F77D41">
            <w:pPr>
              <w:rPr>
                <w:sz w:val="22"/>
                <w:szCs w:val="22"/>
                <w:lang w:val="en-US"/>
              </w:rPr>
            </w:pPr>
            <w:r w:rsidRPr="002F5EF5">
              <w:rPr>
                <w:sz w:val="22"/>
                <w:szCs w:val="22"/>
                <w:lang w:val="en-US"/>
              </w:rPr>
              <w:t xml:space="preserve">Average position of party's candidates </w:t>
            </w:r>
          </w:p>
        </w:tc>
        <w:tc>
          <w:tcPr>
            <w:tcW w:w="1256" w:type="dxa"/>
            <w:vAlign w:val="bottom"/>
          </w:tcPr>
          <w:p w14:paraId="42790D1F" w14:textId="77777777" w:rsidR="00905AEC" w:rsidRPr="002F5EF5" w:rsidRDefault="00905AEC" w:rsidP="00F77D41">
            <w:pPr>
              <w:jc w:val="center"/>
              <w:rPr>
                <w:sz w:val="22"/>
                <w:szCs w:val="22"/>
                <w:lang w:val="en-US"/>
              </w:rPr>
            </w:pPr>
            <w:r w:rsidRPr="002F5EF5">
              <w:rPr>
                <w:sz w:val="22"/>
                <w:szCs w:val="22"/>
              </w:rPr>
              <w:t>1.77</w:t>
            </w:r>
          </w:p>
        </w:tc>
        <w:tc>
          <w:tcPr>
            <w:tcW w:w="1256" w:type="dxa"/>
            <w:vAlign w:val="bottom"/>
          </w:tcPr>
          <w:p w14:paraId="38F94969" w14:textId="77777777" w:rsidR="00905AEC" w:rsidRPr="002F5EF5" w:rsidRDefault="00905AEC" w:rsidP="00F77D41">
            <w:pPr>
              <w:jc w:val="center"/>
              <w:rPr>
                <w:sz w:val="22"/>
                <w:szCs w:val="22"/>
                <w:lang w:val="en-US"/>
              </w:rPr>
            </w:pPr>
            <w:r w:rsidRPr="002F5EF5">
              <w:rPr>
                <w:sz w:val="22"/>
                <w:szCs w:val="22"/>
              </w:rPr>
              <w:t>1.95</w:t>
            </w:r>
          </w:p>
        </w:tc>
        <w:tc>
          <w:tcPr>
            <w:tcW w:w="1256" w:type="dxa"/>
            <w:vAlign w:val="bottom"/>
          </w:tcPr>
          <w:p w14:paraId="4E82113E" w14:textId="77777777" w:rsidR="00905AEC" w:rsidRPr="002F5EF5" w:rsidRDefault="00905AEC" w:rsidP="00F77D41">
            <w:pPr>
              <w:jc w:val="center"/>
              <w:rPr>
                <w:sz w:val="22"/>
                <w:szCs w:val="22"/>
                <w:lang w:val="en-US"/>
              </w:rPr>
            </w:pPr>
            <w:r w:rsidRPr="002F5EF5">
              <w:rPr>
                <w:sz w:val="22"/>
                <w:szCs w:val="22"/>
              </w:rPr>
              <w:t>3.02</w:t>
            </w:r>
          </w:p>
        </w:tc>
        <w:tc>
          <w:tcPr>
            <w:tcW w:w="1256" w:type="dxa"/>
            <w:vAlign w:val="bottom"/>
          </w:tcPr>
          <w:p w14:paraId="6EDC5807" w14:textId="77777777" w:rsidR="00905AEC" w:rsidRPr="002F5EF5" w:rsidRDefault="00905AEC" w:rsidP="00F77D41">
            <w:pPr>
              <w:jc w:val="center"/>
              <w:rPr>
                <w:sz w:val="22"/>
                <w:szCs w:val="22"/>
                <w:lang w:val="en-US"/>
              </w:rPr>
            </w:pPr>
            <w:r w:rsidRPr="002F5EF5">
              <w:rPr>
                <w:sz w:val="22"/>
                <w:szCs w:val="22"/>
              </w:rPr>
              <w:t>3.58</w:t>
            </w:r>
          </w:p>
        </w:tc>
        <w:tc>
          <w:tcPr>
            <w:tcW w:w="1257" w:type="dxa"/>
            <w:vAlign w:val="bottom"/>
          </w:tcPr>
          <w:p w14:paraId="162A02F3" w14:textId="77777777" w:rsidR="00905AEC" w:rsidRPr="002F5EF5" w:rsidRDefault="00905AEC" w:rsidP="00F77D41">
            <w:pPr>
              <w:jc w:val="center"/>
              <w:rPr>
                <w:sz w:val="22"/>
                <w:szCs w:val="22"/>
                <w:lang w:val="en-US"/>
              </w:rPr>
            </w:pPr>
            <w:r w:rsidRPr="002F5EF5">
              <w:rPr>
                <w:sz w:val="22"/>
                <w:szCs w:val="22"/>
              </w:rPr>
              <w:t>4.25</w:t>
            </w:r>
          </w:p>
        </w:tc>
      </w:tr>
      <w:tr w:rsidR="00905AEC" w:rsidRPr="002F5EF5" w14:paraId="1C3A0A53" w14:textId="77777777" w:rsidTr="00F77D41">
        <w:tc>
          <w:tcPr>
            <w:tcW w:w="2235" w:type="dxa"/>
          </w:tcPr>
          <w:p w14:paraId="313D3C56" w14:textId="77777777" w:rsidR="00905AEC" w:rsidRPr="002F5EF5" w:rsidRDefault="00905AEC" w:rsidP="00F77D41">
            <w:pPr>
              <w:rPr>
                <w:sz w:val="22"/>
                <w:szCs w:val="22"/>
                <w:lang w:val="en-US"/>
              </w:rPr>
            </w:pPr>
            <w:r w:rsidRPr="002F5EF5">
              <w:rPr>
                <w:sz w:val="22"/>
                <w:szCs w:val="22"/>
                <w:lang w:val="en-US"/>
              </w:rPr>
              <w:t>Distinctiveness: mean distance with competitors</w:t>
            </w:r>
          </w:p>
        </w:tc>
        <w:tc>
          <w:tcPr>
            <w:tcW w:w="1256" w:type="dxa"/>
            <w:vAlign w:val="center"/>
          </w:tcPr>
          <w:p w14:paraId="1540705C" w14:textId="77777777" w:rsidR="00905AEC" w:rsidRPr="002F5EF5" w:rsidRDefault="00905AEC" w:rsidP="00F77D41">
            <w:pPr>
              <w:jc w:val="center"/>
              <w:rPr>
                <w:sz w:val="22"/>
                <w:szCs w:val="22"/>
                <w:lang w:val="en-US"/>
              </w:rPr>
            </w:pPr>
            <w:r w:rsidRPr="002F5EF5">
              <w:rPr>
                <w:sz w:val="22"/>
                <w:szCs w:val="22"/>
              </w:rPr>
              <w:t>1.44</w:t>
            </w:r>
          </w:p>
        </w:tc>
        <w:tc>
          <w:tcPr>
            <w:tcW w:w="1256" w:type="dxa"/>
            <w:vAlign w:val="center"/>
          </w:tcPr>
          <w:p w14:paraId="642326FA" w14:textId="77777777" w:rsidR="00905AEC" w:rsidRPr="002F5EF5" w:rsidRDefault="00905AEC" w:rsidP="00F77D41">
            <w:pPr>
              <w:jc w:val="center"/>
              <w:rPr>
                <w:sz w:val="22"/>
                <w:szCs w:val="22"/>
                <w:lang w:val="en-US"/>
              </w:rPr>
            </w:pPr>
            <w:r w:rsidRPr="002F5EF5">
              <w:rPr>
                <w:sz w:val="22"/>
                <w:szCs w:val="22"/>
              </w:rPr>
              <w:t>1.31</w:t>
            </w:r>
          </w:p>
        </w:tc>
        <w:tc>
          <w:tcPr>
            <w:tcW w:w="1256" w:type="dxa"/>
            <w:vAlign w:val="center"/>
          </w:tcPr>
          <w:p w14:paraId="339B2F72" w14:textId="77777777" w:rsidR="00905AEC" w:rsidRPr="002F5EF5" w:rsidRDefault="00905AEC" w:rsidP="00F77D41">
            <w:pPr>
              <w:jc w:val="center"/>
              <w:rPr>
                <w:sz w:val="22"/>
                <w:szCs w:val="22"/>
                <w:lang w:val="en-US"/>
              </w:rPr>
            </w:pPr>
            <w:r w:rsidRPr="002F5EF5">
              <w:rPr>
                <w:sz w:val="22"/>
                <w:szCs w:val="22"/>
              </w:rPr>
              <w:t>1.03</w:t>
            </w:r>
          </w:p>
        </w:tc>
        <w:tc>
          <w:tcPr>
            <w:tcW w:w="1256" w:type="dxa"/>
            <w:vAlign w:val="center"/>
          </w:tcPr>
          <w:p w14:paraId="6377EE18" w14:textId="77777777" w:rsidR="00905AEC" w:rsidRPr="002F5EF5" w:rsidRDefault="00905AEC" w:rsidP="00F77D41">
            <w:pPr>
              <w:jc w:val="center"/>
              <w:rPr>
                <w:sz w:val="22"/>
                <w:szCs w:val="22"/>
                <w:lang w:val="en-US"/>
              </w:rPr>
            </w:pPr>
            <w:r w:rsidRPr="002F5EF5">
              <w:rPr>
                <w:sz w:val="22"/>
                <w:szCs w:val="22"/>
              </w:rPr>
              <w:t>1.17</w:t>
            </w:r>
          </w:p>
        </w:tc>
        <w:tc>
          <w:tcPr>
            <w:tcW w:w="1257" w:type="dxa"/>
            <w:vAlign w:val="center"/>
          </w:tcPr>
          <w:p w14:paraId="0AF60C14" w14:textId="77777777" w:rsidR="00905AEC" w:rsidRPr="002F5EF5" w:rsidRDefault="00905AEC" w:rsidP="00F77D41">
            <w:pPr>
              <w:jc w:val="center"/>
              <w:rPr>
                <w:sz w:val="22"/>
                <w:szCs w:val="22"/>
                <w:lang w:val="en-US"/>
              </w:rPr>
            </w:pPr>
            <w:r w:rsidRPr="002F5EF5">
              <w:rPr>
                <w:sz w:val="22"/>
                <w:szCs w:val="22"/>
              </w:rPr>
              <w:t>1.67</w:t>
            </w:r>
          </w:p>
        </w:tc>
      </w:tr>
      <w:tr w:rsidR="00905AEC" w:rsidRPr="002F5EF5" w14:paraId="22E4D945" w14:textId="77777777" w:rsidTr="00F77D41">
        <w:tc>
          <w:tcPr>
            <w:tcW w:w="2235" w:type="dxa"/>
          </w:tcPr>
          <w:p w14:paraId="79AAC853" w14:textId="77777777" w:rsidR="00905AEC" w:rsidRPr="002F5EF5" w:rsidRDefault="00905AEC" w:rsidP="00F77D41">
            <w:pPr>
              <w:rPr>
                <w:sz w:val="22"/>
                <w:szCs w:val="22"/>
                <w:lang w:val="en-US"/>
              </w:rPr>
            </w:pPr>
            <w:r w:rsidRPr="002F5EF5">
              <w:rPr>
                <w:sz w:val="22"/>
                <w:szCs w:val="22"/>
                <w:lang w:val="en-US"/>
              </w:rPr>
              <w:t>Internal unity: agreement index</w:t>
            </w:r>
          </w:p>
        </w:tc>
        <w:tc>
          <w:tcPr>
            <w:tcW w:w="1256" w:type="dxa"/>
            <w:vAlign w:val="center"/>
          </w:tcPr>
          <w:p w14:paraId="27D3FE82" w14:textId="77777777" w:rsidR="00905AEC" w:rsidRPr="002F5EF5" w:rsidRDefault="00905AEC" w:rsidP="00F77D41">
            <w:pPr>
              <w:jc w:val="center"/>
              <w:rPr>
                <w:sz w:val="22"/>
                <w:szCs w:val="22"/>
                <w:lang w:val="en-US"/>
              </w:rPr>
            </w:pPr>
            <w:r w:rsidRPr="002F5EF5">
              <w:rPr>
                <w:sz w:val="22"/>
                <w:szCs w:val="22"/>
              </w:rPr>
              <w:t>0.72</w:t>
            </w:r>
          </w:p>
        </w:tc>
        <w:tc>
          <w:tcPr>
            <w:tcW w:w="1256" w:type="dxa"/>
            <w:vAlign w:val="center"/>
          </w:tcPr>
          <w:p w14:paraId="0AD77980" w14:textId="77777777" w:rsidR="00905AEC" w:rsidRPr="002F5EF5" w:rsidRDefault="00905AEC" w:rsidP="00F77D41">
            <w:pPr>
              <w:jc w:val="center"/>
              <w:rPr>
                <w:sz w:val="22"/>
                <w:szCs w:val="22"/>
                <w:lang w:val="en-US"/>
              </w:rPr>
            </w:pPr>
            <w:r w:rsidRPr="002F5EF5">
              <w:rPr>
                <w:sz w:val="22"/>
                <w:szCs w:val="22"/>
              </w:rPr>
              <w:t>0.65</w:t>
            </w:r>
          </w:p>
        </w:tc>
        <w:tc>
          <w:tcPr>
            <w:tcW w:w="1256" w:type="dxa"/>
            <w:vAlign w:val="center"/>
          </w:tcPr>
          <w:p w14:paraId="075CE6CA" w14:textId="77777777" w:rsidR="00905AEC" w:rsidRPr="002F5EF5" w:rsidRDefault="00905AEC" w:rsidP="00F77D41">
            <w:pPr>
              <w:jc w:val="center"/>
              <w:rPr>
                <w:sz w:val="22"/>
                <w:szCs w:val="22"/>
                <w:lang w:val="en-US"/>
              </w:rPr>
            </w:pPr>
            <w:r w:rsidRPr="002F5EF5">
              <w:rPr>
                <w:sz w:val="22"/>
                <w:szCs w:val="22"/>
              </w:rPr>
              <w:t>0.78</w:t>
            </w:r>
          </w:p>
        </w:tc>
        <w:tc>
          <w:tcPr>
            <w:tcW w:w="1256" w:type="dxa"/>
            <w:vAlign w:val="center"/>
          </w:tcPr>
          <w:p w14:paraId="120E8B35" w14:textId="77777777" w:rsidR="00905AEC" w:rsidRPr="002F5EF5" w:rsidRDefault="00905AEC" w:rsidP="00F77D41">
            <w:pPr>
              <w:jc w:val="center"/>
              <w:rPr>
                <w:sz w:val="22"/>
                <w:szCs w:val="22"/>
                <w:lang w:val="en-US"/>
              </w:rPr>
            </w:pPr>
            <w:r w:rsidRPr="002F5EF5">
              <w:rPr>
                <w:sz w:val="22"/>
                <w:szCs w:val="22"/>
              </w:rPr>
              <w:t>0.68</w:t>
            </w:r>
          </w:p>
        </w:tc>
        <w:tc>
          <w:tcPr>
            <w:tcW w:w="1257" w:type="dxa"/>
            <w:vAlign w:val="center"/>
          </w:tcPr>
          <w:p w14:paraId="52FF3018" w14:textId="77777777" w:rsidR="00905AEC" w:rsidRPr="002F5EF5" w:rsidRDefault="00905AEC" w:rsidP="00F77D41">
            <w:pPr>
              <w:jc w:val="center"/>
              <w:rPr>
                <w:sz w:val="22"/>
                <w:szCs w:val="22"/>
                <w:lang w:val="en-US"/>
              </w:rPr>
            </w:pPr>
            <w:r w:rsidRPr="002F5EF5">
              <w:rPr>
                <w:sz w:val="22"/>
                <w:szCs w:val="22"/>
              </w:rPr>
              <w:t>0.69</w:t>
            </w:r>
          </w:p>
        </w:tc>
      </w:tr>
      <w:tr w:rsidR="00905AEC" w:rsidRPr="002F5EF5" w14:paraId="2B8EE17D" w14:textId="77777777" w:rsidTr="00F77D41">
        <w:tc>
          <w:tcPr>
            <w:tcW w:w="2235" w:type="dxa"/>
          </w:tcPr>
          <w:p w14:paraId="406FE9A8" w14:textId="77777777" w:rsidR="00905AEC" w:rsidRPr="002F5EF5" w:rsidRDefault="00905AEC" w:rsidP="00F77D41">
            <w:pPr>
              <w:rPr>
                <w:i/>
                <w:sz w:val="22"/>
                <w:szCs w:val="22"/>
                <w:lang w:val="en-US"/>
              </w:rPr>
            </w:pPr>
            <w:r w:rsidRPr="002F5EF5">
              <w:rPr>
                <w:i/>
                <w:sz w:val="22"/>
                <w:szCs w:val="22"/>
                <w:lang w:val="en-US"/>
              </w:rPr>
              <w:t>Average between distance and agreement</w:t>
            </w:r>
          </w:p>
        </w:tc>
        <w:tc>
          <w:tcPr>
            <w:tcW w:w="1256" w:type="dxa"/>
            <w:vAlign w:val="center"/>
          </w:tcPr>
          <w:p w14:paraId="2063B7B6" w14:textId="77777777" w:rsidR="00905AEC" w:rsidRPr="002F5EF5" w:rsidRDefault="00905AEC" w:rsidP="00F77D41">
            <w:pPr>
              <w:jc w:val="center"/>
              <w:rPr>
                <w:i/>
                <w:sz w:val="22"/>
                <w:szCs w:val="22"/>
              </w:rPr>
            </w:pPr>
            <w:r w:rsidRPr="002F5EF5">
              <w:rPr>
                <w:i/>
                <w:sz w:val="22"/>
                <w:szCs w:val="22"/>
              </w:rPr>
              <w:t>1.08</w:t>
            </w:r>
          </w:p>
        </w:tc>
        <w:tc>
          <w:tcPr>
            <w:tcW w:w="1256" w:type="dxa"/>
            <w:vAlign w:val="center"/>
          </w:tcPr>
          <w:p w14:paraId="2C8B8740" w14:textId="77777777" w:rsidR="00905AEC" w:rsidRPr="002F5EF5" w:rsidRDefault="00905AEC" w:rsidP="00F77D41">
            <w:pPr>
              <w:jc w:val="center"/>
              <w:rPr>
                <w:i/>
                <w:sz w:val="22"/>
                <w:szCs w:val="22"/>
              </w:rPr>
            </w:pPr>
            <w:r w:rsidRPr="002F5EF5">
              <w:rPr>
                <w:i/>
                <w:sz w:val="22"/>
                <w:szCs w:val="22"/>
              </w:rPr>
              <w:t>0.98</w:t>
            </w:r>
          </w:p>
        </w:tc>
        <w:tc>
          <w:tcPr>
            <w:tcW w:w="1256" w:type="dxa"/>
            <w:vAlign w:val="center"/>
          </w:tcPr>
          <w:p w14:paraId="7FD07CAF" w14:textId="77777777" w:rsidR="00905AEC" w:rsidRPr="002F5EF5" w:rsidRDefault="00905AEC" w:rsidP="00F77D41">
            <w:pPr>
              <w:jc w:val="center"/>
              <w:rPr>
                <w:i/>
                <w:sz w:val="22"/>
                <w:szCs w:val="22"/>
              </w:rPr>
            </w:pPr>
            <w:r w:rsidRPr="002F5EF5">
              <w:rPr>
                <w:i/>
                <w:sz w:val="22"/>
                <w:szCs w:val="22"/>
              </w:rPr>
              <w:t>0.91</w:t>
            </w:r>
          </w:p>
        </w:tc>
        <w:tc>
          <w:tcPr>
            <w:tcW w:w="1256" w:type="dxa"/>
            <w:vAlign w:val="center"/>
          </w:tcPr>
          <w:p w14:paraId="7C4C4EFD" w14:textId="77777777" w:rsidR="00905AEC" w:rsidRPr="002F5EF5" w:rsidRDefault="00905AEC" w:rsidP="00F77D41">
            <w:pPr>
              <w:jc w:val="center"/>
              <w:rPr>
                <w:i/>
                <w:sz w:val="22"/>
                <w:szCs w:val="22"/>
              </w:rPr>
            </w:pPr>
            <w:r w:rsidRPr="002F5EF5">
              <w:rPr>
                <w:i/>
                <w:sz w:val="22"/>
                <w:szCs w:val="22"/>
              </w:rPr>
              <w:t>0.93</w:t>
            </w:r>
          </w:p>
        </w:tc>
        <w:tc>
          <w:tcPr>
            <w:tcW w:w="1257" w:type="dxa"/>
            <w:vAlign w:val="center"/>
          </w:tcPr>
          <w:p w14:paraId="167F4536" w14:textId="77777777" w:rsidR="00905AEC" w:rsidRPr="002F5EF5" w:rsidRDefault="00905AEC" w:rsidP="00F77D41">
            <w:pPr>
              <w:jc w:val="center"/>
              <w:rPr>
                <w:i/>
                <w:sz w:val="22"/>
                <w:szCs w:val="22"/>
              </w:rPr>
            </w:pPr>
            <w:r w:rsidRPr="002F5EF5">
              <w:rPr>
                <w:i/>
                <w:sz w:val="22"/>
                <w:szCs w:val="22"/>
              </w:rPr>
              <w:t>1.18</w:t>
            </w:r>
          </w:p>
        </w:tc>
      </w:tr>
      <w:tr w:rsidR="00905AEC" w:rsidRPr="002F5EF5" w14:paraId="02FC45D8" w14:textId="77777777" w:rsidTr="00F77D41">
        <w:tc>
          <w:tcPr>
            <w:tcW w:w="2235" w:type="dxa"/>
          </w:tcPr>
          <w:p w14:paraId="236D4D15" w14:textId="77777777" w:rsidR="00905AEC" w:rsidRPr="002F5EF5" w:rsidRDefault="00905AEC" w:rsidP="00F77D41">
            <w:pPr>
              <w:rPr>
                <w:i/>
                <w:sz w:val="22"/>
                <w:szCs w:val="22"/>
                <w:lang w:val="en-US"/>
              </w:rPr>
            </w:pPr>
            <w:r w:rsidRPr="002F5EF5">
              <w:rPr>
                <w:i/>
                <w:sz w:val="22"/>
                <w:szCs w:val="22"/>
                <w:lang w:val="en-US"/>
              </w:rPr>
              <w:t>Clarity of profile</w:t>
            </w:r>
          </w:p>
        </w:tc>
        <w:tc>
          <w:tcPr>
            <w:tcW w:w="1256" w:type="dxa"/>
          </w:tcPr>
          <w:p w14:paraId="3332DBD9" w14:textId="77777777" w:rsidR="00905AEC" w:rsidRPr="002F5EF5" w:rsidRDefault="00905AEC" w:rsidP="00F77D41">
            <w:pPr>
              <w:jc w:val="center"/>
              <w:rPr>
                <w:i/>
                <w:sz w:val="22"/>
                <w:szCs w:val="22"/>
                <w:lang w:val="en-US"/>
              </w:rPr>
            </w:pPr>
            <w:r w:rsidRPr="002F5EF5">
              <w:rPr>
                <w:i/>
                <w:sz w:val="22"/>
                <w:szCs w:val="22"/>
                <w:lang w:val="en-US"/>
              </w:rPr>
              <w:t>moderate</w:t>
            </w:r>
          </w:p>
        </w:tc>
        <w:tc>
          <w:tcPr>
            <w:tcW w:w="1256" w:type="dxa"/>
          </w:tcPr>
          <w:p w14:paraId="4128D6AB" w14:textId="77777777" w:rsidR="00905AEC" w:rsidRPr="002F5EF5" w:rsidRDefault="00905AEC" w:rsidP="00F77D41">
            <w:pPr>
              <w:jc w:val="center"/>
              <w:rPr>
                <w:i/>
                <w:sz w:val="22"/>
                <w:szCs w:val="22"/>
                <w:lang w:val="en-US"/>
              </w:rPr>
            </w:pPr>
            <w:r w:rsidRPr="002F5EF5">
              <w:rPr>
                <w:i/>
                <w:sz w:val="22"/>
                <w:szCs w:val="22"/>
                <w:lang w:val="en-US"/>
              </w:rPr>
              <w:t>moderate</w:t>
            </w:r>
          </w:p>
        </w:tc>
        <w:tc>
          <w:tcPr>
            <w:tcW w:w="1256" w:type="dxa"/>
          </w:tcPr>
          <w:p w14:paraId="56C038DC" w14:textId="77777777" w:rsidR="00905AEC" w:rsidRPr="002F5EF5" w:rsidRDefault="00905AEC" w:rsidP="00F77D41">
            <w:pPr>
              <w:jc w:val="center"/>
              <w:rPr>
                <w:i/>
                <w:sz w:val="22"/>
                <w:szCs w:val="22"/>
                <w:lang w:val="en-US"/>
              </w:rPr>
            </w:pPr>
            <w:r w:rsidRPr="002F5EF5">
              <w:rPr>
                <w:i/>
                <w:sz w:val="22"/>
                <w:szCs w:val="22"/>
                <w:lang w:val="en-US"/>
              </w:rPr>
              <w:t>low</w:t>
            </w:r>
          </w:p>
        </w:tc>
        <w:tc>
          <w:tcPr>
            <w:tcW w:w="1256" w:type="dxa"/>
          </w:tcPr>
          <w:p w14:paraId="2752287D" w14:textId="77777777" w:rsidR="00905AEC" w:rsidRPr="002F5EF5" w:rsidRDefault="00905AEC" w:rsidP="00F77D41">
            <w:pPr>
              <w:jc w:val="center"/>
              <w:rPr>
                <w:i/>
                <w:sz w:val="22"/>
                <w:szCs w:val="22"/>
                <w:lang w:val="en-US"/>
              </w:rPr>
            </w:pPr>
            <w:r w:rsidRPr="002F5EF5">
              <w:rPr>
                <w:i/>
                <w:sz w:val="22"/>
                <w:szCs w:val="22"/>
                <w:lang w:val="en-US"/>
              </w:rPr>
              <w:t>low</w:t>
            </w:r>
          </w:p>
        </w:tc>
        <w:tc>
          <w:tcPr>
            <w:tcW w:w="1257" w:type="dxa"/>
          </w:tcPr>
          <w:p w14:paraId="15E811B7" w14:textId="77777777" w:rsidR="00905AEC" w:rsidRPr="002F5EF5" w:rsidRDefault="00905AEC" w:rsidP="00F77D41">
            <w:pPr>
              <w:jc w:val="center"/>
              <w:rPr>
                <w:i/>
                <w:sz w:val="22"/>
                <w:szCs w:val="22"/>
                <w:lang w:val="en-US"/>
              </w:rPr>
            </w:pPr>
            <w:r w:rsidRPr="002F5EF5">
              <w:rPr>
                <w:i/>
                <w:sz w:val="22"/>
                <w:szCs w:val="22"/>
                <w:lang w:val="en-US"/>
              </w:rPr>
              <w:t>high</w:t>
            </w:r>
          </w:p>
        </w:tc>
      </w:tr>
    </w:tbl>
    <w:p w14:paraId="231010F7" w14:textId="77777777" w:rsidR="00905AEC" w:rsidRPr="002F5EF5" w:rsidRDefault="00905AEC" w:rsidP="00905AEC">
      <w:pPr>
        <w:jc w:val="both"/>
        <w:rPr>
          <w:sz w:val="20"/>
          <w:szCs w:val="20"/>
          <w:lang w:val="en-US"/>
        </w:rPr>
      </w:pPr>
      <w:r w:rsidRPr="002F5EF5">
        <w:rPr>
          <w:sz w:val="20"/>
          <w:szCs w:val="20"/>
          <w:lang w:val="en-US"/>
        </w:rPr>
        <w:t>Notes: The (rescaled) left-right scale ranges from 1 (left) to 5 (right).</w:t>
      </w:r>
    </w:p>
    <w:p w14:paraId="3A678EA1" w14:textId="77777777" w:rsidR="00905AEC" w:rsidRPr="002F5EF5" w:rsidRDefault="00905AEC" w:rsidP="00905AEC">
      <w:pPr>
        <w:spacing w:line="480" w:lineRule="auto"/>
        <w:jc w:val="both"/>
        <w:rPr>
          <w:lang w:val="en-US"/>
        </w:rPr>
      </w:pPr>
    </w:p>
    <w:p w14:paraId="31D77820" w14:textId="77777777" w:rsidR="00905AEC" w:rsidRPr="002F5EF5" w:rsidRDefault="00905AEC" w:rsidP="00905AEC">
      <w:pPr>
        <w:spacing w:line="480" w:lineRule="auto"/>
        <w:jc w:val="both"/>
        <w:rPr>
          <w:lang w:val="en-US"/>
        </w:rPr>
      </w:pPr>
      <w:r w:rsidRPr="002F5EF5">
        <w:rPr>
          <w:lang w:val="en-US"/>
        </w:rPr>
        <w:lastRenderedPageBreak/>
        <w:t>The five parties do not differ much from each other in terms of internal unity on the left-right dimension. By contrast, they substantially differ with respect to the distinctiveness of their issue position: The Swiss People's party is the party with the most distinct profile on the left-right dimension, ahead of the Social Democratic party and the Green party. The Christian democrats and the Radical democrats have comparatively less clear profile</w:t>
      </w:r>
      <w:r w:rsidR="00A5432B">
        <w:rPr>
          <w:lang w:val="en-US"/>
        </w:rPr>
        <w:t>s</w:t>
      </w:r>
      <w:r w:rsidRPr="002F5EF5">
        <w:rPr>
          <w:lang w:val="en-US"/>
        </w:rPr>
        <w:t>. Therefore, distinctiveness contributes to a large extent to the resulting party profile on the left-right dimension: The Swiss people's part</w:t>
      </w:r>
      <w:r w:rsidR="00A5432B">
        <w:rPr>
          <w:lang w:val="en-US"/>
        </w:rPr>
        <w:t>y has high profile clarity</w:t>
      </w:r>
      <w:r w:rsidRPr="002F5EF5">
        <w:rPr>
          <w:lang w:val="en-US"/>
        </w:rPr>
        <w:t xml:space="preserve">, the Social democrats and the Greens </w:t>
      </w:r>
      <w:r w:rsidR="00A5432B">
        <w:rPr>
          <w:lang w:val="en-US"/>
        </w:rPr>
        <w:t xml:space="preserve">have </w:t>
      </w:r>
      <w:r w:rsidRPr="002F5EF5">
        <w:rPr>
          <w:lang w:val="en-US"/>
        </w:rPr>
        <w:t>moderate profile</w:t>
      </w:r>
      <w:r w:rsidR="00A5432B">
        <w:rPr>
          <w:lang w:val="en-US"/>
        </w:rPr>
        <w:t xml:space="preserve"> clarity</w:t>
      </w:r>
      <w:r w:rsidRPr="002F5EF5">
        <w:rPr>
          <w:lang w:val="en-US"/>
        </w:rPr>
        <w:t xml:space="preserve">, and the Christian and the Radical democrats </w:t>
      </w:r>
      <w:r w:rsidR="00A5432B">
        <w:rPr>
          <w:lang w:val="en-US"/>
        </w:rPr>
        <w:t xml:space="preserve">have </w:t>
      </w:r>
      <w:r w:rsidRPr="002F5EF5">
        <w:rPr>
          <w:lang w:val="en-US"/>
        </w:rPr>
        <w:t>weak</w:t>
      </w:r>
      <w:r w:rsidR="00A5432B">
        <w:rPr>
          <w:lang w:val="en-US"/>
        </w:rPr>
        <w:t xml:space="preserve"> </w:t>
      </w:r>
      <w:r w:rsidRPr="002F5EF5">
        <w:rPr>
          <w:lang w:val="en-US"/>
        </w:rPr>
        <w:t>profile</w:t>
      </w:r>
      <w:r w:rsidR="00A5432B">
        <w:rPr>
          <w:lang w:val="en-US"/>
        </w:rPr>
        <w:t xml:space="preserve"> clarity</w:t>
      </w:r>
      <w:r w:rsidRPr="002F5EF5">
        <w:rPr>
          <w:lang w:val="en-US"/>
        </w:rPr>
        <w:t>.</w:t>
      </w:r>
    </w:p>
    <w:p w14:paraId="322841F6" w14:textId="77777777" w:rsidR="00905AEC" w:rsidRPr="002F5EF5" w:rsidRDefault="00905AEC" w:rsidP="00905AEC">
      <w:pPr>
        <w:spacing w:line="480" w:lineRule="auto"/>
        <w:jc w:val="both"/>
        <w:rPr>
          <w:b/>
          <w:lang w:val="en-US"/>
        </w:rPr>
      </w:pPr>
    </w:p>
    <w:p w14:paraId="4D774824" w14:textId="77777777" w:rsidR="00905AEC" w:rsidRPr="002F5EF5" w:rsidRDefault="00905AEC" w:rsidP="00905AEC">
      <w:pPr>
        <w:spacing w:line="480" w:lineRule="auto"/>
        <w:jc w:val="both"/>
        <w:rPr>
          <w:b/>
          <w:lang w:val="en-US"/>
        </w:rPr>
      </w:pPr>
      <w:r w:rsidRPr="002F5EF5">
        <w:rPr>
          <w:b/>
          <w:lang w:val="en-US"/>
        </w:rPr>
        <w:t>EU issue (international openness)</w:t>
      </w:r>
    </w:p>
    <w:p w14:paraId="74177BBF" w14:textId="77777777" w:rsidR="00905AEC" w:rsidRPr="002F5EF5" w:rsidRDefault="00905AEC" w:rsidP="00905AEC">
      <w:pPr>
        <w:spacing w:line="480" w:lineRule="auto"/>
        <w:jc w:val="both"/>
        <w:rPr>
          <w:lang w:val="en-US"/>
        </w:rPr>
      </w:pPr>
      <w:r w:rsidRPr="002F5EF5">
        <w:rPr>
          <w:lang w:val="en-US"/>
        </w:rPr>
        <w:t>Our measure of the clarity of party profile</w:t>
      </w:r>
      <w:r w:rsidR="00A5432B">
        <w:rPr>
          <w:lang w:val="en-US"/>
        </w:rPr>
        <w:t>s</w:t>
      </w:r>
      <w:r w:rsidRPr="002F5EF5">
        <w:rPr>
          <w:lang w:val="en-US"/>
        </w:rPr>
        <w:t xml:space="preserve"> on the EU issue stems from a five point scale regarding whether Switzerland should join the EU (table A2).</w:t>
      </w:r>
    </w:p>
    <w:p w14:paraId="43F33317" w14:textId="77777777" w:rsidR="00905AEC" w:rsidRPr="002F5EF5" w:rsidRDefault="00905AEC" w:rsidP="00905AEC">
      <w:pPr>
        <w:rPr>
          <w:lang w:val="en-US"/>
        </w:rPr>
      </w:pPr>
    </w:p>
    <w:p w14:paraId="63FBD7FD" w14:textId="77777777" w:rsidR="00905AEC" w:rsidRPr="002F5EF5" w:rsidRDefault="00905AEC" w:rsidP="00905AEC">
      <w:pPr>
        <w:rPr>
          <w:i/>
          <w:lang w:val="en-US"/>
        </w:rPr>
      </w:pPr>
      <w:r w:rsidRPr="002F5EF5">
        <w:rPr>
          <w:i/>
          <w:lang w:val="en-US"/>
        </w:rPr>
        <w:t>Table A2: Clarity of parties' profile on the EU membership issue (CCS data)</w:t>
      </w:r>
    </w:p>
    <w:p w14:paraId="4F99EE8F" w14:textId="77777777" w:rsidR="00905AEC" w:rsidRPr="002F5EF5" w:rsidRDefault="00905AEC" w:rsidP="00905AEC">
      <w:pPr>
        <w:jc w:val="both"/>
        <w:rPr>
          <w:lang w:val="en-US"/>
        </w:rPr>
      </w:pPr>
    </w:p>
    <w:tbl>
      <w:tblPr>
        <w:tblStyle w:val="TableGrid"/>
        <w:tblW w:w="0" w:type="auto"/>
        <w:tblLayout w:type="fixed"/>
        <w:tblLook w:val="04A0" w:firstRow="1" w:lastRow="0" w:firstColumn="1" w:lastColumn="0" w:noHBand="0" w:noVBand="1"/>
      </w:tblPr>
      <w:tblGrid>
        <w:gridCol w:w="2235"/>
        <w:gridCol w:w="1256"/>
        <w:gridCol w:w="1256"/>
        <w:gridCol w:w="1256"/>
        <w:gridCol w:w="1256"/>
        <w:gridCol w:w="1257"/>
      </w:tblGrid>
      <w:tr w:rsidR="00905AEC" w:rsidRPr="002F5EF5" w14:paraId="20B4B2C9" w14:textId="77777777" w:rsidTr="00F77D41">
        <w:tc>
          <w:tcPr>
            <w:tcW w:w="2235" w:type="dxa"/>
          </w:tcPr>
          <w:p w14:paraId="5F61C222" w14:textId="77777777" w:rsidR="00905AEC" w:rsidRPr="002F5EF5" w:rsidRDefault="00905AEC" w:rsidP="00F77D41">
            <w:pPr>
              <w:rPr>
                <w:i/>
                <w:sz w:val="22"/>
                <w:szCs w:val="22"/>
                <w:lang w:val="en-US"/>
              </w:rPr>
            </w:pPr>
          </w:p>
        </w:tc>
        <w:tc>
          <w:tcPr>
            <w:tcW w:w="1256" w:type="dxa"/>
          </w:tcPr>
          <w:p w14:paraId="4461788E" w14:textId="77777777" w:rsidR="00905AEC" w:rsidRPr="002F5EF5" w:rsidRDefault="00905AEC" w:rsidP="00F77D41">
            <w:pPr>
              <w:jc w:val="center"/>
              <w:rPr>
                <w:sz w:val="22"/>
                <w:szCs w:val="22"/>
                <w:lang w:val="en-US"/>
              </w:rPr>
            </w:pPr>
            <w:r w:rsidRPr="002F5EF5">
              <w:rPr>
                <w:sz w:val="22"/>
                <w:szCs w:val="22"/>
                <w:lang w:val="en-US"/>
              </w:rPr>
              <w:t>Social Democratic party</w:t>
            </w:r>
          </w:p>
          <w:p w14:paraId="6A5AB022" w14:textId="77777777" w:rsidR="00905AEC" w:rsidRPr="002F5EF5" w:rsidRDefault="00905AEC" w:rsidP="00F77D41">
            <w:pPr>
              <w:jc w:val="center"/>
              <w:rPr>
                <w:sz w:val="22"/>
                <w:szCs w:val="22"/>
                <w:lang w:val="en-US"/>
              </w:rPr>
            </w:pPr>
            <w:r w:rsidRPr="002F5EF5">
              <w:rPr>
                <w:sz w:val="22"/>
                <w:szCs w:val="22"/>
                <w:lang w:val="en-US"/>
              </w:rPr>
              <w:t>(N=273)</w:t>
            </w:r>
          </w:p>
        </w:tc>
        <w:tc>
          <w:tcPr>
            <w:tcW w:w="1256" w:type="dxa"/>
          </w:tcPr>
          <w:p w14:paraId="3423EC4F" w14:textId="77777777" w:rsidR="00905AEC" w:rsidRPr="002F5EF5" w:rsidRDefault="00905AEC" w:rsidP="00F77D41">
            <w:pPr>
              <w:jc w:val="center"/>
              <w:rPr>
                <w:sz w:val="22"/>
                <w:szCs w:val="22"/>
                <w:lang w:val="en-US"/>
              </w:rPr>
            </w:pPr>
          </w:p>
          <w:p w14:paraId="612D5203" w14:textId="77777777" w:rsidR="00905AEC" w:rsidRPr="002F5EF5" w:rsidRDefault="00905AEC" w:rsidP="00F77D41">
            <w:pPr>
              <w:jc w:val="center"/>
              <w:rPr>
                <w:sz w:val="22"/>
                <w:szCs w:val="22"/>
                <w:lang w:val="en-US"/>
              </w:rPr>
            </w:pPr>
            <w:r w:rsidRPr="002F5EF5">
              <w:rPr>
                <w:sz w:val="22"/>
                <w:szCs w:val="22"/>
                <w:lang w:val="en-US"/>
              </w:rPr>
              <w:t>Green party</w:t>
            </w:r>
          </w:p>
          <w:p w14:paraId="22B02997" w14:textId="77777777" w:rsidR="00905AEC" w:rsidRPr="002F5EF5" w:rsidRDefault="00905AEC" w:rsidP="00F77D41">
            <w:pPr>
              <w:jc w:val="center"/>
              <w:rPr>
                <w:sz w:val="22"/>
                <w:szCs w:val="22"/>
                <w:lang w:val="en-US"/>
              </w:rPr>
            </w:pPr>
            <w:r w:rsidRPr="002F5EF5">
              <w:rPr>
                <w:sz w:val="22"/>
                <w:szCs w:val="22"/>
                <w:lang w:val="en-US"/>
              </w:rPr>
              <w:t>(N=260)</w:t>
            </w:r>
          </w:p>
        </w:tc>
        <w:tc>
          <w:tcPr>
            <w:tcW w:w="1256" w:type="dxa"/>
          </w:tcPr>
          <w:p w14:paraId="5B3839EE" w14:textId="77777777" w:rsidR="00905AEC" w:rsidRPr="002F5EF5" w:rsidRDefault="00905AEC" w:rsidP="00F77D41">
            <w:pPr>
              <w:jc w:val="center"/>
              <w:rPr>
                <w:sz w:val="22"/>
                <w:szCs w:val="22"/>
                <w:lang w:val="en-US"/>
              </w:rPr>
            </w:pPr>
            <w:r w:rsidRPr="002F5EF5">
              <w:rPr>
                <w:sz w:val="22"/>
                <w:szCs w:val="22"/>
                <w:lang w:val="en-US"/>
              </w:rPr>
              <w:t>Christian Democratic party</w:t>
            </w:r>
          </w:p>
          <w:p w14:paraId="17134285" w14:textId="77777777" w:rsidR="00905AEC" w:rsidRPr="002F5EF5" w:rsidRDefault="00905AEC" w:rsidP="00F77D41">
            <w:pPr>
              <w:jc w:val="center"/>
              <w:rPr>
                <w:sz w:val="22"/>
                <w:szCs w:val="22"/>
                <w:lang w:val="en-US"/>
              </w:rPr>
            </w:pPr>
            <w:r w:rsidRPr="002F5EF5">
              <w:rPr>
                <w:sz w:val="22"/>
                <w:szCs w:val="22"/>
                <w:lang w:val="en-US"/>
              </w:rPr>
              <w:t>(N=205)</w:t>
            </w:r>
          </w:p>
        </w:tc>
        <w:tc>
          <w:tcPr>
            <w:tcW w:w="1256" w:type="dxa"/>
          </w:tcPr>
          <w:p w14:paraId="58EBA0BC" w14:textId="77777777" w:rsidR="00905AEC" w:rsidRPr="002F5EF5" w:rsidRDefault="00905AEC" w:rsidP="00F77D41">
            <w:pPr>
              <w:jc w:val="center"/>
              <w:rPr>
                <w:sz w:val="22"/>
                <w:szCs w:val="22"/>
                <w:lang w:val="en-US"/>
              </w:rPr>
            </w:pPr>
            <w:r w:rsidRPr="002F5EF5">
              <w:rPr>
                <w:sz w:val="22"/>
                <w:szCs w:val="22"/>
                <w:lang w:val="en-US"/>
              </w:rPr>
              <w:t>Radical democratic party</w:t>
            </w:r>
          </w:p>
          <w:p w14:paraId="628243E1" w14:textId="77777777" w:rsidR="00905AEC" w:rsidRPr="002F5EF5" w:rsidRDefault="00905AEC" w:rsidP="00F77D41">
            <w:pPr>
              <w:jc w:val="center"/>
              <w:rPr>
                <w:sz w:val="22"/>
                <w:szCs w:val="22"/>
                <w:lang w:val="en-US"/>
              </w:rPr>
            </w:pPr>
            <w:r w:rsidRPr="002F5EF5">
              <w:rPr>
                <w:sz w:val="22"/>
                <w:szCs w:val="22"/>
                <w:lang w:val="en-US"/>
              </w:rPr>
              <w:t>(N=218)</w:t>
            </w:r>
          </w:p>
        </w:tc>
        <w:tc>
          <w:tcPr>
            <w:tcW w:w="1257" w:type="dxa"/>
          </w:tcPr>
          <w:p w14:paraId="3A730B0C" w14:textId="77777777" w:rsidR="00905AEC" w:rsidRPr="002F5EF5" w:rsidRDefault="00905AEC" w:rsidP="00F77D41">
            <w:pPr>
              <w:jc w:val="center"/>
              <w:rPr>
                <w:sz w:val="22"/>
                <w:szCs w:val="22"/>
                <w:lang w:val="en-US"/>
              </w:rPr>
            </w:pPr>
            <w:r w:rsidRPr="002F5EF5">
              <w:rPr>
                <w:sz w:val="22"/>
                <w:szCs w:val="22"/>
                <w:lang w:val="en-US"/>
              </w:rPr>
              <w:t>Swiss People's party</w:t>
            </w:r>
          </w:p>
          <w:p w14:paraId="6A7B8BF2" w14:textId="77777777" w:rsidR="00905AEC" w:rsidRPr="002F5EF5" w:rsidRDefault="00905AEC" w:rsidP="00F77D41">
            <w:pPr>
              <w:spacing w:after="120"/>
              <w:jc w:val="center"/>
              <w:rPr>
                <w:sz w:val="22"/>
                <w:szCs w:val="22"/>
                <w:lang w:val="en-US"/>
              </w:rPr>
            </w:pPr>
            <w:r w:rsidRPr="002F5EF5">
              <w:rPr>
                <w:sz w:val="22"/>
                <w:szCs w:val="22"/>
                <w:lang w:val="en-US"/>
              </w:rPr>
              <w:t>(N=199)</w:t>
            </w:r>
          </w:p>
        </w:tc>
      </w:tr>
      <w:tr w:rsidR="00905AEC" w:rsidRPr="002F5EF5" w14:paraId="42A12FB5" w14:textId="77777777" w:rsidTr="00F77D41">
        <w:tc>
          <w:tcPr>
            <w:tcW w:w="2235" w:type="dxa"/>
          </w:tcPr>
          <w:p w14:paraId="4F3B83C3" w14:textId="77777777" w:rsidR="00905AEC" w:rsidRPr="002F5EF5" w:rsidRDefault="00905AEC" w:rsidP="00F77D41">
            <w:pPr>
              <w:rPr>
                <w:sz w:val="22"/>
                <w:szCs w:val="22"/>
                <w:lang w:val="en-US"/>
              </w:rPr>
            </w:pPr>
            <w:r w:rsidRPr="002F5EF5">
              <w:rPr>
                <w:sz w:val="22"/>
                <w:szCs w:val="22"/>
                <w:lang w:val="en-US"/>
              </w:rPr>
              <w:t>Average position</w:t>
            </w:r>
          </w:p>
        </w:tc>
        <w:tc>
          <w:tcPr>
            <w:tcW w:w="1256" w:type="dxa"/>
            <w:vAlign w:val="bottom"/>
          </w:tcPr>
          <w:p w14:paraId="393AB944" w14:textId="77777777" w:rsidR="00905AEC" w:rsidRPr="002F5EF5" w:rsidRDefault="00905AEC" w:rsidP="00F77D41">
            <w:pPr>
              <w:jc w:val="center"/>
              <w:rPr>
                <w:sz w:val="22"/>
                <w:szCs w:val="22"/>
                <w:lang w:val="en-US"/>
              </w:rPr>
            </w:pPr>
            <w:r w:rsidRPr="002F5EF5">
              <w:rPr>
                <w:sz w:val="22"/>
                <w:szCs w:val="22"/>
              </w:rPr>
              <w:t>4.43</w:t>
            </w:r>
          </w:p>
        </w:tc>
        <w:tc>
          <w:tcPr>
            <w:tcW w:w="1256" w:type="dxa"/>
            <w:vAlign w:val="bottom"/>
          </w:tcPr>
          <w:p w14:paraId="1CE22EFC" w14:textId="77777777" w:rsidR="00905AEC" w:rsidRPr="002F5EF5" w:rsidRDefault="00905AEC" w:rsidP="00F77D41">
            <w:pPr>
              <w:jc w:val="center"/>
              <w:rPr>
                <w:sz w:val="22"/>
                <w:szCs w:val="22"/>
                <w:lang w:val="en-US"/>
              </w:rPr>
            </w:pPr>
            <w:r w:rsidRPr="002F5EF5">
              <w:rPr>
                <w:sz w:val="22"/>
                <w:szCs w:val="22"/>
                <w:lang w:val="en-US"/>
              </w:rPr>
              <w:t>3.76</w:t>
            </w:r>
          </w:p>
        </w:tc>
        <w:tc>
          <w:tcPr>
            <w:tcW w:w="1256" w:type="dxa"/>
            <w:vAlign w:val="bottom"/>
          </w:tcPr>
          <w:p w14:paraId="2C3145C0" w14:textId="77777777" w:rsidR="00905AEC" w:rsidRPr="002F5EF5" w:rsidRDefault="00905AEC" w:rsidP="00F77D41">
            <w:pPr>
              <w:jc w:val="center"/>
              <w:rPr>
                <w:sz w:val="22"/>
                <w:szCs w:val="22"/>
                <w:lang w:val="en-US"/>
              </w:rPr>
            </w:pPr>
            <w:r w:rsidRPr="002F5EF5">
              <w:rPr>
                <w:sz w:val="22"/>
                <w:szCs w:val="22"/>
              </w:rPr>
              <w:t>2.05</w:t>
            </w:r>
          </w:p>
        </w:tc>
        <w:tc>
          <w:tcPr>
            <w:tcW w:w="1256" w:type="dxa"/>
            <w:vAlign w:val="bottom"/>
          </w:tcPr>
          <w:p w14:paraId="794DA62C" w14:textId="77777777" w:rsidR="00905AEC" w:rsidRPr="002F5EF5" w:rsidRDefault="00905AEC" w:rsidP="00F77D41">
            <w:pPr>
              <w:jc w:val="center"/>
              <w:rPr>
                <w:sz w:val="22"/>
                <w:szCs w:val="22"/>
                <w:lang w:val="en-US"/>
              </w:rPr>
            </w:pPr>
            <w:r w:rsidRPr="002F5EF5">
              <w:rPr>
                <w:sz w:val="22"/>
                <w:szCs w:val="22"/>
              </w:rPr>
              <w:t>2.13</w:t>
            </w:r>
          </w:p>
        </w:tc>
        <w:tc>
          <w:tcPr>
            <w:tcW w:w="1257" w:type="dxa"/>
            <w:vAlign w:val="bottom"/>
          </w:tcPr>
          <w:p w14:paraId="32ECD481" w14:textId="77777777" w:rsidR="00905AEC" w:rsidRPr="002F5EF5" w:rsidRDefault="00905AEC" w:rsidP="00F77D41">
            <w:pPr>
              <w:jc w:val="center"/>
              <w:rPr>
                <w:sz w:val="22"/>
                <w:szCs w:val="22"/>
                <w:lang w:val="en-US"/>
              </w:rPr>
            </w:pPr>
            <w:r w:rsidRPr="002F5EF5">
              <w:rPr>
                <w:sz w:val="22"/>
                <w:szCs w:val="22"/>
              </w:rPr>
              <w:t>1.03</w:t>
            </w:r>
          </w:p>
        </w:tc>
      </w:tr>
      <w:tr w:rsidR="00905AEC" w:rsidRPr="002F5EF5" w14:paraId="035BDD40" w14:textId="77777777" w:rsidTr="00F77D41">
        <w:tc>
          <w:tcPr>
            <w:tcW w:w="2235" w:type="dxa"/>
          </w:tcPr>
          <w:p w14:paraId="3CAFFA3C" w14:textId="77777777" w:rsidR="00905AEC" w:rsidRPr="002F5EF5" w:rsidRDefault="00905AEC" w:rsidP="00F77D41">
            <w:pPr>
              <w:rPr>
                <w:sz w:val="22"/>
                <w:szCs w:val="22"/>
                <w:lang w:val="en-US"/>
              </w:rPr>
            </w:pPr>
            <w:r w:rsidRPr="002F5EF5">
              <w:rPr>
                <w:sz w:val="22"/>
                <w:szCs w:val="22"/>
                <w:lang w:val="en-US"/>
              </w:rPr>
              <w:t>Distinctiveness: mean distance with competitors</w:t>
            </w:r>
          </w:p>
        </w:tc>
        <w:tc>
          <w:tcPr>
            <w:tcW w:w="1256" w:type="dxa"/>
            <w:vAlign w:val="center"/>
          </w:tcPr>
          <w:p w14:paraId="461FB493" w14:textId="77777777" w:rsidR="00905AEC" w:rsidRPr="002F5EF5" w:rsidRDefault="00905AEC" w:rsidP="00F77D41">
            <w:pPr>
              <w:jc w:val="center"/>
              <w:rPr>
                <w:sz w:val="22"/>
                <w:szCs w:val="22"/>
                <w:lang w:val="en-US"/>
              </w:rPr>
            </w:pPr>
            <w:r w:rsidRPr="002F5EF5">
              <w:rPr>
                <w:rFonts w:eastAsia="Times New Roman"/>
                <w:sz w:val="22"/>
                <w:szCs w:val="22"/>
              </w:rPr>
              <w:t>2.19</w:t>
            </w:r>
          </w:p>
        </w:tc>
        <w:tc>
          <w:tcPr>
            <w:tcW w:w="1256" w:type="dxa"/>
            <w:vAlign w:val="center"/>
          </w:tcPr>
          <w:p w14:paraId="495F5101" w14:textId="77777777" w:rsidR="00905AEC" w:rsidRPr="002F5EF5" w:rsidRDefault="00905AEC" w:rsidP="00F77D41">
            <w:pPr>
              <w:jc w:val="center"/>
              <w:rPr>
                <w:sz w:val="22"/>
                <w:szCs w:val="22"/>
                <w:lang w:val="en-US"/>
              </w:rPr>
            </w:pPr>
            <w:r w:rsidRPr="002F5EF5">
              <w:rPr>
                <w:rFonts w:eastAsia="Times New Roman"/>
                <w:sz w:val="22"/>
                <w:szCs w:val="22"/>
              </w:rPr>
              <w:t>1.69</w:t>
            </w:r>
          </w:p>
        </w:tc>
        <w:tc>
          <w:tcPr>
            <w:tcW w:w="1256" w:type="dxa"/>
            <w:vAlign w:val="center"/>
          </w:tcPr>
          <w:p w14:paraId="68B378E4" w14:textId="77777777" w:rsidR="00905AEC" w:rsidRPr="002F5EF5" w:rsidRDefault="00905AEC" w:rsidP="00F77D41">
            <w:pPr>
              <w:jc w:val="center"/>
              <w:rPr>
                <w:sz w:val="22"/>
                <w:szCs w:val="22"/>
                <w:lang w:val="en-US"/>
              </w:rPr>
            </w:pPr>
            <w:r w:rsidRPr="002F5EF5">
              <w:rPr>
                <w:rFonts w:eastAsia="Times New Roman"/>
                <w:sz w:val="22"/>
                <w:szCs w:val="22"/>
              </w:rPr>
              <w:t>1.30</w:t>
            </w:r>
          </w:p>
        </w:tc>
        <w:tc>
          <w:tcPr>
            <w:tcW w:w="1256" w:type="dxa"/>
            <w:vAlign w:val="center"/>
          </w:tcPr>
          <w:p w14:paraId="4831A163" w14:textId="77777777" w:rsidR="00905AEC" w:rsidRPr="002F5EF5" w:rsidRDefault="00905AEC" w:rsidP="00F77D41">
            <w:pPr>
              <w:jc w:val="center"/>
              <w:rPr>
                <w:sz w:val="22"/>
                <w:szCs w:val="22"/>
                <w:lang w:val="en-US"/>
              </w:rPr>
            </w:pPr>
            <w:r w:rsidRPr="002F5EF5">
              <w:rPr>
                <w:rFonts w:eastAsia="Times New Roman"/>
                <w:sz w:val="22"/>
                <w:szCs w:val="22"/>
              </w:rPr>
              <w:t>1.28</w:t>
            </w:r>
          </w:p>
        </w:tc>
        <w:tc>
          <w:tcPr>
            <w:tcW w:w="1257" w:type="dxa"/>
            <w:vAlign w:val="center"/>
          </w:tcPr>
          <w:p w14:paraId="330935A6" w14:textId="77777777" w:rsidR="00905AEC" w:rsidRPr="002F5EF5" w:rsidRDefault="00905AEC" w:rsidP="00F77D41">
            <w:pPr>
              <w:jc w:val="center"/>
              <w:rPr>
                <w:sz w:val="22"/>
                <w:szCs w:val="22"/>
                <w:lang w:val="en-US"/>
              </w:rPr>
            </w:pPr>
            <w:r w:rsidRPr="002F5EF5">
              <w:rPr>
                <w:rFonts w:eastAsia="Times New Roman"/>
                <w:sz w:val="22"/>
                <w:szCs w:val="22"/>
              </w:rPr>
              <w:t>2.06</w:t>
            </w:r>
          </w:p>
        </w:tc>
      </w:tr>
      <w:tr w:rsidR="00905AEC" w:rsidRPr="002F5EF5" w14:paraId="12523CBC" w14:textId="77777777" w:rsidTr="00F77D41">
        <w:tc>
          <w:tcPr>
            <w:tcW w:w="2235" w:type="dxa"/>
          </w:tcPr>
          <w:p w14:paraId="76439FB6" w14:textId="77777777" w:rsidR="00905AEC" w:rsidRPr="002F5EF5" w:rsidRDefault="00905AEC" w:rsidP="00F77D41">
            <w:pPr>
              <w:rPr>
                <w:sz w:val="22"/>
                <w:szCs w:val="22"/>
                <w:lang w:val="en-US"/>
              </w:rPr>
            </w:pPr>
            <w:r w:rsidRPr="002F5EF5">
              <w:rPr>
                <w:sz w:val="22"/>
                <w:szCs w:val="22"/>
                <w:lang w:val="en-US"/>
              </w:rPr>
              <w:t>Internal unity: agreement index</w:t>
            </w:r>
          </w:p>
        </w:tc>
        <w:tc>
          <w:tcPr>
            <w:tcW w:w="1256" w:type="dxa"/>
            <w:vAlign w:val="center"/>
          </w:tcPr>
          <w:p w14:paraId="1B53038D" w14:textId="77777777" w:rsidR="00905AEC" w:rsidRPr="002F5EF5" w:rsidRDefault="00905AEC" w:rsidP="00F77D41">
            <w:pPr>
              <w:jc w:val="center"/>
              <w:rPr>
                <w:sz w:val="22"/>
                <w:szCs w:val="22"/>
                <w:lang w:val="en-US"/>
              </w:rPr>
            </w:pPr>
            <w:r w:rsidRPr="002F5EF5">
              <w:rPr>
                <w:rFonts w:eastAsia="Times New Roman"/>
                <w:sz w:val="22"/>
                <w:szCs w:val="22"/>
              </w:rPr>
              <w:t>0.67</w:t>
            </w:r>
          </w:p>
        </w:tc>
        <w:tc>
          <w:tcPr>
            <w:tcW w:w="1256" w:type="dxa"/>
            <w:vAlign w:val="center"/>
          </w:tcPr>
          <w:p w14:paraId="5ABC0A91" w14:textId="77777777" w:rsidR="00905AEC" w:rsidRPr="002F5EF5" w:rsidRDefault="00905AEC" w:rsidP="00F77D41">
            <w:pPr>
              <w:jc w:val="center"/>
              <w:rPr>
                <w:sz w:val="22"/>
                <w:szCs w:val="22"/>
                <w:lang w:val="en-US"/>
              </w:rPr>
            </w:pPr>
            <w:r w:rsidRPr="002F5EF5">
              <w:rPr>
                <w:rFonts w:eastAsia="Times New Roman"/>
                <w:sz w:val="22"/>
                <w:szCs w:val="22"/>
              </w:rPr>
              <w:t>0.29</w:t>
            </w:r>
          </w:p>
        </w:tc>
        <w:tc>
          <w:tcPr>
            <w:tcW w:w="1256" w:type="dxa"/>
            <w:vAlign w:val="center"/>
          </w:tcPr>
          <w:p w14:paraId="7AEE4E6A" w14:textId="77777777" w:rsidR="00905AEC" w:rsidRPr="002F5EF5" w:rsidRDefault="00905AEC" w:rsidP="00F77D41">
            <w:pPr>
              <w:jc w:val="center"/>
              <w:rPr>
                <w:sz w:val="22"/>
                <w:szCs w:val="22"/>
                <w:lang w:val="en-US"/>
              </w:rPr>
            </w:pPr>
            <w:r w:rsidRPr="002F5EF5">
              <w:rPr>
                <w:rFonts w:eastAsia="Times New Roman"/>
                <w:sz w:val="22"/>
                <w:szCs w:val="22"/>
              </w:rPr>
              <w:t>0.39</w:t>
            </w:r>
          </w:p>
        </w:tc>
        <w:tc>
          <w:tcPr>
            <w:tcW w:w="1256" w:type="dxa"/>
            <w:vAlign w:val="center"/>
          </w:tcPr>
          <w:p w14:paraId="23432E5F" w14:textId="77777777" w:rsidR="00905AEC" w:rsidRPr="002F5EF5" w:rsidRDefault="00905AEC" w:rsidP="00F77D41">
            <w:pPr>
              <w:jc w:val="center"/>
              <w:rPr>
                <w:sz w:val="22"/>
                <w:szCs w:val="22"/>
                <w:lang w:val="en-US"/>
              </w:rPr>
            </w:pPr>
            <w:r w:rsidRPr="002F5EF5">
              <w:rPr>
                <w:rFonts w:eastAsia="Times New Roman"/>
                <w:sz w:val="22"/>
                <w:szCs w:val="22"/>
              </w:rPr>
              <w:t>0.35</w:t>
            </w:r>
          </w:p>
        </w:tc>
        <w:tc>
          <w:tcPr>
            <w:tcW w:w="1257" w:type="dxa"/>
            <w:vAlign w:val="center"/>
          </w:tcPr>
          <w:p w14:paraId="6356C1B6" w14:textId="77777777" w:rsidR="00905AEC" w:rsidRPr="002F5EF5" w:rsidRDefault="00905AEC" w:rsidP="00F77D41">
            <w:pPr>
              <w:jc w:val="center"/>
              <w:rPr>
                <w:sz w:val="22"/>
                <w:szCs w:val="22"/>
                <w:lang w:val="en-US"/>
              </w:rPr>
            </w:pPr>
            <w:r w:rsidRPr="002F5EF5">
              <w:rPr>
                <w:rFonts w:eastAsia="Times New Roman"/>
                <w:sz w:val="22"/>
                <w:szCs w:val="22"/>
              </w:rPr>
              <w:t>0.98</w:t>
            </w:r>
          </w:p>
        </w:tc>
      </w:tr>
      <w:tr w:rsidR="00905AEC" w:rsidRPr="002F5EF5" w14:paraId="1F117079" w14:textId="77777777" w:rsidTr="00F77D41">
        <w:tc>
          <w:tcPr>
            <w:tcW w:w="2235" w:type="dxa"/>
          </w:tcPr>
          <w:p w14:paraId="77F0B510" w14:textId="77777777" w:rsidR="00905AEC" w:rsidRPr="002F5EF5" w:rsidRDefault="00905AEC" w:rsidP="00F77D41">
            <w:pPr>
              <w:rPr>
                <w:i/>
                <w:sz w:val="22"/>
                <w:szCs w:val="22"/>
                <w:lang w:val="en-US"/>
              </w:rPr>
            </w:pPr>
            <w:r w:rsidRPr="002F5EF5">
              <w:rPr>
                <w:i/>
                <w:sz w:val="22"/>
                <w:szCs w:val="22"/>
                <w:lang w:val="en-US"/>
              </w:rPr>
              <w:t>Average between distance and agreement</w:t>
            </w:r>
          </w:p>
        </w:tc>
        <w:tc>
          <w:tcPr>
            <w:tcW w:w="1256" w:type="dxa"/>
            <w:vAlign w:val="center"/>
          </w:tcPr>
          <w:p w14:paraId="685F0C90" w14:textId="77777777" w:rsidR="00905AEC" w:rsidRPr="002F5EF5" w:rsidRDefault="00905AEC" w:rsidP="00F77D41">
            <w:pPr>
              <w:jc w:val="center"/>
              <w:rPr>
                <w:i/>
                <w:sz w:val="22"/>
                <w:szCs w:val="22"/>
              </w:rPr>
            </w:pPr>
            <w:r w:rsidRPr="002F5EF5">
              <w:rPr>
                <w:rFonts w:eastAsia="Times New Roman"/>
                <w:sz w:val="22"/>
                <w:szCs w:val="22"/>
              </w:rPr>
              <w:t>1.43</w:t>
            </w:r>
          </w:p>
        </w:tc>
        <w:tc>
          <w:tcPr>
            <w:tcW w:w="1256" w:type="dxa"/>
            <w:vAlign w:val="center"/>
          </w:tcPr>
          <w:p w14:paraId="2171E3EE" w14:textId="77777777" w:rsidR="00905AEC" w:rsidRPr="002F5EF5" w:rsidRDefault="00905AEC" w:rsidP="00F77D41">
            <w:pPr>
              <w:jc w:val="center"/>
              <w:rPr>
                <w:i/>
                <w:sz w:val="22"/>
                <w:szCs w:val="22"/>
              </w:rPr>
            </w:pPr>
            <w:r w:rsidRPr="002F5EF5">
              <w:rPr>
                <w:rFonts w:eastAsia="Times New Roman"/>
                <w:sz w:val="22"/>
                <w:szCs w:val="22"/>
              </w:rPr>
              <w:t>0.99</w:t>
            </w:r>
          </w:p>
        </w:tc>
        <w:tc>
          <w:tcPr>
            <w:tcW w:w="1256" w:type="dxa"/>
            <w:vAlign w:val="center"/>
          </w:tcPr>
          <w:p w14:paraId="2941DF5A" w14:textId="77777777" w:rsidR="00905AEC" w:rsidRPr="002F5EF5" w:rsidRDefault="00905AEC" w:rsidP="00F77D41">
            <w:pPr>
              <w:jc w:val="center"/>
              <w:rPr>
                <w:i/>
                <w:sz w:val="22"/>
                <w:szCs w:val="22"/>
              </w:rPr>
            </w:pPr>
            <w:r w:rsidRPr="002F5EF5">
              <w:rPr>
                <w:rFonts w:eastAsia="Times New Roman"/>
                <w:sz w:val="22"/>
                <w:szCs w:val="22"/>
              </w:rPr>
              <w:t>0.85</w:t>
            </w:r>
          </w:p>
        </w:tc>
        <w:tc>
          <w:tcPr>
            <w:tcW w:w="1256" w:type="dxa"/>
            <w:vAlign w:val="center"/>
          </w:tcPr>
          <w:p w14:paraId="5F225AE2" w14:textId="77777777" w:rsidR="00905AEC" w:rsidRPr="002F5EF5" w:rsidRDefault="00905AEC" w:rsidP="00F77D41">
            <w:pPr>
              <w:jc w:val="center"/>
              <w:rPr>
                <w:i/>
                <w:sz w:val="22"/>
                <w:szCs w:val="22"/>
              </w:rPr>
            </w:pPr>
            <w:r w:rsidRPr="002F5EF5">
              <w:rPr>
                <w:rFonts w:eastAsia="Times New Roman"/>
                <w:sz w:val="22"/>
                <w:szCs w:val="22"/>
              </w:rPr>
              <w:t>0.82</w:t>
            </w:r>
          </w:p>
        </w:tc>
        <w:tc>
          <w:tcPr>
            <w:tcW w:w="1257" w:type="dxa"/>
            <w:vAlign w:val="center"/>
          </w:tcPr>
          <w:p w14:paraId="44056C1D" w14:textId="77777777" w:rsidR="00905AEC" w:rsidRPr="002F5EF5" w:rsidRDefault="00905AEC" w:rsidP="00F77D41">
            <w:pPr>
              <w:jc w:val="center"/>
              <w:rPr>
                <w:i/>
                <w:sz w:val="22"/>
                <w:szCs w:val="22"/>
              </w:rPr>
            </w:pPr>
            <w:r w:rsidRPr="002F5EF5">
              <w:rPr>
                <w:rFonts w:eastAsia="Times New Roman"/>
                <w:sz w:val="22"/>
                <w:szCs w:val="22"/>
              </w:rPr>
              <w:t>1.52</w:t>
            </w:r>
          </w:p>
        </w:tc>
      </w:tr>
      <w:tr w:rsidR="00905AEC" w:rsidRPr="002F5EF5" w14:paraId="13C59C80" w14:textId="77777777" w:rsidTr="00F77D41">
        <w:tc>
          <w:tcPr>
            <w:tcW w:w="2235" w:type="dxa"/>
          </w:tcPr>
          <w:p w14:paraId="7B14A6EC" w14:textId="77777777" w:rsidR="00905AEC" w:rsidRPr="002F5EF5" w:rsidRDefault="00905AEC" w:rsidP="00F77D41">
            <w:pPr>
              <w:rPr>
                <w:i/>
                <w:sz w:val="22"/>
                <w:szCs w:val="22"/>
                <w:lang w:val="en-US"/>
              </w:rPr>
            </w:pPr>
            <w:r w:rsidRPr="002F5EF5">
              <w:rPr>
                <w:i/>
                <w:sz w:val="22"/>
                <w:szCs w:val="22"/>
                <w:lang w:val="en-US"/>
              </w:rPr>
              <w:t>Clarity of profile</w:t>
            </w:r>
          </w:p>
        </w:tc>
        <w:tc>
          <w:tcPr>
            <w:tcW w:w="1256" w:type="dxa"/>
          </w:tcPr>
          <w:p w14:paraId="6254AB30" w14:textId="77777777" w:rsidR="00905AEC" w:rsidRPr="002F5EF5" w:rsidRDefault="00905AEC" w:rsidP="00F77D41">
            <w:pPr>
              <w:jc w:val="center"/>
              <w:rPr>
                <w:i/>
                <w:sz w:val="22"/>
                <w:szCs w:val="22"/>
                <w:lang w:val="en-US"/>
              </w:rPr>
            </w:pPr>
            <w:r w:rsidRPr="002F5EF5">
              <w:rPr>
                <w:i/>
                <w:sz w:val="22"/>
                <w:szCs w:val="22"/>
                <w:lang w:val="en-US"/>
              </w:rPr>
              <w:t>high</w:t>
            </w:r>
          </w:p>
        </w:tc>
        <w:tc>
          <w:tcPr>
            <w:tcW w:w="1256" w:type="dxa"/>
          </w:tcPr>
          <w:p w14:paraId="6538293A" w14:textId="77777777" w:rsidR="00905AEC" w:rsidRPr="002F5EF5" w:rsidRDefault="00905AEC" w:rsidP="00F77D41">
            <w:pPr>
              <w:jc w:val="center"/>
              <w:rPr>
                <w:i/>
                <w:sz w:val="22"/>
                <w:szCs w:val="22"/>
                <w:lang w:val="en-US"/>
              </w:rPr>
            </w:pPr>
            <w:r w:rsidRPr="002F5EF5">
              <w:rPr>
                <w:i/>
                <w:sz w:val="22"/>
                <w:szCs w:val="22"/>
                <w:lang w:val="en-US"/>
              </w:rPr>
              <w:t>moderate</w:t>
            </w:r>
          </w:p>
        </w:tc>
        <w:tc>
          <w:tcPr>
            <w:tcW w:w="1256" w:type="dxa"/>
          </w:tcPr>
          <w:p w14:paraId="36927947" w14:textId="77777777" w:rsidR="00905AEC" w:rsidRPr="002F5EF5" w:rsidRDefault="00905AEC" w:rsidP="00F77D41">
            <w:pPr>
              <w:jc w:val="center"/>
              <w:rPr>
                <w:i/>
                <w:sz w:val="22"/>
                <w:szCs w:val="22"/>
                <w:lang w:val="en-US"/>
              </w:rPr>
            </w:pPr>
            <w:r w:rsidRPr="002F5EF5">
              <w:rPr>
                <w:i/>
                <w:sz w:val="22"/>
                <w:szCs w:val="22"/>
                <w:lang w:val="en-US"/>
              </w:rPr>
              <w:t>low</w:t>
            </w:r>
          </w:p>
        </w:tc>
        <w:tc>
          <w:tcPr>
            <w:tcW w:w="1256" w:type="dxa"/>
          </w:tcPr>
          <w:p w14:paraId="2C435F27" w14:textId="77777777" w:rsidR="00905AEC" w:rsidRPr="002F5EF5" w:rsidRDefault="00905AEC" w:rsidP="00F77D41">
            <w:pPr>
              <w:jc w:val="center"/>
              <w:rPr>
                <w:i/>
                <w:sz w:val="22"/>
                <w:szCs w:val="22"/>
                <w:lang w:val="en-US"/>
              </w:rPr>
            </w:pPr>
            <w:r w:rsidRPr="002F5EF5">
              <w:rPr>
                <w:i/>
                <w:sz w:val="22"/>
                <w:szCs w:val="22"/>
                <w:lang w:val="en-US"/>
              </w:rPr>
              <w:t>low</w:t>
            </w:r>
          </w:p>
        </w:tc>
        <w:tc>
          <w:tcPr>
            <w:tcW w:w="1257" w:type="dxa"/>
          </w:tcPr>
          <w:p w14:paraId="2FA62426" w14:textId="77777777" w:rsidR="00905AEC" w:rsidRPr="002F5EF5" w:rsidRDefault="00905AEC" w:rsidP="00F77D41">
            <w:pPr>
              <w:jc w:val="center"/>
              <w:rPr>
                <w:i/>
                <w:sz w:val="22"/>
                <w:szCs w:val="22"/>
                <w:lang w:val="en-US"/>
              </w:rPr>
            </w:pPr>
            <w:r w:rsidRPr="002F5EF5">
              <w:rPr>
                <w:i/>
                <w:sz w:val="22"/>
                <w:szCs w:val="22"/>
                <w:lang w:val="en-US"/>
              </w:rPr>
              <w:t>high</w:t>
            </w:r>
          </w:p>
        </w:tc>
      </w:tr>
    </w:tbl>
    <w:p w14:paraId="1F11940C" w14:textId="77777777" w:rsidR="00905AEC" w:rsidRPr="002F5EF5" w:rsidRDefault="00905AEC" w:rsidP="00905AEC">
      <w:pPr>
        <w:spacing w:line="360" w:lineRule="auto"/>
        <w:rPr>
          <w:lang w:val="en-US"/>
        </w:rPr>
      </w:pPr>
      <w:r w:rsidRPr="002F5EF5">
        <w:rPr>
          <w:sz w:val="20"/>
          <w:szCs w:val="20"/>
          <w:lang w:val="en-US"/>
        </w:rPr>
        <w:t>Note: The EU issue scale ranges from 1 ("fully against") to 5 ("fully in favor").</w:t>
      </w:r>
    </w:p>
    <w:p w14:paraId="00695705" w14:textId="77777777" w:rsidR="00905AEC" w:rsidRPr="002F5EF5" w:rsidRDefault="00905AEC" w:rsidP="00905AEC">
      <w:pPr>
        <w:jc w:val="both"/>
        <w:rPr>
          <w:lang w:val="en-US"/>
        </w:rPr>
      </w:pPr>
    </w:p>
    <w:p w14:paraId="643C194E" w14:textId="77777777" w:rsidR="00905AEC" w:rsidRPr="002F5EF5" w:rsidRDefault="00905AEC" w:rsidP="00905AEC">
      <w:pPr>
        <w:spacing w:line="480" w:lineRule="auto"/>
        <w:jc w:val="both"/>
        <w:rPr>
          <w:spacing w:val="-4"/>
          <w:lang w:val="en-US"/>
        </w:rPr>
      </w:pPr>
      <w:r w:rsidRPr="002F5EF5">
        <w:rPr>
          <w:lang w:val="en-US"/>
        </w:rPr>
        <w:t xml:space="preserve">The extremely strong profile of the Swiss People's party on the EU membership issue </w:t>
      </w:r>
      <w:r w:rsidR="00A5432B">
        <w:rPr>
          <w:lang w:val="en-US"/>
        </w:rPr>
        <w:t xml:space="preserve">is </w:t>
      </w:r>
      <w:r w:rsidRPr="002F5EF5">
        <w:rPr>
          <w:lang w:val="en-US"/>
        </w:rPr>
        <w:t xml:space="preserve">clear from table A2: Nearly all its candidates "fully" oppose EU membership, and the party's position is fairly distinct from that of its competitors. The Social </w:t>
      </w:r>
      <w:r w:rsidRPr="002F5EF5">
        <w:rPr>
          <w:lang w:val="en-US"/>
        </w:rPr>
        <w:lastRenderedPageBreak/>
        <w:t xml:space="preserve">democratic party also exhibits a highly clear profile, but in support of EU membership. Its position is even more distinct than that of the Swiss People's party, but its cohesiveness is lower. By contrast, table A2 highlights the unclear profile of the two center-right parties. Both parties share </w:t>
      </w:r>
      <w:r w:rsidRPr="002F5EF5">
        <w:rPr>
          <w:spacing w:val="-4"/>
          <w:lang w:val="en-US"/>
        </w:rPr>
        <w:t xml:space="preserve">a very similar, fairly indistinctive position with respect to EU membership, and are strongly internally divided on that issue. </w:t>
      </w:r>
      <w:r w:rsidRPr="002F5EF5">
        <w:rPr>
          <w:lang w:val="en-US"/>
        </w:rPr>
        <w:t>Finally, the Greens have a more distinct position than the two center-right parties, but they are not less internally divided. Their resulting profile is moderate.</w:t>
      </w:r>
    </w:p>
    <w:p w14:paraId="70A3B1E8" w14:textId="77777777" w:rsidR="00905AEC" w:rsidRPr="002F5EF5" w:rsidRDefault="00905AEC" w:rsidP="00905AEC">
      <w:pPr>
        <w:spacing w:line="480" w:lineRule="auto"/>
        <w:jc w:val="both"/>
        <w:rPr>
          <w:b/>
          <w:lang w:val="en-US"/>
        </w:rPr>
      </w:pPr>
    </w:p>
    <w:p w14:paraId="52ED0113" w14:textId="77777777" w:rsidR="00905AEC" w:rsidRPr="002F5EF5" w:rsidRDefault="00905AEC" w:rsidP="00905AEC">
      <w:pPr>
        <w:spacing w:line="480" w:lineRule="auto"/>
        <w:jc w:val="both"/>
        <w:rPr>
          <w:b/>
          <w:lang w:val="en-US"/>
        </w:rPr>
      </w:pPr>
      <w:r w:rsidRPr="002F5EF5">
        <w:rPr>
          <w:b/>
          <w:lang w:val="en-US"/>
        </w:rPr>
        <w:t>Fiscal issue (economic redistribution)</w:t>
      </w:r>
    </w:p>
    <w:p w14:paraId="694F100A" w14:textId="77777777" w:rsidR="00905AEC" w:rsidRPr="002F5EF5" w:rsidRDefault="00905AEC" w:rsidP="00905AEC">
      <w:pPr>
        <w:spacing w:line="480" w:lineRule="auto"/>
        <w:jc w:val="both"/>
        <w:rPr>
          <w:rFonts w:eastAsia="Times New Roman"/>
          <w:position w:val="11"/>
          <w:sz w:val="16"/>
          <w:szCs w:val="16"/>
          <w:lang w:val="en-US"/>
        </w:rPr>
      </w:pPr>
      <w:r w:rsidRPr="002F5EF5">
        <w:rPr>
          <w:rFonts w:eastAsia="Times New Roman"/>
          <w:lang w:val="en-US"/>
        </w:rPr>
        <w:t xml:space="preserve">The distribution of parties' preferences on the fiscal issue </w:t>
      </w:r>
      <w:r w:rsidRPr="002F5EF5">
        <w:rPr>
          <w:rFonts w:eastAsia="Times New Roman"/>
          <w:spacing w:val="8"/>
          <w:lang w:val="en-US"/>
        </w:rPr>
        <w:t>appears in table A3</w:t>
      </w:r>
      <w:r w:rsidRPr="002F5EF5">
        <w:rPr>
          <w:rFonts w:eastAsia="Times New Roman"/>
          <w:spacing w:val="9"/>
          <w:lang w:val="en-US"/>
        </w:rPr>
        <w:t>.</w:t>
      </w:r>
      <w:r w:rsidRPr="002F5EF5">
        <w:rPr>
          <w:rStyle w:val="FootnoteReference"/>
          <w:rFonts w:eastAsia="Times New Roman"/>
          <w:spacing w:val="9"/>
          <w:lang w:val="en-US"/>
        </w:rPr>
        <w:footnoteReference w:id="4"/>
      </w:r>
    </w:p>
    <w:p w14:paraId="19273D2E" w14:textId="77777777" w:rsidR="00905AEC" w:rsidRPr="002F5EF5" w:rsidRDefault="00905AEC" w:rsidP="00905AEC">
      <w:pPr>
        <w:rPr>
          <w:i/>
          <w:lang w:val="en-US"/>
        </w:rPr>
      </w:pPr>
      <w:r w:rsidRPr="002F5EF5">
        <w:rPr>
          <w:i/>
          <w:lang w:val="en-US"/>
        </w:rPr>
        <w:t>Table A3: Clarity of parties' profile on the redistributive issue (CCS data)</w:t>
      </w:r>
    </w:p>
    <w:p w14:paraId="1162D69F" w14:textId="77777777" w:rsidR="00905AEC" w:rsidRPr="002F5EF5" w:rsidRDefault="00905AEC" w:rsidP="00905AEC">
      <w:pPr>
        <w:rPr>
          <w:lang w:val="en-US"/>
        </w:rPr>
      </w:pPr>
    </w:p>
    <w:tbl>
      <w:tblPr>
        <w:tblStyle w:val="TableGrid"/>
        <w:tblW w:w="0" w:type="auto"/>
        <w:tblLayout w:type="fixed"/>
        <w:tblLook w:val="04A0" w:firstRow="1" w:lastRow="0" w:firstColumn="1" w:lastColumn="0" w:noHBand="0" w:noVBand="1"/>
      </w:tblPr>
      <w:tblGrid>
        <w:gridCol w:w="2235"/>
        <w:gridCol w:w="1256"/>
        <w:gridCol w:w="1256"/>
        <w:gridCol w:w="1256"/>
        <w:gridCol w:w="1256"/>
        <w:gridCol w:w="1257"/>
      </w:tblGrid>
      <w:tr w:rsidR="00905AEC" w:rsidRPr="002F5EF5" w14:paraId="65E5A40E" w14:textId="77777777" w:rsidTr="00F77D41">
        <w:tc>
          <w:tcPr>
            <w:tcW w:w="2235" w:type="dxa"/>
          </w:tcPr>
          <w:p w14:paraId="17D03B20" w14:textId="77777777" w:rsidR="00905AEC" w:rsidRPr="002F5EF5" w:rsidRDefault="00905AEC" w:rsidP="00F77D41">
            <w:pPr>
              <w:rPr>
                <w:i/>
                <w:sz w:val="22"/>
                <w:szCs w:val="22"/>
                <w:lang w:val="en-US"/>
              </w:rPr>
            </w:pPr>
          </w:p>
        </w:tc>
        <w:tc>
          <w:tcPr>
            <w:tcW w:w="1256" w:type="dxa"/>
          </w:tcPr>
          <w:p w14:paraId="2A78F84B" w14:textId="77777777" w:rsidR="00905AEC" w:rsidRPr="002F5EF5" w:rsidRDefault="00905AEC" w:rsidP="00F77D41">
            <w:pPr>
              <w:jc w:val="center"/>
              <w:rPr>
                <w:sz w:val="22"/>
                <w:szCs w:val="22"/>
                <w:lang w:val="en-US"/>
              </w:rPr>
            </w:pPr>
            <w:r w:rsidRPr="002F5EF5">
              <w:rPr>
                <w:sz w:val="22"/>
                <w:szCs w:val="22"/>
                <w:lang w:val="en-US"/>
              </w:rPr>
              <w:t>Social Democratic party</w:t>
            </w:r>
          </w:p>
          <w:p w14:paraId="7DDA1B86" w14:textId="77777777" w:rsidR="00905AEC" w:rsidRPr="002F5EF5" w:rsidRDefault="00905AEC" w:rsidP="00F77D41">
            <w:pPr>
              <w:jc w:val="center"/>
              <w:rPr>
                <w:sz w:val="22"/>
                <w:szCs w:val="22"/>
                <w:lang w:val="en-US"/>
              </w:rPr>
            </w:pPr>
            <w:r w:rsidRPr="002F5EF5">
              <w:rPr>
                <w:sz w:val="22"/>
                <w:szCs w:val="22"/>
                <w:lang w:val="en-US"/>
              </w:rPr>
              <w:t>(N=275)</w:t>
            </w:r>
          </w:p>
        </w:tc>
        <w:tc>
          <w:tcPr>
            <w:tcW w:w="1256" w:type="dxa"/>
          </w:tcPr>
          <w:p w14:paraId="335EF26B" w14:textId="77777777" w:rsidR="00905AEC" w:rsidRPr="002F5EF5" w:rsidRDefault="00905AEC" w:rsidP="00F77D41">
            <w:pPr>
              <w:jc w:val="center"/>
              <w:rPr>
                <w:sz w:val="22"/>
                <w:szCs w:val="22"/>
                <w:lang w:val="en-US"/>
              </w:rPr>
            </w:pPr>
          </w:p>
          <w:p w14:paraId="5C86CDC2" w14:textId="77777777" w:rsidR="00905AEC" w:rsidRPr="002F5EF5" w:rsidRDefault="00905AEC" w:rsidP="00F77D41">
            <w:pPr>
              <w:jc w:val="center"/>
              <w:rPr>
                <w:sz w:val="22"/>
                <w:szCs w:val="22"/>
                <w:lang w:val="en-US"/>
              </w:rPr>
            </w:pPr>
            <w:r w:rsidRPr="002F5EF5">
              <w:rPr>
                <w:sz w:val="22"/>
                <w:szCs w:val="22"/>
                <w:lang w:val="en-US"/>
              </w:rPr>
              <w:t>Green party</w:t>
            </w:r>
          </w:p>
          <w:p w14:paraId="3A9071FB" w14:textId="77777777" w:rsidR="00905AEC" w:rsidRPr="002F5EF5" w:rsidRDefault="00905AEC" w:rsidP="00F77D41">
            <w:pPr>
              <w:jc w:val="center"/>
              <w:rPr>
                <w:sz w:val="22"/>
                <w:szCs w:val="22"/>
                <w:lang w:val="en-US"/>
              </w:rPr>
            </w:pPr>
            <w:r w:rsidRPr="002F5EF5">
              <w:rPr>
                <w:sz w:val="22"/>
                <w:szCs w:val="22"/>
                <w:lang w:val="en-US"/>
              </w:rPr>
              <w:t>(N=270)</w:t>
            </w:r>
          </w:p>
        </w:tc>
        <w:tc>
          <w:tcPr>
            <w:tcW w:w="1256" w:type="dxa"/>
          </w:tcPr>
          <w:p w14:paraId="5271703E" w14:textId="77777777" w:rsidR="00905AEC" w:rsidRPr="002F5EF5" w:rsidRDefault="00905AEC" w:rsidP="00F77D41">
            <w:pPr>
              <w:jc w:val="center"/>
              <w:rPr>
                <w:sz w:val="22"/>
                <w:szCs w:val="22"/>
                <w:lang w:val="en-US"/>
              </w:rPr>
            </w:pPr>
            <w:r w:rsidRPr="002F5EF5">
              <w:rPr>
                <w:sz w:val="22"/>
                <w:szCs w:val="22"/>
                <w:lang w:val="en-US"/>
              </w:rPr>
              <w:t>Christian Democratic party</w:t>
            </w:r>
          </w:p>
          <w:p w14:paraId="64EBCDFE" w14:textId="77777777" w:rsidR="00905AEC" w:rsidRPr="002F5EF5" w:rsidRDefault="00905AEC" w:rsidP="00F77D41">
            <w:pPr>
              <w:jc w:val="center"/>
              <w:rPr>
                <w:sz w:val="22"/>
                <w:szCs w:val="22"/>
                <w:lang w:val="en-US"/>
              </w:rPr>
            </w:pPr>
            <w:r w:rsidRPr="002F5EF5">
              <w:rPr>
                <w:sz w:val="22"/>
                <w:szCs w:val="22"/>
                <w:lang w:val="en-US"/>
              </w:rPr>
              <w:t>(N=204)</w:t>
            </w:r>
          </w:p>
        </w:tc>
        <w:tc>
          <w:tcPr>
            <w:tcW w:w="1256" w:type="dxa"/>
          </w:tcPr>
          <w:p w14:paraId="454A7073" w14:textId="77777777" w:rsidR="00905AEC" w:rsidRPr="002F5EF5" w:rsidRDefault="00905AEC" w:rsidP="00F77D41">
            <w:pPr>
              <w:jc w:val="center"/>
              <w:rPr>
                <w:sz w:val="22"/>
                <w:szCs w:val="22"/>
                <w:lang w:val="en-US"/>
              </w:rPr>
            </w:pPr>
            <w:r w:rsidRPr="002F5EF5">
              <w:rPr>
                <w:sz w:val="22"/>
                <w:szCs w:val="22"/>
                <w:lang w:val="en-US"/>
              </w:rPr>
              <w:t>Radical democratic party</w:t>
            </w:r>
          </w:p>
          <w:p w14:paraId="53C8CA30" w14:textId="77777777" w:rsidR="00905AEC" w:rsidRPr="002F5EF5" w:rsidRDefault="00905AEC" w:rsidP="00F77D41">
            <w:pPr>
              <w:jc w:val="center"/>
              <w:rPr>
                <w:sz w:val="22"/>
                <w:szCs w:val="22"/>
                <w:lang w:val="en-US"/>
              </w:rPr>
            </w:pPr>
            <w:r w:rsidRPr="002F5EF5">
              <w:rPr>
                <w:sz w:val="22"/>
                <w:szCs w:val="22"/>
                <w:lang w:val="en-US"/>
              </w:rPr>
              <w:t>(N=226)</w:t>
            </w:r>
          </w:p>
        </w:tc>
        <w:tc>
          <w:tcPr>
            <w:tcW w:w="1257" w:type="dxa"/>
          </w:tcPr>
          <w:p w14:paraId="5901682E" w14:textId="77777777" w:rsidR="00905AEC" w:rsidRPr="002F5EF5" w:rsidRDefault="00905AEC" w:rsidP="00F77D41">
            <w:pPr>
              <w:jc w:val="center"/>
              <w:rPr>
                <w:sz w:val="22"/>
                <w:szCs w:val="22"/>
                <w:lang w:val="en-US"/>
              </w:rPr>
            </w:pPr>
            <w:r w:rsidRPr="002F5EF5">
              <w:rPr>
                <w:sz w:val="22"/>
                <w:szCs w:val="22"/>
                <w:lang w:val="en-US"/>
              </w:rPr>
              <w:t>Swiss People's party</w:t>
            </w:r>
          </w:p>
          <w:p w14:paraId="26069743" w14:textId="77777777" w:rsidR="00905AEC" w:rsidRPr="002F5EF5" w:rsidRDefault="00905AEC" w:rsidP="00F77D41">
            <w:pPr>
              <w:spacing w:after="120"/>
              <w:jc w:val="center"/>
              <w:rPr>
                <w:sz w:val="22"/>
                <w:szCs w:val="22"/>
                <w:lang w:val="en-US"/>
              </w:rPr>
            </w:pPr>
            <w:r w:rsidRPr="002F5EF5">
              <w:rPr>
                <w:sz w:val="22"/>
                <w:szCs w:val="22"/>
                <w:lang w:val="en-US"/>
              </w:rPr>
              <w:t>(N=213)</w:t>
            </w:r>
          </w:p>
        </w:tc>
      </w:tr>
      <w:tr w:rsidR="00905AEC" w:rsidRPr="002F5EF5" w14:paraId="6C9D8803" w14:textId="77777777" w:rsidTr="00F77D41">
        <w:tc>
          <w:tcPr>
            <w:tcW w:w="2235" w:type="dxa"/>
          </w:tcPr>
          <w:p w14:paraId="35D38833" w14:textId="77777777" w:rsidR="00905AEC" w:rsidRPr="002F5EF5" w:rsidRDefault="00905AEC" w:rsidP="00F77D41">
            <w:pPr>
              <w:rPr>
                <w:sz w:val="22"/>
                <w:szCs w:val="22"/>
                <w:lang w:val="en-US"/>
              </w:rPr>
            </w:pPr>
            <w:r w:rsidRPr="002F5EF5">
              <w:rPr>
                <w:sz w:val="22"/>
                <w:szCs w:val="22"/>
                <w:lang w:val="en-US"/>
              </w:rPr>
              <w:t>Average position</w:t>
            </w:r>
          </w:p>
        </w:tc>
        <w:tc>
          <w:tcPr>
            <w:tcW w:w="1256" w:type="dxa"/>
            <w:vAlign w:val="center"/>
          </w:tcPr>
          <w:p w14:paraId="0F1CE193" w14:textId="77777777" w:rsidR="00905AEC" w:rsidRPr="002F5EF5" w:rsidRDefault="00905AEC" w:rsidP="00F77D41">
            <w:pPr>
              <w:jc w:val="center"/>
              <w:rPr>
                <w:sz w:val="22"/>
                <w:szCs w:val="22"/>
                <w:lang w:val="en-US"/>
              </w:rPr>
            </w:pPr>
            <w:r w:rsidRPr="002F5EF5">
              <w:rPr>
                <w:rFonts w:eastAsia="Times New Roman"/>
                <w:sz w:val="22"/>
                <w:szCs w:val="22"/>
              </w:rPr>
              <w:t>1.35</w:t>
            </w:r>
          </w:p>
        </w:tc>
        <w:tc>
          <w:tcPr>
            <w:tcW w:w="1256" w:type="dxa"/>
            <w:vAlign w:val="center"/>
          </w:tcPr>
          <w:p w14:paraId="62067E18" w14:textId="77777777" w:rsidR="00905AEC" w:rsidRPr="002F5EF5" w:rsidRDefault="00905AEC" w:rsidP="00F77D41">
            <w:pPr>
              <w:jc w:val="center"/>
              <w:rPr>
                <w:sz w:val="22"/>
                <w:szCs w:val="22"/>
                <w:lang w:val="en-US"/>
              </w:rPr>
            </w:pPr>
            <w:r w:rsidRPr="002F5EF5">
              <w:rPr>
                <w:rFonts w:eastAsia="Times New Roman"/>
                <w:sz w:val="22"/>
                <w:szCs w:val="22"/>
              </w:rPr>
              <w:t>1.56</w:t>
            </w:r>
          </w:p>
        </w:tc>
        <w:tc>
          <w:tcPr>
            <w:tcW w:w="1256" w:type="dxa"/>
            <w:vAlign w:val="center"/>
          </w:tcPr>
          <w:p w14:paraId="2E2059AD" w14:textId="77777777" w:rsidR="00905AEC" w:rsidRPr="002F5EF5" w:rsidRDefault="00905AEC" w:rsidP="00F77D41">
            <w:pPr>
              <w:jc w:val="center"/>
              <w:rPr>
                <w:sz w:val="22"/>
                <w:szCs w:val="22"/>
                <w:lang w:val="en-US"/>
              </w:rPr>
            </w:pPr>
            <w:r w:rsidRPr="002F5EF5">
              <w:rPr>
                <w:rFonts w:eastAsia="Times New Roman"/>
                <w:sz w:val="22"/>
                <w:szCs w:val="22"/>
              </w:rPr>
              <w:t>2.91</w:t>
            </w:r>
          </w:p>
        </w:tc>
        <w:tc>
          <w:tcPr>
            <w:tcW w:w="1256" w:type="dxa"/>
            <w:vAlign w:val="center"/>
          </w:tcPr>
          <w:p w14:paraId="2A1D1E76" w14:textId="77777777" w:rsidR="00905AEC" w:rsidRPr="002F5EF5" w:rsidRDefault="00905AEC" w:rsidP="00F77D41">
            <w:pPr>
              <w:jc w:val="center"/>
              <w:rPr>
                <w:sz w:val="22"/>
                <w:szCs w:val="22"/>
                <w:lang w:val="en-US"/>
              </w:rPr>
            </w:pPr>
            <w:r w:rsidRPr="002F5EF5">
              <w:rPr>
                <w:rFonts w:eastAsia="Times New Roman"/>
                <w:sz w:val="22"/>
                <w:szCs w:val="22"/>
              </w:rPr>
              <w:t>3.88</w:t>
            </w:r>
          </w:p>
        </w:tc>
        <w:tc>
          <w:tcPr>
            <w:tcW w:w="1257" w:type="dxa"/>
            <w:vAlign w:val="center"/>
          </w:tcPr>
          <w:p w14:paraId="3A265BD3" w14:textId="77777777" w:rsidR="00905AEC" w:rsidRPr="002F5EF5" w:rsidRDefault="00905AEC" w:rsidP="00F77D41">
            <w:pPr>
              <w:jc w:val="center"/>
              <w:rPr>
                <w:sz w:val="22"/>
                <w:szCs w:val="22"/>
                <w:lang w:val="en-US"/>
              </w:rPr>
            </w:pPr>
            <w:r w:rsidRPr="002F5EF5">
              <w:rPr>
                <w:rFonts w:eastAsia="Times New Roman"/>
                <w:sz w:val="22"/>
                <w:szCs w:val="22"/>
              </w:rPr>
              <w:t>4.21</w:t>
            </w:r>
          </w:p>
        </w:tc>
      </w:tr>
      <w:tr w:rsidR="00905AEC" w:rsidRPr="002F5EF5" w14:paraId="2C6D51AF" w14:textId="77777777" w:rsidTr="00F77D41">
        <w:tc>
          <w:tcPr>
            <w:tcW w:w="2235" w:type="dxa"/>
          </w:tcPr>
          <w:p w14:paraId="7277DD8A" w14:textId="77777777" w:rsidR="00905AEC" w:rsidRPr="002F5EF5" w:rsidRDefault="00905AEC" w:rsidP="00F77D41">
            <w:pPr>
              <w:rPr>
                <w:sz w:val="22"/>
                <w:szCs w:val="22"/>
                <w:lang w:val="en-US"/>
              </w:rPr>
            </w:pPr>
            <w:r w:rsidRPr="002F5EF5">
              <w:rPr>
                <w:sz w:val="22"/>
                <w:szCs w:val="22"/>
                <w:lang w:val="en-US"/>
              </w:rPr>
              <w:t>Distinctiveness: mean distance with competitors</w:t>
            </w:r>
          </w:p>
        </w:tc>
        <w:tc>
          <w:tcPr>
            <w:tcW w:w="1256" w:type="dxa"/>
            <w:vAlign w:val="center"/>
          </w:tcPr>
          <w:p w14:paraId="7B7ADA1C" w14:textId="77777777" w:rsidR="00905AEC" w:rsidRPr="002F5EF5" w:rsidRDefault="00905AEC" w:rsidP="00F77D41">
            <w:pPr>
              <w:jc w:val="center"/>
              <w:rPr>
                <w:sz w:val="22"/>
                <w:szCs w:val="22"/>
                <w:lang w:val="en-US"/>
              </w:rPr>
            </w:pPr>
            <w:r w:rsidRPr="002F5EF5">
              <w:rPr>
                <w:rFonts w:eastAsia="Times New Roman"/>
                <w:sz w:val="22"/>
                <w:szCs w:val="22"/>
              </w:rPr>
              <w:t>1.79</w:t>
            </w:r>
          </w:p>
        </w:tc>
        <w:tc>
          <w:tcPr>
            <w:tcW w:w="1256" w:type="dxa"/>
            <w:vAlign w:val="center"/>
          </w:tcPr>
          <w:p w14:paraId="330E626D" w14:textId="77777777" w:rsidR="00905AEC" w:rsidRPr="002F5EF5" w:rsidRDefault="00905AEC" w:rsidP="00F77D41">
            <w:pPr>
              <w:jc w:val="center"/>
              <w:rPr>
                <w:sz w:val="22"/>
                <w:szCs w:val="22"/>
                <w:lang w:val="en-US"/>
              </w:rPr>
            </w:pPr>
            <w:r w:rsidRPr="002F5EF5">
              <w:rPr>
                <w:rFonts w:eastAsia="Times New Roman"/>
                <w:sz w:val="22"/>
                <w:szCs w:val="22"/>
              </w:rPr>
              <w:t>1.64</w:t>
            </w:r>
          </w:p>
        </w:tc>
        <w:tc>
          <w:tcPr>
            <w:tcW w:w="1256" w:type="dxa"/>
            <w:vAlign w:val="center"/>
          </w:tcPr>
          <w:p w14:paraId="49E2CBFC" w14:textId="77777777" w:rsidR="00905AEC" w:rsidRPr="002F5EF5" w:rsidRDefault="00905AEC" w:rsidP="00F77D41">
            <w:pPr>
              <w:jc w:val="center"/>
              <w:rPr>
                <w:sz w:val="22"/>
                <w:szCs w:val="22"/>
                <w:lang w:val="en-US"/>
              </w:rPr>
            </w:pPr>
            <w:r w:rsidRPr="002F5EF5">
              <w:rPr>
                <w:rFonts w:eastAsia="Times New Roman"/>
                <w:sz w:val="22"/>
                <w:szCs w:val="22"/>
              </w:rPr>
              <w:t>1.30</w:t>
            </w:r>
          </w:p>
        </w:tc>
        <w:tc>
          <w:tcPr>
            <w:tcW w:w="1256" w:type="dxa"/>
            <w:vAlign w:val="center"/>
          </w:tcPr>
          <w:p w14:paraId="1CB85AF7" w14:textId="77777777" w:rsidR="00905AEC" w:rsidRPr="002F5EF5" w:rsidRDefault="00905AEC" w:rsidP="00F77D41">
            <w:pPr>
              <w:jc w:val="center"/>
              <w:rPr>
                <w:sz w:val="22"/>
                <w:szCs w:val="22"/>
                <w:lang w:val="en-US"/>
              </w:rPr>
            </w:pPr>
            <w:r w:rsidRPr="002F5EF5">
              <w:rPr>
                <w:rFonts w:eastAsia="Times New Roman"/>
                <w:sz w:val="22"/>
                <w:szCs w:val="22"/>
              </w:rPr>
              <w:t>1.54</w:t>
            </w:r>
          </w:p>
        </w:tc>
        <w:tc>
          <w:tcPr>
            <w:tcW w:w="1257" w:type="dxa"/>
            <w:vAlign w:val="center"/>
          </w:tcPr>
          <w:p w14:paraId="67867617" w14:textId="77777777" w:rsidR="00905AEC" w:rsidRPr="002F5EF5" w:rsidRDefault="00905AEC" w:rsidP="00F77D41">
            <w:pPr>
              <w:jc w:val="center"/>
              <w:rPr>
                <w:sz w:val="22"/>
                <w:szCs w:val="22"/>
                <w:lang w:val="en-US"/>
              </w:rPr>
            </w:pPr>
            <w:r w:rsidRPr="002F5EF5">
              <w:rPr>
                <w:rFonts w:eastAsia="Times New Roman"/>
                <w:sz w:val="22"/>
                <w:szCs w:val="22"/>
              </w:rPr>
              <w:t>1.79</w:t>
            </w:r>
          </w:p>
        </w:tc>
      </w:tr>
      <w:tr w:rsidR="00905AEC" w:rsidRPr="002F5EF5" w14:paraId="4F2F0BFB" w14:textId="77777777" w:rsidTr="00F77D41">
        <w:tc>
          <w:tcPr>
            <w:tcW w:w="2235" w:type="dxa"/>
          </w:tcPr>
          <w:p w14:paraId="78E36DAE" w14:textId="77777777" w:rsidR="00905AEC" w:rsidRPr="002F5EF5" w:rsidRDefault="00905AEC" w:rsidP="00F77D41">
            <w:pPr>
              <w:rPr>
                <w:sz w:val="22"/>
                <w:szCs w:val="22"/>
                <w:lang w:val="en-US"/>
              </w:rPr>
            </w:pPr>
            <w:r w:rsidRPr="002F5EF5">
              <w:rPr>
                <w:sz w:val="22"/>
                <w:szCs w:val="22"/>
                <w:lang w:val="en-US"/>
              </w:rPr>
              <w:t>Internal unity: agreement index</w:t>
            </w:r>
          </w:p>
        </w:tc>
        <w:tc>
          <w:tcPr>
            <w:tcW w:w="1256" w:type="dxa"/>
            <w:vAlign w:val="center"/>
          </w:tcPr>
          <w:p w14:paraId="47F39483" w14:textId="77777777" w:rsidR="00905AEC" w:rsidRPr="002F5EF5" w:rsidRDefault="00905AEC" w:rsidP="00F77D41">
            <w:pPr>
              <w:jc w:val="center"/>
              <w:rPr>
                <w:sz w:val="22"/>
                <w:szCs w:val="22"/>
                <w:lang w:val="en-US"/>
              </w:rPr>
            </w:pPr>
            <w:r w:rsidRPr="002F5EF5">
              <w:rPr>
                <w:rFonts w:eastAsia="Times New Roman"/>
                <w:sz w:val="22"/>
                <w:szCs w:val="22"/>
              </w:rPr>
              <w:t>0.83</w:t>
            </w:r>
          </w:p>
        </w:tc>
        <w:tc>
          <w:tcPr>
            <w:tcW w:w="1256" w:type="dxa"/>
            <w:vAlign w:val="center"/>
          </w:tcPr>
          <w:p w14:paraId="6695396F" w14:textId="77777777" w:rsidR="00905AEC" w:rsidRPr="002F5EF5" w:rsidRDefault="00905AEC" w:rsidP="00F77D41">
            <w:pPr>
              <w:jc w:val="center"/>
              <w:rPr>
                <w:sz w:val="22"/>
                <w:szCs w:val="22"/>
                <w:lang w:val="en-US"/>
              </w:rPr>
            </w:pPr>
            <w:r w:rsidRPr="002F5EF5">
              <w:rPr>
                <w:rFonts w:eastAsia="Times New Roman"/>
                <w:sz w:val="22"/>
                <w:szCs w:val="22"/>
              </w:rPr>
              <w:t>0.72</w:t>
            </w:r>
          </w:p>
        </w:tc>
        <w:tc>
          <w:tcPr>
            <w:tcW w:w="1256" w:type="dxa"/>
            <w:vAlign w:val="center"/>
          </w:tcPr>
          <w:p w14:paraId="05C93AFC" w14:textId="77777777" w:rsidR="00905AEC" w:rsidRPr="002F5EF5" w:rsidRDefault="00905AEC" w:rsidP="00F77D41">
            <w:pPr>
              <w:jc w:val="center"/>
              <w:rPr>
                <w:sz w:val="22"/>
                <w:szCs w:val="22"/>
                <w:lang w:val="en-US"/>
              </w:rPr>
            </w:pPr>
            <w:r w:rsidRPr="002F5EF5">
              <w:rPr>
                <w:rFonts w:eastAsia="Times New Roman"/>
                <w:sz w:val="22"/>
                <w:szCs w:val="22"/>
              </w:rPr>
              <w:t>0.41</w:t>
            </w:r>
          </w:p>
        </w:tc>
        <w:tc>
          <w:tcPr>
            <w:tcW w:w="1256" w:type="dxa"/>
            <w:vAlign w:val="center"/>
          </w:tcPr>
          <w:p w14:paraId="13E878FE" w14:textId="77777777" w:rsidR="00905AEC" w:rsidRPr="002F5EF5" w:rsidRDefault="00905AEC" w:rsidP="00F77D41">
            <w:pPr>
              <w:jc w:val="center"/>
              <w:rPr>
                <w:sz w:val="22"/>
                <w:szCs w:val="22"/>
                <w:lang w:val="en-US"/>
              </w:rPr>
            </w:pPr>
            <w:r w:rsidRPr="002F5EF5">
              <w:rPr>
                <w:rFonts w:eastAsia="Times New Roman"/>
                <w:sz w:val="22"/>
                <w:szCs w:val="22"/>
              </w:rPr>
              <w:t>0.44</w:t>
            </w:r>
          </w:p>
        </w:tc>
        <w:tc>
          <w:tcPr>
            <w:tcW w:w="1257" w:type="dxa"/>
            <w:vAlign w:val="center"/>
          </w:tcPr>
          <w:p w14:paraId="58765887" w14:textId="77777777" w:rsidR="00905AEC" w:rsidRPr="002F5EF5" w:rsidRDefault="00905AEC" w:rsidP="00F77D41">
            <w:pPr>
              <w:jc w:val="center"/>
              <w:rPr>
                <w:sz w:val="22"/>
                <w:szCs w:val="22"/>
                <w:lang w:val="en-US"/>
              </w:rPr>
            </w:pPr>
            <w:r w:rsidRPr="002F5EF5">
              <w:rPr>
                <w:rFonts w:eastAsia="Times New Roman"/>
                <w:sz w:val="22"/>
                <w:szCs w:val="22"/>
              </w:rPr>
              <w:t>0.60</w:t>
            </w:r>
          </w:p>
        </w:tc>
      </w:tr>
      <w:tr w:rsidR="00905AEC" w:rsidRPr="002F5EF5" w14:paraId="7C09DEF0" w14:textId="77777777" w:rsidTr="00F77D41">
        <w:tc>
          <w:tcPr>
            <w:tcW w:w="2235" w:type="dxa"/>
          </w:tcPr>
          <w:p w14:paraId="5AEB8D53" w14:textId="77777777" w:rsidR="00905AEC" w:rsidRPr="002F5EF5" w:rsidRDefault="00905AEC" w:rsidP="00F77D41">
            <w:pPr>
              <w:rPr>
                <w:i/>
                <w:sz w:val="22"/>
                <w:szCs w:val="22"/>
                <w:lang w:val="en-US"/>
              </w:rPr>
            </w:pPr>
            <w:r w:rsidRPr="002F5EF5">
              <w:rPr>
                <w:i/>
                <w:sz w:val="22"/>
                <w:szCs w:val="22"/>
                <w:lang w:val="en-US"/>
              </w:rPr>
              <w:t>Average between distance and agreement</w:t>
            </w:r>
          </w:p>
        </w:tc>
        <w:tc>
          <w:tcPr>
            <w:tcW w:w="1256" w:type="dxa"/>
            <w:vAlign w:val="center"/>
          </w:tcPr>
          <w:p w14:paraId="19998DA2" w14:textId="77777777" w:rsidR="00905AEC" w:rsidRPr="002F5EF5" w:rsidRDefault="00905AEC" w:rsidP="00F77D41">
            <w:pPr>
              <w:jc w:val="center"/>
              <w:rPr>
                <w:i/>
                <w:sz w:val="22"/>
                <w:szCs w:val="22"/>
              </w:rPr>
            </w:pPr>
            <w:r w:rsidRPr="002F5EF5">
              <w:rPr>
                <w:rFonts w:eastAsia="Times New Roman"/>
                <w:sz w:val="22"/>
                <w:szCs w:val="22"/>
              </w:rPr>
              <w:t>1.31</w:t>
            </w:r>
          </w:p>
        </w:tc>
        <w:tc>
          <w:tcPr>
            <w:tcW w:w="1256" w:type="dxa"/>
            <w:vAlign w:val="center"/>
          </w:tcPr>
          <w:p w14:paraId="32DB4995" w14:textId="77777777" w:rsidR="00905AEC" w:rsidRPr="002F5EF5" w:rsidRDefault="00905AEC" w:rsidP="00F77D41">
            <w:pPr>
              <w:jc w:val="center"/>
              <w:rPr>
                <w:i/>
                <w:sz w:val="22"/>
                <w:szCs w:val="22"/>
              </w:rPr>
            </w:pPr>
            <w:r w:rsidRPr="002F5EF5">
              <w:rPr>
                <w:rFonts w:eastAsia="Times New Roman"/>
                <w:sz w:val="22"/>
                <w:szCs w:val="22"/>
              </w:rPr>
              <w:t>1.18</w:t>
            </w:r>
          </w:p>
        </w:tc>
        <w:tc>
          <w:tcPr>
            <w:tcW w:w="1256" w:type="dxa"/>
            <w:vAlign w:val="center"/>
          </w:tcPr>
          <w:p w14:paraId="21A2A8C8" w14:textId="77777777" w:rsidR="00905AEC" w:rsidRPr="002F5EF5" w:rsidRDefault="00905AEC" w:rsidP="00F77D41">
            <w:pPr>
              <w:jc w:val="center"/>
              <w:rPr>
                <w:i/>
                <w:sz w:val="22"/>
                <w:szCs w:val="22"/>
              </w:rPr>
            </w:pPr>
            <w:r w:rsidRPr="002F5EF5">
              <w:rPr>
                <w:rFonts w:eastAsia="Times New Roman"/>
                <w:sz w:val="22"/>
                <w:szCs w:val="22"/>
              </w:rPr>
              <w:t>0.86</w:t>
            </w:r>
          </w:p>
        </w:tc>
        <w:tc>
          <w:tcPr>
            <w:tcW w:w="1256" w:type="dxa"/>
            <w:vAlign w:val="center"/>
          </w:tcPr>
          <w:p w14:paraId="7831B75A" w14:textId="77777777" w:rsidR="00905AEC" w:rsidRPr="002F5EF5" w:rsidRDefault="00905AEC" w:rsidP="00F77D41">
            <w:pPr>
              <w:jc w:val="center"/>
              <w:rPr>
                <w:i/>
                <w:sz w:val="22"/>
                <w:szCs w:val="22"/>
              </w:rPr>
            </w:pPr>
            <w:r w:rsidRPr="002F5EF5">
              <w:rPr>
                <w:rFonts w:eastAsia="Times New Roman"/>
                <w:sz w:val="22"/>
                <w:szCs w:val="22"/>
              </w:rPr>
              <w:t>0.99</w:t>
            </w:r>
          </w:p>
        </w:tc>
        <w:tc>
          <w:tcPr>
            <w:tcW w:w="1257" w:type="dxa"/>
            <w:vAlign w:val="center"/>
          </w:tcPr>
          <w:p w14:paraId="2653E877" w14:textId="77777777" w:rsidR="00905AEC" w:rsidRPr="002F5EF5" w:rsidRDefault="00905AEC" w:rsidP="00F77D41">
            <w:pPr>
              <w:jc w:val="center"/>
              <w:rPr>
                <w:i/>
                <w:sz w:val="22"/>
                <w:szCs w:val="22"/>
              </w:rPr>
            </w:pPr>
            <w:r w:rsidRPr="002F5EF5">
              <w:rPr>
                <w:rFonts w:eastAsia="Times New Roman"/>
                <w:sz w:val="22"/>
                <w:szCs w:val="22"/>
              </w:rPr>
              <w:t>1.20</w:t>
            </w:r>
          </w:p>
        </w:tc>
      </w:tr>
      <w:tr w:rsidR="00905AEC" w:rsidRPr="002F5EF5" w14:paraId="1B487EB8" w14:textId="77777777" w:rsidTr="00F77D41">
        <w:tc>
          <w:tcPr>
            <w:tcW w:w="2235" w:type="dxa"/>
          </w:tcPr>
          <w:p w14:paraId="21BAA8DB" w14:textId="77777777" w:rsidR="00905AEC" w:rsidRPr="002F5EF5" w:rsidRDefault="00905AEC" w:rsidP="00F77D41">
            <w:pPr>
              <w:rPr>
                <w:i/>
                <w:sz w:val="22"/>
                <w:szCs w:val="22"/>
                <w:lang w:val="en-US"/>
              </w:rPr>
            </w:pPr>
            <w:r w:rsidRPr="002F5EF5">
              <w:rPr>
                <w:i/>
                <w:sz w:val="22"/>
                <w:szCs w:val="22"/>
                <w:lang w:val="en-US"/>
              </w:rPr>
              <w:t>Clarity of profile</w:t>
            </w:r>
          </w:p>
        </w:tc>
        <w:tc>
          <w:tcPr>
            <w:tcW w:w="1256" w:type="dxa"/>
            <w:vAlign w:val="center"/>
          </w:tcPr>
          <w:p w14:paraId="10ECA337" w14:textId="77777777" w:rsidR="00905AEC" w:rsidRPr="002F5EF5" w:rsidRDefault="00905AEC" w:rsidP="00F77D41">
            <w:pPr>
              <w:jc w:val="center"/>
              <w:rPr>
                <w:i/>
                <w:sz w:val="22"/>
                <w:szCs w:val="22"/>
                <w:lang w:val="en-US"/>
              </w:rPr>
            </w:pPr>
            <w:r w:rsidRPr="002F5EF5">
              <w:rPr>
                <w:i/>
                <w:sz w:val="22"/>
                <w:szCs w:val="22"/>
                <w:lang w:val="en-US"/>
              </w:rPr>
              <w:t>high</w:t>
            </w:r>
          </w:p>
        </w:tc>
        <w:tc>
          <w:tcPr>
            <w:tcW w:w="1256" w:type="dxa"/>
            <w:vAlign w:val="center"/>
          </w:tcPr>
          <w:p w14:paraId="613E3DA9" w14:textId="77777777" w:rsidR="00905AEC" w:rsidRPr="002F5EF5" w:rsidRDefault="00905AEC" w:rsidP="00F77D41">
            <w:pPr>
              <w:jc w:val="center"/>
              <w:rPr>
                <w:i/>
                <w:sz w:val="22"/>
                <w:szCs w:val="22"/>
                <w:lang w:val="en-US"/>
              </w:rPr>
            </w:pPr>
            <w:r w:rsidRPr="002F5EF5">
              <w:rPr>
                <w:i/>
                <w:sz w:val="22"/>
                <w:szCs w:val="22"/>
                <w:lang w:val="en-US"/>
              </w:rPr>
              <w:t>high</w:t>
            </w:r>
          </w:p>
        </w:tc>
        <w:tc>
          <w:tcPr>
            <w:tcW w:w="1256" w:type="dxa"/>
            <w:vAlign w:val="center"/>
          </w:tcPr>
          <w:p w14:paraId="2BD05D94" w14:textId="77777777" w:rsidR="00905AEC" w:rsidRPr="002F5EF5" w:rsidRDefault="00905AEC" w:rsidP="00F77D41">
            <w:pPr>
              <w:jc w:val="center"/>
              <w:rPr>
                <w:i/>
                <w:sz w:val="22"/>
                <w:szCs w:val="22"/>
                <w:lang w:val="en-US"/>
              </w:rPr>
            </w:pPr>
            <w:r w:rsidRPr="002F5EF5">
              <w:rPr>
                <w:i/>
                <w:sz w:val="22"/>
                <w:szCs w:val="22"/>
                <w:lang w:val="en-US"/>
              </w:rPr>
              <w:t>low</w:t>
            </w:r>
          </w:p>
        </w:tc>
        <w:tc>
          <w:tcPr>
            <w:tcW w:w="1256" w:type="dxa"/>
            <w:vAlign w:val="center"/>
          </w:tcPr>
          <w:p w14:paraId="73A2C0CB" w14:textId="77777777" w:rsidR="00905AEC" w:rsidRPr="002F5EF5" w:rsidRDefault="00905AEC" w:rsidP="00F77D41">
            <w:pPr>
              <w:jc w:val="center"/>
              <w:rPr>
                <w:i/>
                <w:sz w:val="22"/>
                <w:szCs w:val="22"/>
                <w:lang w:val="en-US"/>
              </w:rPr>
            </w:pPr>
            <w:r w:rsidRPr="002F5EF5">
              <w:rPr>
                <w:i/>
                <w:sz w:val="22"/>
                <w:szCs w:val="22"/>
                <w:lang w:val="en-US"/>
              </w:rPr>
              <w:t>moderate</w:t>
            </w:r>
          </w:p>
        </w:tc>
        <w:tc>
          <w:tcPr>
            <w:tcW w:w="1257" w:type="dxa"/>
            <w:vAlign w:val="center"/>
          </w:tcPr>
          <w:p w14:paraId="45CB1745" w14:textId="77777777" w:rsidR="00905AEC" w:rsidRPr="002F5EF5" w:rsidRDefault="00905AEC" w:rsidP="00F77D41">
            <w:pPr>
              <w:jc w:val="center"/>
              <w:rPr>
                <w:i/>
                <w:sz w:val="22"/>
                <w:szCs w:val="22"/>
                <w:lang w:val="en-US"/>
              </w:rPr>
            </w:pPr>
            <w:r w:rsidRPr="002F5EF5">
              <w:rPr>
                <w:i/>
                <w:sz w:val="22"/>
                <w:szCs w:val="22"/>
                <w:lang w:val="en-US"/>
              </w:rPr>
              <w:t>high</w:t>
            </w:r>
          </w:p>
        </w:tc>
      </w:tr>
    </w:tbl>
    <w:p w14:paraId="47322BB7" w14:textId="77777777" w:rsidR="00905AEC" w:rsidRPr="002F5EF5" w:rsidRDefault="00905AEC" w:rsidP="00905AEC">
      <w:pPr>
        <w:spacing w:line="360" w:lineRule="auto"/>
        <w:rPr>
          <w:lang w:val="en-US"/>
        </w:rPr>
      </w:pPr>
      <w:r w:rsidRPr="002F5EF5">
        <w:rPr>
          <w:sz w:val="20"/>
          <w:szCs w:val="20"/>
          <w:lang w:val="en-US"/>
        </w:rPr>
        <w:t>Note: The redistributive issue scale ranges from 1 ("fully in favor of redistribution") to 5 ("fully against").</w:t>
      </w:r>
    </w:p>
    <w:p w14:paraId="6AC3E145" w14:textId="77777777" w:rsidR="00905AEC" w:rsidRPr="002F5EF5" w:rsidRDefault="00905AEC" w:rsidP="00905AEC">
      <w:pPr>
        <w:spacing w:line="480" w:lineRule="auto"/>
        <w:jc w:val="both"/>
        <w:rPr>
          <w:lang w:val="en-US"/>
        </w:rPr>
      </w:pPr>
    </w:p>
    <w:p w14:paraId="77A61371" w14:textId="77777777" w:rsidR="00905AEC" w:rsidRPr="002F5EF5" w:rsidRDefault="00905AEC" w:rsidP="00905AEC">
      <w:pPr>
        <w:spacing w:line="480" w:lineRule="auto"/>
        <w:jc w:val="both"/>
        <w:rPr>
          <w:lang w:val="en-US"/>
        </w:rPr>
      </w:pPr>
      <w:r w:rsidRPr="002F5EF5">
        <w:rPr>
          <w:rFonts w:eastAsia="Times New Roman"/>
          <w:lang w:val="en-US"/>
        </w:rPr>
        <w:lastRenderedPageBreak/>
        <w:t>On</w:t>
      </w:r>
      <w:r w:rsidRPr="002F5EF5">
        <w:rPr>
          <w:rFonts w:eastAsia="Times New Roman"/>
          <w:spacing w:val="2"/>
          <w:lang w:val="en-US"/>
        </w:rPr>
        <w:t xml:space="preserve"> </w:t>
      </w:r>
      <w:r w:rsidRPr="002F5EF5">
        <w:rPr>
          <w:rFonts w:eastAsia="Times New Roman"/>
          <w:lang w:val="en-US"/>
        </w:rPr>
        <w:t>the</w:t>
      </w:r>
      <w:r w:rsidRPr="002F5EF5">
        <w:rPr>
          <w:rFonts w:eastAsia="Times New Roman"/>
          <w:spacing w:val="2"/>
          <w:lang w:val="en-US"/>
        </w:rPr>
        <w:t xml:space="preserve"> </w:t>
      </w:r>
      <w:r w:rsidRPr="002F5EF5">
        <w:rPr>
          <w:rFonts w:eastAsia="Times New Roman"/>
          <w:lang w:val="en-US"/>
        </w:rPr>
        <w:t>redi</w:t>
      </w:r>
      <w:r w:rsidRPr="002F5EF5">
        <w:rPr>
          <w:rFonts w:eastAsia="Times New Roman"/>
          <w:spacing w:val="-1"/>
          <w:lang w:val="en-US"/>
        </w:rPr>
        <w:t>s</w:t>
      </w:r>
      <w:r w:rsidRPr="002F5EF5">
        <w:rPr>
          <w:rFonts w:eastAsia="Times New Roman"/>
          <w:lang w:val="en-US"/>
        </w:rPr>
        <w:t>trib</w:t>
      </w:r>
      <w:r w:rsidRPr="002F5EF5">
        <w:rPr>
          <w:rFonts w:eastAsia="Times New Roman"/>
          <w:spacing w:val="-1"/>
          <w:lang w:val="en-US"/>
        </w:rPr>
        <w:t>u</w:t>
      </w:r>
      <w:r w:rsidRPr="002F5EF5">
        <w:rPr>
          <w:rFonts w:eastAsia="Times New Roman"/>
          <w:lang w:val="en-US"/>
        </w:rPr>
        <w:t>tion</w:t>
      </w:r>
      <w:r w:rsidRPr="002F5EF5">
        <w:rPr>
          <w:rFonts w:eastAsia="Times New Roman"/>
          <w:spacing w:val="2"/>
          <w:lang w:val="en-US"/>
        </w:rPr>
        <w:t xml:space="preserve"> </w:t>
      </w:r>
      <w:r w:rsidRPr="002F5EF5">
        <w:rPr>
          <w:rFonts w:eastAsia="Times New Roman"/>
          <w:lang w:val="en-US"/>
        </w:rPr>
        <w:t>is</w:t>
      </w:r>
      <w:r w:rsidRPr="002F5EF5">
        <w:rPr>
          <w:rFonts w:eastAsia="Times New Roman"/>
          <w:spacing w:val="-1"/>
          <w:lang w:val="en-US"/>
        </w:rPr>
        <w:t>s</w:t>
      </w:r>
      <w:r w:rsidRPr="002F5EF5">
        <w:rPr>
          <w:rFonts w:eastAsia="Times New Roman"/>
          <w:lang w:val="en-US"/>
        </w:rPr>
        <w:t>ue</w:t>
      </w:r>
      <w:r w:rsidRPr="002F5EF5">
        <w:rPr>
          <w:rFonts w:eastAsia="Times New Roman"/>
          <w:spacing w:val="2"/>
          <w:lang w:val="en-US"/>
        </w:rPr>
        <w:t xml:space="preserve"> </w:t>
      </w:r>
      <w:r w:rsidRPr="002F5EF5">
        <w:rPr>
          <w:rFonts w:eastAsia="Times New Roman"/>
          <w:lang w:val="en-US"/>
        </w:rPr>
        <w:t>it</w:t>
      </w:r>
      <w:r w:rsidRPr="002F5EF5">
        <w:rPr>
          <w:rFonts w:eastAsia="Times New Roman"/>
          <w:spacing w:val="2"/>
          <w:lang w:val="en-US"/>
        </w:rPr>
        <w:t xml:space="preserve"> </w:t>
      </w:r>
      <w:r w:rsidRPr="002F5EF5">
        <w:rPr>
          <w:rFonts w:eastAsia="Times New Roman"/>
          <w:lang w:val="en-US"/>
        </w:rPr>
        <w:t>is</w:t>
      </w:r>
      <w:r w:rsidRPr="002F5EF5">
        <w:rPr>
          <w:rFonts w:eastAsia="Times New Roman"/>
          <w:spacing w:val="2"/>
          <w:lang w:val="en-US"/>
        </w:rPr>
        <w:t xml:space="preserve"> </w:t>
      </w:r>
      <w:r w:rsidRPr="002F5EF5">
        <w:rPr>
          <w:rFonts w:eastAsia="Times New Roman"/>
          <w:lang w:val="en-US"/>
        </w:rPr>
        <w:t>the</w:t>
      </w:r>
      <w:r w:rsidRPr="002F5EF5">
        <w:rPr>
          <w:rFonts w:eastAsia="Times New Roman"/>
          <w:spacing w:val="2"/>
          <w:lang w:val="en-US"/>
        </w:rPr>
        <w:t xml:space="preserve"> </w:t>
      </w:r>
      <w:r w:rsidRPr="002F5EF5">
        <w:rPr>
          <w:rFonts w:eastAsia="Times New Roman"/>
          <w:spacing w:val="-1"/>
          <w:lang w:val="en-US"/>
        </w:rPr>
        <w:t>S</w:t>
      </w:r>
      <w:r w:rsidRPr="002F5EF5">
        <w:rPr>
          <w:rFonts w:eastAsia="Times New Roman"/>
          <w:lang w:val="en-US"/>
        </w:rPr>
        <w:t>ocial</w:t>
      </w:r>
      <w:r w:rsidRPr="002F5EF5">
        <w:rPr>
          <w:rFonts w:eastAsia="Times New Roman"/>
          <w:spacing w:val="2"/>
          <w:lang w:val="en-US"/>
        </w:rPr>
        <w:t xml:space="preserve"> </w:t>
      </w:r>
      <w:r w:rsidRPr="002F5EF5">
        <w:rPr>
          <w:rFonts w:eastAsia="Times New Roman"/>
          <w:lang w:val="en-US"/>
        </w:rPr>
        <w:t>De</w:t>
      </w:r>
      <w:r w:rsidRPr="002F5EF5">
        <w:rPr>
          <w:rFonts w:eastAsia="Times New Roman"/>
          <w:spacing w:val="-2"/>
          <w:lang w:val="en-US"/>
        </w:rPr>
        <w:t>m</w:t>
      </w:r>
      <w:r w:rsidRPr="002F5EF5">
        <w:rPr>
          <w:rFonts w:eastAsia="Times New Roman"/>
          <w:lang w:val="en-US"/>
        </w:rPr>
        <w:t>ocratic</w:t>
      </w:r>
      <w:r w:rsidRPr="002F5EF5">
        <w:rPr>
          <w:rFonts w:eastAsia="Times New Roman"/>
          <w:spacing w:val="2"/>
          <w:lang w:val="en-US"/>
        </w:rPr>
        <w:t xml:space="preserve"> </w:t>
      </w:r>
      <w:r w:rsidRPr="002F5EF5">
        <w:rPr>
          <w:rFonts w:eastAsia="Times New Roman"/>
          <w:lang w:val="en-US"/>
        </w:rPr>
        <w:t>party</w:t>
      </w:r>
      <w:r w:rsidRPr="002F5EF5">
        <w:rPr>
          <w:rFonts w:eastAsia="Times New Roman"/>
          <w:spacing w:val="2"/>
          <w:lang w:val="en-US"/>
        </w:rPr>
        <w:t xml:space="preserve"> </w:t>
      </w:r>
      <w:r w:rsidRPr="002F5EF5">
        <w:rPr>
          <w:rFonts w:eastAsia="Times New Roman"/>
          <w:lang w:val="en-US"/>
        </w:rPr>
        <w:t>that</w:t>
      </w:r>
      <w:r w:rsidRPr="002F5EF5">
        <w:rPr>
          <w:rFonts w:eastAsia="Times New Roman"/>
          <w:spacing w:val="2"/>
          <w:lang w:val="en-US"/>
        </w:rPr>
        <w:t xml:space="preserve"> </w:t>
      </w:r>
      <w:r w:rsidRPr="002F5EF5">
        <w:rPr>
          <w:rFonts w:eastAsia="Times New Roman"/>
          <w:lang w:val="en-US"/>
        </w:rPr>
        <w:t>exhibits the</w:t>
      </w:r>
      <w:r w:rsidRPr="002F5EF5">
        <w:rPr>
          <w:rFonts w:eastAsia="Times New Roman"/>
          <w:spacing w:val="1"/>
          <w:lang w:val="en-US"/>
        </w:rPr>
        <w:t xml:space="preserve"> </w:t>
      </w:r>
      <w:r w:rsidRPr="002F5EF5">
        <w:rPr>
          <w:rFonts w:eastAsia="Times New Roman"/>
          <w:lang w:val="en-US"/>
        </w:rPr>
        <w:t>clearest</w:t>
      </w:r>
      <w:r w:rsidRPr="002F5EF5">
        <w:rPr>
          <w:rFonts w:eastAsia="Times New Roman"/>
          <w:spacing w:val="1"/>
          <w:lang w:val="en-US"/>
        </w:rPr>
        <w:t xml:space="preserve"> </w:t>
      </w:r>
      <w:r w:rsidRPr="002F5EF5">
        <w:rPr>
          <w:rFonts w:eastAsia="Times New Roman"/>
          <w:lang w:val="en-US"/>
        </w:rPr>
        <w:t>profile:</w:t>
      </w:r>
      <w:r w:rsidRPr="002F5EF5">
        <w:rPr>
          <w:rFonts w:eastAsia="Times New Roman"/>
          <w:spacing w:val="1"/>
          <w:lang w:val="en-US"/>
        </w:rPr>
        <w:t xml:space="preserve"> </w:t>
      </w:r>
      <w:r w:rsidRPr="002F5EF5">
        <w:rPr>
          <w:rFonts w:eastAsia="Times New Roman"/>
          <w:lang w:val="en-US"/>
        </w:rPr>
        <w:t>Its distinctiveness is as high as that of the Swiss people's party and its internal unity is higher</w:t>
      </w:r>
      <w:r w:rsidR="00A5432B">
        <w:rPr>
          <w:rFonts w:eastAsia="Times New Roman"/>
          <w:lang w:val="en-US"/>
        </w:rPr>
        <w:t>.</w:t>
      </w:r>
      <w:r w:rsidRPr="002F5EF5">
        <w:rPr>
          <w:rFonts w:eastAsia="Times New Roman"/>
          <w:lang w:val="en-US"/>
        </w:rPr>
        <w:t xml:space="preserve"> The Swiss people's party comes next. Both parties display high profile</w:t>
      </w:r>
      <w:r w:rsidR="00A5432B">
        <w:rPr>
          <w:rFonts w:eastAsia="Times New Roman"/>
          <w:lang w:val="en-US"/>
        </w:rPr>
        <w:t xml:space="preserve"> clarity</w:t>
      </w:r>
      <w:r w:rsidRPr="002F5EF5">
        <w:rPr>
          <w:rFonts w:eastAsia="Times New Roman"/>
          <w:lang w:val="en-US"/>
        </w:rPr>
        <w:t>. In comparison with these two parties, the Green party holds both a less distinctive and less cohesive position on the redistribution issue, but it nevertheless (</w:t>
      </w:r>
      <w:r w:rsidR="00A5432B">
        <w:rPr>
          <w:rFonts w:eastAsia="Times New Roman"/>
          <w:lang w:val="en-US"/>
        </w:rPr>
        <w:t>just</w:t>
      </w:r>
      <w:r w:rsidRPr="002F5EF5">
        <w:rPr>
          <w:rFonts w:eastAsia="Times New Roman"/>
          <w:lang w:val="en-US"/>
        </w:rPr>
        <w:t xml:space="preserve">) exceeds the threshold of a "highly clear profile". In spite of their low internal unity, the Radicals </w:t>
      </w:r>
      <w:r w:rsidR="00A5432B">
        <w:rPr>
          <w:rFonts w:eastAsia="Times New Roman"/>
          <w:lang w:val="en-US"/>
        </w:rPr>
        <w:t xml:space="preserve">have </w:t>
      </w:r>
      <w:r w:rsidRPr="002F5EF5">
        <w:rPr>
          <w:rFonts w:eastAsia="Times New Roman"/>
          <w:lang w:val="en-US"/>
        </w:rPr>
        <w:t>moderate</w:t>
      </w:r>
      <w:r w:rsidR="00A5432B">
        <w:rPr>
          <w:rFonts w:eastAsia="Times New Roman"/>
          <w:lang w:val="en-US"/>
        </w:rPr>
        <w:t xml:space="preserve"> </w:t>
      </w:r>
      <w:r w:rsidRPr="002F5EF5">
        <w:rPr>
          <w:rFonts w:eastAsia="Times New Roman"/>
          <w:lang w:val="en-US"/>
        </w:rPr>
        <w:t>pro</w:t>
      </w:r>
      <w:r w:rsidRPr="002F5EF5">
        <w:rPr>
          <w:rFonts w:eastAsia="Times New Roman"/>
          <w:spacing w:val="-1"/>
          <w:lang w:val="en-US"/>
        </w:rPr>
        <w:t>f</w:t>
      </w:r>
      <w:r w:rsidRPr="002F5EF5">
        <w:rPr>
          <w:rFonts w:eastAsia="Times New Roman"/>
          <w:lang w:val="en-US"/>
        </w:rPr>
        <w:t>ile</w:t>
      </w:r>
      <w:r w:rsidR="00A5432B">
        <w:rPr>
          <w:rFonts w:eastAsia="Times New Roman"/>
          <w:lang w:val="en-US"/>
        </w:rPr>
        <w:t xml:space="preserve"> clarity</w:t>
      </w:r>
      <w:r w:rsidRPr="002F5EF5">
        <w:rPr>
          <w:rFonts w:eastAsia="Times New Roman"/>
          <w:lang w:val="en-US"/>
        </w:rPr>
        <w:t xml:space="preserve"> on this issue, whereas the Christian Democrats fare badly on both the distinctiveness and cohesiveness aspects and, therefore, fall again in</w:t>
      </w:r>
      <w:r w:rsidR="00A5432B">
        <w:rPr>
          <w:rFonts w:eastAsia="Times New Roman"/>
          <w:lang w:val="en-US"/>
        </w:rPr>
        <w:t>to</w:t>
      </w:r>
      <w:r w:rsidRPr="002F5EF5">
        <w:rPr>
          <w:rFonts w:eastAsia="Times New Roman"/>
          <w:lang w:val="en-US"/>
        </w:rPr>
        <w:t xml:space="preserve"> the "low profile" category.</w:t>
      </w:r>
    </w:p>
    <w:p w14:paraId="3944CE29" w14:textId="77777777" w:rsidR="00CC48A0" w:rsidRDefault="00CC48A0"/>
    <w:p w14:paraId="1FA5DB54" w14:textId="77777777" w:rsidR="00F77D41" w:rsidRDefault="00F77D41"/>
    <w:p w14:paraId="38DBF697" w14:textId="77777777" w:rsidR="00F77D41" w:rsidRDefault="00387A38">
      <w:pPr>
        <w:rPr>
          <w:b/>
        </w:rPr>
      </w:pPr>
      <w:r>
        <w:rPr>
          <w:b/>
        </w:rPr>
        <w:t>Reference</w:t>
      </w:r>
    </w:p>
    <w:p w14:paraId="698FC6DC" w14:textId="77777777" w:rsidR="00F77D41" w:rsidRPr="00FC452B" w:rsidRDefault="00F77D41">
      <w:pPr>
        <w:rPr>
          <w:b/>
        </w:rPr>
      </w:pPr>
    </w:p>
    <w:p w14:paraId="4BCCD51D" w14:textId="77777777" w:rsidR="00F77D41" w:rsidRDefault="00F77D41"/>
    <w:p w14:paraId="0C18A8A8" w14:textId="77777777" w:rsidR="00F77D41" w:rsidRPr="002F5EF5" w:rsidRDefault="00F77D41" w:rsidP="00F77D41">
      <w:pPr>
        <w:widowControl w:val="0"/>
        <w:autoSpaceDE w:val="0"/>
        <w:autoSpaceDN w:val="0"/>
        <w:adjustRightInd w:val="0"/>
        <w:spacing w:line="480" w:lineRule="auto"/>
        <w:ind w:left="284" w:hanging="284"/>
        <w:rPr>
          <w:lang w:val="en-US"/>
        </w:rPr>
      </w:pPr>
      <w:proofErr w:type="gramStart"/>
      <w:r>
        <w:rPr>
          <w:rFonts w:eastAsiaTheme="minorEastAsia"/>
          <w:lang w:val="en-US" w:eastAsia="en-US"/>
        </w:rPr>
        <w:t>v</w:t>
      </w:r>
      <w:r w:rsidRPr="002F5EF5">
        <w:rPr>
          <w:rFonts w:eastAsiaTheme="minorEastAsia"/>
          <w:lang w:val="en-US" w:eastAsia="en-US"/>
        </w:rPr>
        <w:t>an</w:t>
      </w:r>
      <w:proofErr w:type="gramEnd"/>
      <w:r w:rsidRPr="002F5EF5">
        <w:rPr>
          <w:rFonts w:eastAsiaTheme="minorEastAsia"/>
          <w:lang w:val="en-US" w:eastAsia="en-US"/>
        </w:rPr>
        <w:t xml:space="preserve"> der </w:t>
      </w:r>
      <w:proofErr w:type="spellStart"/>
      <w:r w:rsidRPr="002F5EF5">
        <w:rPr>
          <w:rFonts w:eastAsiaTheme="minorEastAsia"/>
          <w:lang w:val="en-US" w:eastAsia="en-US"/>
        </w:rPr>
        <w:t>Eijk</w:t>
      </w:r>
      <w:proofErr w:type="spellEnd"/>
      <w:r w:rsidRPr="002F5EF5">
        <w:rPr>
          <w:rFonts w:eastAsiaTheme="minorEastAsia"/>
          <w:lang w:val="en-US" w:eastAsia="en-US"/>
        </w:rPr>
        <w:t xml:space="preserve">, </w:t>
      </w:r>
      <w:proofErr w:type="spellStart"/>
      <w:r w:rsidRPr="002F5EF5">
        <w:rPr>
          <w:rFonts w:eastAsiaTheme="minorEastAsia"/>
          <w:lang w:val="en-US" w:eastAsia="en-US"/>
        </w:rPr>
        <w:t>Cees</w:t>
      </w:r>
      <w:proofErr w:type="spellEnd"/>
      <w:r w:rsidRPr="002F5EF5">
        <w:rPr>
          <w:rFonts w:eastAsiaTheme="minorEastAsia"/>
          <w:lang w:val="en-US" w:eastAsia="en-US"/>
        </w:rPr>
        <w:t xml:space="preserve"> (2001). Measuring agreement in ordered rating scales. </w:t>
      </w:r>
      <w:r w:rsidRPr="002F5EF5">
        <w:rPr>
          <w:rFonts w:eastAsiaTheme="minorEastAsia"/>
          <w:i/>
          <w:iCs/>
          <w:lang w:val="en-US" w:eastAsia="en-US"/>
        </w:rPr>
        <w:t xml:space="preserve">Quality and quantity </w:t>
      </w:r>
      <w:r w:rsidRPr="002F5EF5">
        <w:rPr>
          <w:rFonts w:eastAsiaTheme="minorEastAsia"/>
          <w:lang w:val="en-US" w:eastAsia="en-US"/>
        </w:rPr>
        <w:t>35: 325-41.</w:t>
      </w:r>
    </w:p>
    <w:p w14:paraId="290AF6D2" w14:textId="77777777" w:rsidR="00F77D41" w:rsidRDefault="00F77D41"/>
    <w:sectPr w:rsidR="00F77D41" w:rsidSect="00F77D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2BA84" w14:textId="77777777" w:rsidR="004A22E3" w:rsidRDefault="004A22E3" w:rsidP="00905AEC">
      <w:r>
        <w:separator/>
      </w:r>
    </w:p>
  </w:endnote>
  <w:endnote w:type="continuationSeparator" w:id="0">
    <w:p w14:paraId="20DF6B55" w14:textId="77777777" w:rsidR="004A22E3" w:rsidRDefault="004A22E3" w:rsidP="0090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4160F" w14:textId="77777777" w:rsidR="004A22E3" w:rsidRDefault="004A22E3" w:rsidP="00905AEC">
      <w:r>
        <w:separator/>
      </w:r>
    </w:p>
  </w:footnote>
  <w:footnote w:type="continuationSeparator" w:id="0">
    <w:p w14:paraId="79091E4E" w14:textId="77777777" w:rsidR="004A22E3" w:rsidRDefault="004A22E3" w:rsidP="00905AEC">
      <w:r>
        <w:continuationSeparator/>
      </w:r>
    </w:p>
  </w:footnote>
  <w:footnote w:id="1">
    <w:p w14:paraId="1D827A04" w14:textId="77777777" w:rsidR="004A22E3" w:rsidRPr="003E5721" w:rsidRDefault="004A22E3" w:rsidP="00905AEC">
      <w:pPr>
        <w:pStyle w:val="FootnoteText"/>
        <w:spacing w:line="480" w:lineRule="auto"/>
        <w:jc w:val="both"/>
        <w:rPr>
          <w:lang w:val="en-US"/>
        </w:rPr>
      </w:pPr>
      <w:r w:rsidRPr="003E5721">
        <w:rPr>
          <w:rStyle w:val="FootnoteReference"/>
          <w:lang w:val="en-US"/>
        </w:rPr>
        <w:footnoteRef/>
      </w:r>
      <w:r w:rsidRPr="003E5721">
        <w:rPr>
          <w:lang w:val="en-US"/>
        </w:rPr>
        <w:t xml:space="preserve"> Van der </w:t>
      </w:r>
      <w:proofErr w:type="spellStart"/>
      <w:r w:rsidRPr="003E5721">
        <w:rPr>
          <w:lang w:val="en-US"/>
        </w:rPr>
        <w:t>Eijk's</w:t>
      </w:r>
      <w:proofErr w:type="spellEnd"/>
      <w:r w:rsidRPr="003E5721">
        <w:rPr>
          <w:lang w:val="en-US"/>
        </w:rPr>
        <w:t xml:space="preserve"> (2001) index of agreement helps to overcome the weakness of measures based on </w:t>
      </w:r>
      <w:r w:rsidRPr="003E5721">
        <w:rPr>
          <w:rFonts w:eastAsia="Times New Roman"/>
          <w:lang w:val="en-US"/>
        </w:rPr>
        <w:t xml:space="preserve">standard deviation, which capture </w:t>
      </w:r>
      <w:r>
        <w:rPr>
          <w:rFonts w:eastAsia="Times New Roman"/>
          <w:lang w:val="en-US"/>
        </w:rPr>
        <w:t xml:space="preserve">both </w:t>
      </w:r>
      <w:r w:rsidRPr="003E5721">
        <w:rPr>
          <w:rFonts w:eastAsia="Times New Roman"/>
          <w:lang w:val="en-US"/>
        </w:rPr>
        <w:t xml:space="preserve">consensus </w:t>
      </w:r>
      <w:r>
        <w:rPr>
          <w:rFonts w:eastAsia="Times New Roman"/>
          <w:lang w:val="en-US"/>
        </w:rPr>
        <w:t xml:space="preserve">and </w:t>
      </w:r>
      <w:r w:rsidRPr="003E5721">
        <w:rPr>
          <w:rFonts w:eastAsia="Times New Roman"/>
          <w:lang w:val="en-US"/>
        </w:rPr>
        <w:t>skewedness. His agreement index first decomposes the frequency distribution into constituent layers, and then computes the weighted average degree of agreement.</w:t>
      </w:r>
    </w:p>
  </w:footnote>
  <w:footnote w:id="2">
    <w:p w14:paraId="318FAFCA" w14:textId="77777777" w:rsidR="004A22E3" w:rsidRPr="003E5721" w:rsidRDefault="004A22E3" w:rsidP="00905AEC">
      <w:pPr>
        <w:pStyle w:val="FootnoteText"/>
        <w:spacing w:line="480" w:lineRule="auto"/>
        <w:jc w:val="both"/>
        <w:rPr>
          <w:lang w:val="en-US"/>
        </w:rPr>
      </w:pPr>
      <w:r w:rsidRPr="003E5721">
        <w:rPr>
          <w:rStyle w:val="FootnoteReference"/>
          <w:lang w:val="en-US"/>
        </w:rPr>
        <w:footnoteRef/>
      </w:r>
      <w:r w:rsidRPr="003E5721">
        <w:rPr>
          <w:lang w:val="en-US"/>
        </w:rPr>
        <w:t xml:space="preserve"> For parties that are "borderline" cases on a given issue, i.e. parties that are very close to the cut-off point (e.g. the Green party on the redistributive issue), we ran robustness tests relying on the alternative coding. The results remain fairly stable.</w:t>
      </w:r>
    </w:p>
  </w:footnote>
  <w:footnote w:id="3">
    <w:p w14:paraId="7057A508" w14:textId="77777777" w:rsidR="004A22E3" w:rsidRPr="00ED4823" w:rsidRDefault="004A22E3" w:rsidP="00905AEC">
      <w:pPr>
        <w:pStyle w:val="FootnoteText"/>
        <w:spacing w:line="480" w:lineRule="auto"/>
        <w:jc w:val="both"/>
        <w:rPr>
          <w:lang w:val="en-US"/>
        </w:rPr>
      </w:pPr>
      <w:r w:rsidRPr="00F210D2">
        <w:rPr>
          <w:rStyle w:val="FootnoteReference"/>
        </w:rPr>
        <w:footnoteRef/>
      </w:r>
      <w:r w:rsidRPr="00ED4823">
        <w:rPr>
          <w:lang w:val="en-US"/>
        </w:rPr>
        <w:t xml:space="preserve"> </w:t>
      </w:r>
      <w:r w:rsidRPr="00F210D2">
        <w:rPr>
          <w:lang w:val="en-US"/>
        </w:rPr>
        <w:t xml:space="preserve">The initial scale ranged from 0 to 10, but </w:t>
      </w:r>
      <w:r>
        <w:rPr>
          <w:lang w:val="en-US"/>
        </w:rPr>
        <w:t xml:space="preserve">to ease comparisons </w:t>
      </w:r>
      <w:r w:rsidRPr="00F210D2">
        <w:rPr>
          <w:lang w:val="en-US"/>
        </w:rPr>
        <w:t xml:space="preserve">with the other two issues we </w:t>
      </w:r>
      <w:r>
        <w:rPr>
          <w:lang w:val="en-US"/>
        </w:rPr>
        <w:t xml:space="preserve">have </w:t>
      </w:r>
      <w:r w:rsidRPr="00F210D2">
        <w:rPr>
          <w:lang w:val="en-US"/>
        </w:rPr>
        <w:t>recoded it from 1 to 5.</w:t>
      </w:r>
    </w:p>
  </w:footnote>
  <w:footnote w:id="4">
    <w:p w14:paraId="6D631D23" w14:textId="77777777" w:rsidR="004A22E3" w:rsidRPr="003E5721" w:rsidRDefault="004A22E3" w:rsidP="00905AEC">
      <w:pPr>
        <w:pStyle w:val="FootnoteText"/>
        <w:spacing w:line="480" w:lineRule="auto"/>
        <w:jc w:val="both"/>
        <w:rPr>
          <w:lang w:val="en-US"/>
        </w:rPr>
      </w:pPr>
      <w:r w:rsidRPr="003E5721">
        <w:rPr>
          <w:rStyle w:val="FootnoteReference"/>
          <w:lang w:val="en-US"/>
        </w:rPr>
        <w:footnoteRef/>
      </w:r>
      <w:r w:rsidRPr="003E5721">
        <w:rPr>
          <w:lang w:val="en-US"/>
        </w:rPr>
        <w:t xml:space="preserve"> In the candidate survey, unlike </w:t>
      </w:r>
      <w:r>
        <w:rPr>
          <w:lang w:val="en-US"/>
        </w:rPr>
        <w:t>in the post-election</w:t>
      </w:r>
      <w:r w:rsidRPr="003E5721">
        <w:rPr>
          <w:lang w:val="en-US"/>
        </w:rPr>
        <w:t xml:space="preserve"> survey among voters, preferences with respect to redistributive policy are not measured with a question regarding whether one should increase taxes on high incomes</w:t>
      </w:r>
      <w:r w:rsidRPr="003E5721">
        <w:rPr>
          <w:rFonts w:eastAsia="Times New Roman"/>
          <w:lang w:val="en-US"/>
        </w:rPr>
        <w:t>, but with a more general q</w:t>
      </w:r>
      <w:r w:rsidRPr="003E5721">
        <w:rPr>
          <w:rFonts w:eastAsia="Times New Roman"/>
          <w:spacing w:val="-1"/>
          <w:lang w:val="en-US"/>
        </w:rPr>
        <w:t>u</w:t>
      </w:r>
      <w:r w:rsidRPr="003E5721">
        <w:rPr>
          <w:rFonts w:eastAsia="Times New Roman"/>
          <w:lang w:val="en-US"/>
        </w:rPr>
        <w:t>es</w:t>
      </w:r>
      <w:r w:rsidRPr="003E5721">
        <w:rPr>
          <w:rFonts w:eastAsia="Times New Roman"/>
          <w:spacing w:val="-1"/>
          <w:lang w:val="en-US"/>
        </w:rPr>
        <w:t>ti</w:t>
      </w:r>
      <w:r w:rsidRPr="003E5721">
        <w:rPr>
          <w:rFonts w:eastAsia="Times New Roman"/>
          <w:lang w:val="en-US"/>
        </w:rPr>
        <w:t>on</w:t>
      </w:r>
      <w:r w:rsidRPr="003E5721">
        <w:rPr>
          <w:rFonts w:eastAsia="Times New Roman"/>
          <w:spacing w:val="-1"/>
          <w:lang w:val="en-US"/>
        </w:rPr>
        <w:t xml:space="preserve"> </w:t>
      </w:r>
      <w:r w:rsidRPr="003E5721">
        <w:rPr>
          <w:rFonts w:eastAsia="Times New Roman"/>
          <w:lang w:val="en-US"/>
        </w:rPr>
        <w:t>reg</w:t>
      </w:r>
      <w:r w:rsidRPr="003E5721">
        <w:rPr>
          <w:rFonts w:eastAsia="Times New Roman"/>
          <w:spacing w:val="-1"/>
          <w:lang w:val="en-US"/>
        </w:rPr>
        <w:t>ar</w:t>
      </w:r>
      <w:r w:rsidRPr="003E5721">
        <w:rPr>
          <w:rFonts w:eastAsia="Times New Roman"/>
          <w:spacing w:val="1"/>
          <w:lang w:val="en-US"/>
        </w:rPr>
        <w:t>d</w:t>
      </w:r>
      <w:r w:rsidRPr="003E5721">
        <w:rPr>
          <w:rFonts w:eastAsia="Times New Roman"/>
          <w:spacing w:val="-1"/>
          <w:lang w:val="en-US"/>
        </w:rPr>
        <w:t>in</w:t>
      </w:r>
      <w:r w:rsidRPr="003E5721">
        <w:rPr>
          <w:rFonts w:eastAsia="Times New Roman"/>
          <w:lang w:val="en-US"/>
        </w:rPr>
        <w:t>g</w:t>
      </w:r>
      <w:r w:rsidRPr="003E5721">
        <w:rPr>
          <w:rFonts w:eastAsia="Times New Roman"/>
          <w:spacing w:val="-1"/>
          <w:lang w:val="en-US"/>
        </w:rPr>
        <w:t xml:space="preserve"> </w:t>
      </w:r>
      <w:r w:rsidRPr="003E5721">
        <w:rPr>
          <w:rFonts w:eastAsia="Times New Roman"/>
          <w:lang w:val="en-US"/>
        </w:rPr>
        <w:t>whe</w:t>
      </w:r>
      <w:r w:rsidRPr="003E5721">
        <w:rPr>
          <w:rFonts w:eastAsia="Times New Roman"/>
          <w:spacing w:val="-2"/>
          <w:lang w:val="en-US"/>
        </w:rPr>
        <w:t>t</w:t>
      </w:r>
      <w:r w:rsidRPr="003E5721">
        <w:rPr>
          <w:rFonts w:eastAsia="Times New Roman"/>
          <w:lang w:val="en-US"/>
        </w:rPr>
        <w:t>her “</w:t>
      </w:r>
      <w:r w:rsidRPr="003E5721">
        <w:rPr>
          <w:rFonts w:eastAsia="Times New Roman"/>
          <w:spacing w:val="-1"/>
          <w:lang w:val="en-US"/>
        </w:rPr>
        <w:t>i</w:t>
      </w:r>
      <w:r w:rsidRPr="003E5721">
        <w:rPr>
          <w:rFonts w:eastAsia="Times New Roman"/>
          <w:lang w:val="en-US"/>
        </w:rPr>
        <w:t>n</w:t>
      </w:r>
      <w:r w:rsidRPr="003E5721">
        <w:rPr>
          <w:rFonts w:eastAsia="Times New Roman"/>
          <w:spacing w:val="-1"/>
          <w:lang w:val="en-US"/>
        </w:rPr>
        <w:t>c</w:t>
      </w:r>
      <w:r w:rsidRPr="003E5721">
        <w:rPr>
          <w:rFonts w:eastAsia="Times New Roman"/>
          <w:lang w:val="en-US"/>
        </w:rPr>
        <w:t>o</w:t>
      </w:r>
      <w:r w:rsidRPr="003E5721">
        <w:rPr>
          <w:rFonts w:eastAsia="Times New Roman"/>
          <w:spacing w:val="-2"/>
          <w:lang w:val="en-US"/>
        </w:rPr>
        <w:t>m</w:t>
      </w:r>
      <w:r w:rsidRPr="003E5721">
        <w:rPr>
          <w:rFonts w:eastAsia="Times New Roman"/>
          <w:lang w:val="en-US"/>
        </w:rPr>
        <w:t>e</w:t>
      </w:r>
      <w:r w:rsidRPr="003E5721">
        <w:rPr>
          <w:rFonts w:eastAsia="Times New Roman"/>
          <w:spacing w:val="1"/>
          <w:lang w:val="en-US"/>
        </w:rPr>
        <w:t xml:space="preserve"> </w:t>
      </w:r>
      <w:r w:rsidRPr="003E5721">
        <w:rPr>
          <w:rFonts w:eastAsia="Times New Roman"/>
          <w:lang w:val="en-US"/>
        </w:rPr>
        <w:t>and wealth</w:t>
      </w:r>
      <w:r w:rsidRPr="003E5721">
        <w:rPr>
          <w:rFonts w:eastAsia="Times New Roman"/>
          <w:spacing w:val="1"/>
          <w:lang w:val="en-US"/>
        </w:rPr>
        <w:t xml:space="preserve"> </w:t>
      </w:r>
      <w:r w:rsidRPr="003E5721">
        <w:rPr>
          <w:rFonts w:eastAsia="Times New Roman"/>
          <w:spacing w:val="-1"/>
          <w:lang w:val="en-US"/>
        </w:rPr>
        <w:t>sh</w:t>
      </w:r>
      <w:r w:rsidRPr="003E5721">
        <w:rPr>
          <w:rFonts w:eastAsia="Times New Roman"/>
          <w:lang w:val="en-US"/>
        </w:rPr>
        <w:t>ou</w:t>
      </w:r>
      <w:r w:rsidRPr="003E5721">
        <w:rPr>
          <w:rFonts w:eastAsia="Times New Roman"/>
          <w:spacing w:val="-2"/>
          <w:lang w:val="en-US"/>
        </w:rPr>
        <w:t>l</w:t>
      </w:r>
      <w:r w:rsidRPr="003E5721">
        <w:rPr>
          <w:rFonts w:eastAsia="Times New Roman"/>
          <w:lang w:val="en-US"/>
        </w:rPr>
        <w:t>d be redistr</w:t>
      </w:r>
      <w:r w:rsidRPr="003E5721">
        <w:rPr>
          <w:rFonts w:eastAsia="Times New Roman"/>
          <w:spacing w:val="-2"/>
          <w:lang w:val="en-US"/>
        </w:rPr>
        <w:t>i</w:t>
      </w:r>
      <w:r w:rsidRPr="003E5721">
        <w:rPr>
          <w:rFonts w:eastAsia="Times New Roman"/>
          <w:lang w:val="en-US"/>
        </w:rPr>
        <w:t>but</w:t>
      </w:r>
      <w:r w:rsidRPr="003E5721">
        <w:rPr>
          <w:rFonts w:eastAsia="Times New Roman"/>
          <w:spacing w:val="-1"/>
          <w:lang w:val="en-US"/>
        </w:rPr>
        <w:t>e</w:t>
      </w:r>
      <w:r w:rsidRPr="003E5721">
        <w:rPr>
          <w:rFonts w:eastAsia="Times New Roman"/>
          <w:lang w:val="en-US"/>
        </w:rPr>
        <w:t>d</w:t>
      </w:r>
      <w:r w:rsidRPr="003E5721">
        <w:rPr>
          <w:rFonts w:eastAsia="Times New Roman"/>
          <w:spacing w:val="1"/>
          <w:lang w:val="en-US"/>
        </w:rPr>
        <w:t xml:space="preserve"> </w:t>
      </w:r>
      <w:r w:rsidRPr="003E5721">
        <w:rPr>
          <w:rFonts w:eastAsia="Times New Roman"/>
          <w:lang w:val="en-US"/>
        </w:rPr>
        <w:t xml:space="preserve">to </w:t>
      </w:r>
      <w:r w:rsidRPr="003E5721">
        <w:rPr>
          <w:rFonts w:eastAsia="Times New Roman"/>
          <w:spacing w:val="-1"/>
          <w:lang w:val="en-US"/>
        </w:rPr>
        <w:t>or</w:t>
      </w:r>
      <w:r w:rsidRPr="003E5721">
        <w:rPr>
          <w:rFonts w:eastAsia="Times New Roman"/>
          <w:lang w:val="en-US"/>
        </w:rPr>
        <w:t>dinary</w:t>
      </w:r>
      <w:r w:rsidRPr="003E5721">
        <w:rPr>
          <w:rFonts w:eastAsia="Times New Roman"/>
          <w:spacing w:val="-1"/>
          <w:lang w:val="en-US"/>
        </w:rPr>
        <w:t xml:space="preserve"> p</w:t>
      </w:r>
      <w:r w:rsidRPr="003E5721">
        <w:rPr>
          <w:rFonts w:eastAsia="Times New Roman"/>
          <w:lang w:val="en-US"/>
        </w:rPr>
        <w:t>eople”. The difference is, however, unproblematic, as we are mainly interested in the characterization of party profile on the economic, distributive dimension. For that purpose the question on "income and wealth" is perfectly appropriate.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EC"/>
    <w:rsid w:val="000D7B83"/>
    <w:rsid w:val="00387A38"/>
    <w:rsid w:val="003A094C"/>
    <w:rsid w:val="004A22E3"/>
    <w:rsid w:val="007108AA"/>
    <w:rsid w:val="00905AEC"/>
    <w:rsid w:val="00A5432B"/>
    <w:rsid w:val="00BF40CA"/>
    <w:rsid w:val="00CC48A0"/>
    <w:rsid w:val="00CF7BBA"/>
    <w:rsid w:val="00D1031C"/>
    <w:rsid w:val="00D1657E"/>
    <w:rsid w:val="00F77D41"/>
    <w:rsid w:val="00FC45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EC"/>
    <w:pPr>
      <w:spacing w:after="0" w:line="240" w:lineRule="auto"/>
    </w:pPr>
    <w:rPr>
      <w:rFonts w:ascii="Times New Roman" w:eastAsia="Calibri"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5AEC"/>
    <w:rPr>
      <w:sz w:val="20"/>
      <w:szCs w:val="20"/>
    </w:rPr>
  </w:style>
  <w:style w:type="character" w:customStyle="1" w:styleId="FootnoteTextChar">
    <w:name w:val="Footnote Text Char"/>
    <w:basedOn w:val="DefaultParagraphFont"/>
    <w:link w:val="FootnoteText"/>
    <w:uiPriority w:val="99"/>
    <w:semiHidden/>
    <w:rsid w:val="00905AEC"/>
    <w:rPr>
      <w:rFonts w:ascii="Times New Roman" w:eastAsia="Calibri" w:hAnsi="Times New Roman" w:cs="Times New Roman"/>
      <w:sz w:val="20"/>
      <w:szCs w:val="20"/>
      <w:lang w:val="fr-FR" w:eastAsia="fr-FR"/>
    </w:rPr>
  </w:style>
  <w:style w:type="character" w:styleId="FootnoteReference">
    <w:name w:val="footnote reference"/>
    <w:basedOn w:val="DefaultParagraphFont"/>
    <w:uiPriority w:val="99"/>
    <w:semiHidden/>
    <w:rsid w:val="00905AEC"/>
    <w:rPr>
      <w:rFonts w:cs="Times New Roman"/>
      <w:vertAlign w:val="superscript"/>
    </w:rPr>
  </w:style>
  <w:style w:type="table" w:styleId="TableGrid">
    <w:name w:val="Table Grid"/>
    <w:basedOn w:val="TableNormal"/>
    <w:uiPriority w:val="99"/>
    <w:rsid w:val="00905AEC"/>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40CA"/>
    <w:rPr>
      <w:sz w:val="16"/>
      <w:szCs w:val="16"/>
    </w:rPr>
  </w:style>
  <w:style w:type="paragraph" w:styleId="CommentText">
    <w:name w:val="annotation text"/>
    <w:basedOn w:val="Normal"/>
    <w:link w:val="CommentTextChar"/>
    <w:uiPriority w:val="99"/>
    <w:semiHidden/>
    <w:unhideWhenUsed/>
    <w:rsid w:val="00BF40CA"/>
    <w:rPr>
      <w:sz w:val="20"/>
      <w:szCs w:val="20"/>
    </w:rPr>
  </w:style>
  <w:style w:type="character" w:customStyle="1" w:styleId="CommentTextChar">
    <w:name w:val="Comment Text Char"/>
    <w:basedOn w:val="DefaultParagraphFont"/>
    <w:link w:val="CommentText"/>
    <w:uiPriority w:val="99"/>
    <w:semiHidden/>
    <w:rsid w:val="00BF40CA"/>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BF40CA"/>
    <w:rPr>
      <w:b/>
      <w:bCs/>
    </w:rPr>
  </w:style>
  <w:style w:type="character" w:customStyle="1" w:styleId="CommentSubjectChar">
    <w:name w:val="Comment Subject Char"/>
    <w:basedOn w:val="CommentTextChar"/>
    <w:link w:val="CommentSubject"/>
    <w:uiPriority w:val="99"/>
    <w:semiHidden/>
    <w:rsid w:val="00BF40CA"/>
    <w:rPr>
      <w:rFonts w:ascii="Times New Roman" w:eastAsia="Calibri" w:hAnsi="Times New Roman" w:cs="Times New Roman"/>
      <w:b/>
      <w:bCs/>
      <w:sz w:val="20"/>
      <w:szCs w:val="20"/>
      <w:lang w:val="fr-FR" w:eastAsia="fr-FR"/>
    </w:rPr>
  </w:style>
  <w:style w:type="paragraph" w:styleId="BalloonText">
    <w:name w:val="Balloon Text"/>
    <w:basedOn w:val="Normal"/>
    <w:link w:val="BalloonTextChar"/>
    <w:uiPriority w:val="99"/>
    <w:semiHidden/>
    <w:unhideWhenUsed/>
    <w:rsid w:val="00BF40CA"/>
    <w:rPr>
      <w:rFonts w:ascii="Tahoma" w:hAnsi="Tahoma" w:cs="Tahoma"/>
      <w:sz w:val="16"/>
      <w:szCs w:val="16"/>
    </w:rPr>
  </w:style>
  <w:style w:type="character" w:customStyle="1" w:styleId="BalloonTextChar">
    <w:name w:val="Balloon Text Char"/>
    <w:basedOn w:val="DefaultParagraphFont"/>
    <w:link w:val="BalloonText"/>
    <w:uiPriority w:val="99"/>
    <w:semiHidden/>
    <w:rsid w:val="00BF40CA"/>
    <w:rPr>
      <w:rFonts w:ascii="Tahoma" w:eastAsia="Calibri"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EC"/>
    <w:pPr>
      <w:spacing w:after="0" w:line="240" w:lineRule="auto"/>
    </w:pPr>
    <w:rPr>
      <w:rFonts w:ascii="Times New Roman" w:eastAsia="Calibri"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5AEC"/>
    <w:rPr>
      <w:sz w:val="20"/>
      <w:szCs w:val="20"/>
    </w:rPr>
  </w:style>
  <w:style w:type="character" w:customStyle="1" w:styleId="FootnoteTextChar">
    <w:name w:val="Footnote Text Char"/>
    <w:basedOn w:val="DefaultParagraphFont"/>
    <w:link w:val="FootnoteText"/>
    <w:uiPriority w:val="99"/>
    <w:semiHidden/>
    <w:rsid w:val="00905AEC"/>
    <w:rPr>
      <w:rFonts w:ascii="Times New Roman" w:eastAsia="Calibri" w:hAnsi="Times New Roman" w:cs="Times New Roman"/>
      <w:sz w:val="20"/>
      <w:szCs w:val="20"/>
      <w:lang w:val="fr-FR" w:eastAsia="fr-FR"/>
    </w:rPr>
  </w:style>
  <w:style w:type="character" w:styleId="FootnoteReference">
    <w:name w:val="footnote reference"/>
    <w:basedOn w:val="DefaultParagraphFont"/>
    <w:uiPriority w:val="99"/>
    <w:semiHidden/>
    <w:rsid w:val="00905AEC"/>
    <w:rPr>
      <w:rFonts w:cs="Times New Roman"/>
      <w:vertAlign w:val="superscript"/>
    </w:rPr>
  </w:style>
  <w:style w:type="table" w:styleId="TableGrid">
    <w:name w:val="Table Grid"/>
    <w:basedOn w:val="TableNormal"/>
    <w:uiPriority w:val="99"/>
    <w:rsid w:val="00905AEC"/>
    <w:pPr>
      <w:spacing w:after="0"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40CA"/>
    <w:rPr>
      <w:sz w:val="16"/>
      <w:szCs w:val="16"/>
    </w:rPr>
  </w:style>
  <w:style w:type="paragraph" w:styleId="CommentText">
    <w:name w:val="annotation text"/>
    <w:basedOn w:val="Normal"/>
    <w:link w:val="CommentTextChar"/>
    <w:uiPriority w:val="99"/>
    <w:semiHidden/>
    <w:unhideWhenUsed/>
    <w:rsid w:val="00BF40CA"/>
    <w:rPr>
      <w:sz w:val="20"/>
      <w:szCs w:val="20"/>
    </w:rPr>
  </w:style>
  <w:style w:type="character" w:customStyle="1" w:styleId="CommentTextChar">
    <w:name w:val="Comment Text Char"/>
    <w:basedOn w:val="DefaultParagraphFont"/>
    <w:link w:val="CommentText"/>
    <w:uiPriority w:val="99"/>
    <w:semiHidden/>
    <w:rsid w:val="00BF40CA"/>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BF40CA"/>
    <w:rPr>
      <w:b/>
      <w:bCs/>
    </w:rPr>
  </w:style>
  <w:style w:type="character" w:customStyle="1" w:styleId="CommentSubjectChar">
    <w:name w:val="Comment Subject Char"/>
    <w:basedOn w:val="CommentTextChar"/>
    <w:link w:val="CommentSubject"/>
    <w:uiPriority w:val="99"/>
    <w:semiHidden/>
    <w:rsid w:val="00BF40CA"/>
    <w:rPr>
      <w:rFonts w:ascii="Times New Roman" w:eastAsia="Calibri" w:hAnsi="Times New Roman" w:cs="Times New Roman"/>
      <w:b/>
      <w:bCs/>
      <w:sz w:val="20"/>
      <w:szCs w:val="20"/>
      <w:lang w:val="fr-FR" w:eastAsia="fr-FR"/>
    </w:rPr>
  </w:style>
  <w:style w:type="paragraph" w:styleId="BalloonText">
    <w:name w:val="Balloon Text"/>
    <w:basedOn w:val="Normal"/>
    <w:link w:val="BalloonTextChar"/>
    <w:uiPriority w:val="99"/>
    <w:semiHidden/>
    <w:unhideWhenUsed/>
    <w:rsid w:val="00BF40CA"/>
    <w:rPr>
      <w:rFonts w:ascii="Tahoma" w:hAnsi="Tahoma" w:cs="Tahoma"/>
      <w:sz w:val="16"/>
      <w:szCs w:val="16"/>
    </w:rPr>
  </w:style>
  <w:style w:type="character" w:customStyle="1" w:styleId="BalloonTextChar">
    <w:name w:val="Balloon Text Char"/>
    <w:basedOn w:val="DefaultParagraphFont"/>
    <w:link w:val="BalloonText"/>
    <w:uiPriority w:val="99"/>
    <w:semiHidden/>
    <w:rsid w:val="00BF40CA"/>
    <w:rPr>
      <w:rFonts w:ascii="Tahoma" w:eastAsia="Calibri"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2D4F5FFA</Template>
  <TotalTime>0</TotalTime>
  <Pages>5</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Parks</dc:creator>
  <cp:lastModifiedBy>Louisa Parks</cp:lastModifiedBy>
  <cp:revision>2</cp:revision>
  <dcterms:created xsi:type="dcterms:W3CDTF">2014-03-14T15:06:00Z</dcterms:created>
  <dcterms:modified xsi:type="dcterms:W3CDTF">2014-03-14T15:06:00Z</dcterms:modified>
</cp:coreProperties>
</file>