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6" w:rsidRDefault="008D2C82" w:rsidP="00A2084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0A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Online </w:t>
      </w:r>
      <w:r w:rsidR="00A2084C" w:rsidRPr="00FB0A79">
        <w:rPr>
          <w:rFonts w:ascii="Times New Roman" w:hAnsi="Times New Roman" w:cs="Times New Roman"/>
          <w:b/>
          <w:sz w:val="24"/>
          <w:szCs w:val="24"/>
          <w:lang w:val="en-GB"/>
        </w:rPr>
        <w:t>Appendix</w:t>
      </w:r>
    </w:p>
    <w:p w:rsidR="00A2084C" w:rsidRDefault="003705D5" w:rsidP="00A2084C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Section A</w:t>
      </w:r>
      <w:r w:rsidR="00A2084C" w:rsidRPr="00FB0A79">
        <w:rPr>
          <w:rFonts w:ascii="Times New Roman" w:hAnsi="Times New Roman" w:cs="Times New Roman"/>
          <w:b/>
          <w:lang w:val="en-GB"/>
        </w:rPr>
        <w:t xml:space="preserve"> – Indicators and Balance of Data and other Complementary Regression Models</w:t>
      </w:r>
    </w:p>
    <w:p w:rsidR="00145A16" w:rsidRPr="00145A16" w:rsidRDefault="00145A16" w:rsidP="00A2084C">
      <w:pPr>
        <w:rPr>
          <w:rFonts w:ascii="Times New Roman" w:hAnsi="Times New Roman" w:cs="Times New Roman"/>
          <w:b/>
          <w:lang w:val="en-GB"/>
        </w:rPr>
      </w:pPr>
      <w:r w:rsidRPr="00145A16">
        <w:rPr>
          <w:rFonts w:ascii="Times New Roman" w:hAnsi="Times New Roman" w:cs="Times New Roman"/>
          <w:b/>
          <w:lang w:val="en-GB"/>
        </w:rPr>
        <w:t>Table A: Structural Equation Model of the Regulative Dimension</w:t>
      </w:r>
    </w:p>
    <w:p w:rsidR="00A2084C" w:rsidRPr="00677CDE" w:rsidRDefault="00145A16" w:rsidP="00145A16">
      <w:pPr>
        <w:jc w:val="both"/>
        <w:rPr>
          <w:rFonts w:ascii="Times New Roman" w:hAnsi="Times New Roman" w:cs="Times New Roman"/>
          <w:b/>
          <w:lang w:val="en-GB"/>
        </w:rPr>
      </w:pPr>
      <w:r w:rsidRPr="00677CDE">
        <w:rPr>
          <w:rFonts w:ascii="Times New Roman" w:hAnsi="Times New Roman" w:cs="Times New Roman"/>
          <w:lang w:val="en-GB"/>
        </w:rPr>
        <w:t>The regulation of financial markets (</w:t>
      </w:r>
      <w:proofErr w:type="spellStart"/>
      <w:r w:rsidRPr="00677CDE">
        <w:rPr>
          <w:rFonts w:ascii="Times New Roman" w:hAnsi="Times New Roman" w:cs="Times New Roman"/>
          <w:i/>
          <w:lang w:val="en-GB"/>
        </w:rPr>
        <w:t>financialmarketstand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) is captured by the index developed by </w:t>
      </w:r>
      <w:proofErr w:type="spellStart"/>
      <w:r w:rsidRPr="00677CDE">
        <w:rPr>
          <w:rFonts w:ascii="Times New Roman" w:hAnsi="Times New Roman" w:cs="Times New Roman"/>
          <w:lang w:val="en-GB"/>
        </w:rPr>
        <w:t>Abiad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677CDE">
        <w:rPr>
          <w:rFonts w:ascii="Times New Roman" w:hAnsi="Times New Roman" w:cs="Times New Roman"/>
          <w:lang w:val="en-GB"/>
        </w:rPr>
        <w:t>Mody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(2005) covering six policy fields. The privatization of infrastructure (</w:t>
      </w:r>
      <w:proofErr w:type="spellStart"/>
      <w:r w:rsidRPr="00677CDE">
        <w:rPr>
          <w:rFonts w:ascii="Times New Roman" w:hAnsi="Times New Roman" w:cs="Times New Roman"/>
          <w:i/>
          <w:lang w:val="en-GB"/>
        </w:rPr>
        <w:t>reprovstand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) consists of seven indicators tapping the regulation in energy, transport and communications (OECD, 2011). </w:t>
      </w:r>
      <w:proofErr w:type="spellStart"/>
      <w:r w:rsidRPr="00677CDE">
        <w:rPr>
          <w:rFonts w:ascii="Times New Roman" w:hAnsi="Times New Roman" w:cs="Times New Roman"/>
          <w:lang w:val="en-GB"/>
        </w:rPr>
        <w:t>Labor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market regulation (</w:t>
      </w:r>
      <w:proofErr w:type="spellStart"/>
      <w:r w:rsidRPr="00677CDE">
        <w:rPr>
          <w:rFonts w:ascii="Times New Roman" w:hAnsi="Times New Roman" w:cs="Times New Roman"/>
          <w:i/>
          <w:lang w:val="en-GB"/>
        </w:rPr>
        <w:t>labormarketstand</w:t>
      </w:r>
      <w:proofErr w:type="spellEnd"/>
      <w:r w:rsidRPr="00677CDE">
        <w:rPr>
          <w:rFonts w:ascii="Times New Roman" w:hAnsi="Times New Roman" w:cs="Times New Roman"/>
          <w:lang w:val="en-GB"/>
        </w:rPr>
        <w:t>) measures the strictness of regulation of individual dismissal of employees on indefinite and on fixed-term contracts with eight items (OECD 2013). Variables are standardized before estimation.</w:t>
      </w:r>
    </w:p>
    <w:p w:rsidR="00A2084C" w:rsidRPr="00FB0A79" w:rsidRDefault="00A2084C" w:rsidP="00A2084C">
      <w:pPr>
        <w:pStyle w:val="Beschriftung"/>
        <w:keepNext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3220"/>
        <w:gridCol w:w="1200"/>
        <w:gridCol w:w="2400"/>
        <w:gridCol w:w="576"/>
        <w:gridCol w:w="1200"/>
      </w:tblGrid>
      <w:tr w:rsidR="00433C42" w:rsidRPr="00433C42" w:rsidTr="00433C4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Structural equation model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Number of obs. =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697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Estimation method = </w:t>
            </w: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mlmv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Log likelihood  = 45.465851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033ED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Measurement   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FB0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Coef</w:t>
            </w:r>
            <w:r w:rsidR="00FB0A79"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ficient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OIM std. Err. </w:t>
            </w: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z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P&gt;|z|</w:t>
            </w:r>
          </w:p>
        </w:tc>
      </w:tr>
      <w:tr w:rsidR="00433C42" w:rsidRPr="00433C42" w:rsidTr="00033ED2">
        <w:trPr>
          <w:trHeight w:val="300"/>
        </w:trPr>
        <w:tc>
          <w:tcPr>
            <w:tcW w:w="32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financialmarketstand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&lt;- L1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1.00</w:t>
            </w:r>
          </w:p>
        </w:tc>
        <w:tc>
          <w:tcPr>
            <w:tcW w:w="2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(constrained)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_cons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0.73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65.63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regprovstand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&lt;-  L1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1.09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0.11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9.59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_cons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0.35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30.54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labormarketstand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&lt;- L1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0.50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8.96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_cons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0.44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36.34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var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e.financialmarketstand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var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e.regprovstand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var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e.labormarketstand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</w:tr>
      <w:tr w:rsidR="00433C42" w:rsidRPr="00433C42" w:rsidTr="00033ED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var</w:t>
            </w:r>
            <w:proofErr w:type="spellEnd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(L1)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0.05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433C42" w:rsidRPr="00433C42" w:rsidTr="00033ED2">
        <w:trPr>
          <w:trHeight w:val="300"/>
        </w:trPr>
        <w:tc>
          <w:tcPr>
            <w:tcW w:w="32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Fit Statistics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proofErr w:type="spellStart"/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Rmsea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CFI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433C4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TLI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33C42" w:rsidRPr="00433C42" w:rsidTr="00033ED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CD</w:t>
            </w:r>
          </w:p>
        </w:tc>
        <w:tc>
          <w:tcPr>
            <w:tcW w:w="120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433C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0.85</w:t>
            </w:r>
          </w:p>
        </w:tc>
        <w:tc>
          <w:tcPr>
            <w:tcW w:w="240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C42" w:rsidRPr="00433C42" w:rsidRDefault="00433C42" w:rsidP="0043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:rsidR="00A2084C" w:rsidRPr="00FB0A79" w:rsidRDefault="00A2084C" w:rsidP="00A2084C">
      <w:pPr>
        <w:pStyle w:val="Beschriftung"/>
        <w:keepNext/>
        <w:rPr>
          <w:rFonts w:ascii="Times New Roman" w:hAnsi="Times New Roman" w:cs="Times New Roman"/>
          <w:color w:val="auto"/>
          <w:sz w:val="16"/>
          <w:szCs w:val="16"/>
          <w:lang w:val="en-GB"/>
        </w:rPr>
      </w:pPr>
    </w:p>
    <w:p w:rsidR="008D2C82" w:rsidRPr="00FB0A79" w:rsidRDefault="008D2C82" w:rsidP="008D2C82">
      <w:pPr>
        <w:tabs>
          <w:tab w:val="left" w:pos="9214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Note: </w:t>
      </w:r>
      <w:r w:rsidR="00145A16" w:rsidRPr="00145A16">
        <w:rPr>
          <w:rFonts w:ascii="Times New Roman" w:hAnsi="Times New Roman" w:cs="Times New Roman"/>
          <w:sz w:val="20"/>
          <w:szCs w:val="20"/>
          <w:lang w:val="en-GB"/>
        </w:rPr>
        <w:t>Own calculation</w:t>
      </w:r>
    </w:p>
    <w:p w:rsidR="00A2084C" w:rsidRPr="00FB0A79" w:rsidRDefault="00A2084C" w:rsidP="00A2084C">
      <w:pPr>
        <w:tabs>
          <w:tab w:val="left" w:pos="9214"/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A2084C" w:rsidRPr="00FB0A79" w:rsidRDefault="00A2084C" w:rsidP="00A2084C">
      <w:pPr>
        <w:tabs>
          <w:tab w:val="left" w:pos="9214"/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D2C82" w:rsidRPr="00FB0A79" w:rsidRDefault="008D2C82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b/>
          <w:sz w:val="20"/>
          <w:szCs w:val="20"/>
          <w:lang w:val="en-GB"/>
        </w:rPr>
        <w:br w:type="page"/>
      </w:r>
    </w:p>
    <w:p w:rsidR="00A2084C" w:rsidRDefault="00A2084C" w:rsidP="00A2084C">
      <w:pPr>
        <w:pStyle w:val="Beschriftung"/>
        <w:keepNext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color w:val="auto"/>
          <w:sz w:val="20"/>
          <w:szCs w:val="20"/>
          <w:lang w:val="en-GB"/>
        </w:rPr>
        <w:lastRenderedPageBreak/>
        <w:t xml:space="preserve">Figure </w:t>
      </w:r>
      <w:r w:rsidR="003705D5">
        <w:rPr>
          <w:rFonts w:ascii="Times New Roman" w:hAnsi="Times New Roman" w:cs="Times New Roman"/>
          <w:color w:val="auto"/>
          <w:sz w:val="20"/>
          <w:szCs w:val="20"/>
          <w:lang w:val="en-GB"/>
        </w:rPr>
        <w:t>A</w:t>
      </w:r>
      <w:r w:rsidRPr="00FB0A79">
        <w:rPr>
          <w:rFonts w:ascii="Times New Roman" w:hAnsi="Times New Roman" w:cs="Times New Roman"/>
          <w:color w:val="auto"/>
          <w:sz w:val="20"/>
          <w:szCs w:val="20"/>
          <w:lang w:val="en-GB"/>
        </w:rPr>
        <w:t>: Development of Liberalization Indicators</w:t>
      </w:r>
    </w:p>
    <w:p w:rsidR="00677CDE" w:rsidRDefault="00677CDE" w:rsidP="00A2084C">
      <w:pPr>
        <w:pStyle w:val="Beschriftung"/>
        <w:keepNext/>
        <w:rPr>
          <w:rFonts w:ascii="Times New Roman" w:hAnsi="Times New Roman" w:cs="Times New Roman"/>
          <w:sz w:val="20"/>
          <w:szCs w:val="20"/>
          <w:lang w:val="en-GB"/>
        </w:rPr>
      </w:pPr>
    </w:p>
    <w:p w:rsidR="00677CDE" w:rsidRPr="00677CDE" w:rsidRDefault="00677CDE" w:rsidP="00677CDE">
      <w:pPr>
        <w:jc w:val="both"/>
        <w:rPr>
          <w:rFonts w:ascii="Times New Roman" w:hAnsi="Times New Roman" w:cs="Times New Roman"/>
          <w:lang w:val="en-GB"/>
        </w:rPr>
      </w:pPr>
      <w:r w:rsidRPr="00677CDE">
        <w:rPr>
          <w:rFonts w:ascii="Times New Roman" w:hAnsi="Times New Roman" w:cs="Times New Roman"/>
          <w:lang w:val="en-GB"/>
        </w:rPr>
        <w:t>The regulation of financial markets (</w:t>
      </w:r>
      <w:proofErr w:type="spellStart"/>
      <w:r w:rsidRPr="00677CDE">
        <w:rPr>
          <w:rFonts w:ascii="Times New Roman" w:hAnsi="Times New Roman" w:cs="Times New Roman"/>
          <w:lang w:val="en-GB"/>
        </w:rPr>
        <w:t>financialmarketstand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) is captured by the index developed by </w:t>
      </w:r>
      <w:proofErr w:type="spellStart"/>
      <w:r w:rsidRPr="00677CDE">
        <w:rPr>
          <w:rFonts w:ascii="Times New Roman" w:hAnsi="Times New Roman" w:cs="Times New Roman"/>
          <w:lang w:val="en-GB"/>
        </w:rPr>
        <w:t>Abiad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and </w:t>
      </w:r>
      <w:proofErr w:type="spellStart"/>
      <w:r w:rsidRPr="00677CDE">
        <w:rPr>
          <w:rFonts w:ascii="Times New Roman" w:hAnsi="Times New Roman" w:cs="Times New Roman"/>
          <w:lang w:val="en-GB"/>
        </w:rPr>
        <w:t>Mody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(2005) covering six policy fields. The privatization of infrastructure (</w:t>
      </w:r>
      <w:proofErr w:type="spellStart"/>
      <w:r w:rsidRPr="00677CDE">
        <w:rPr>
          <w:rFonts w:ascii="Times New Roman" w:hAnsi="Times New Roman" w:cs="Times New Roman"/>
          <w:lang w:val="en-GB"/>
        </w:rPr>
        <w:t>reprovstand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) consists of seven indicators tapping the regulation in energy, transport and communications (OECD, 2011). </w:t>
      </w:r>
      <w:proofErr w:type="spellStart"/>
      <w:r w:rsidRPr="00677CDE">
        <w:rPr>
          <w:rFonts w:ascii="Times New Roman" w:hAnsi="Times New Roman" w:cs="Times New Roman"/>
          <w:lang w:val="en-GB"/>
        </w:rPr>
        <w:t>Labor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market regulation (</w:t>
      </w:r>
      <w:proofErr w:type="spellStart"/>
      <w:r w:rsidRPr="00677CDE">
        <w:rPr>
          <w:rFonts w:ascii="Times New Roman" w:hAnsi="Times New Roman" w:cs="Times New Roman"/>
          <w:lang w:val="en-GB"/>
        </w:rPr>
        <w:t>labormarketstand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) measures the strictness of regulation of individual dismissal of employees on indefinite and on fixed-term contracts with eight items (OECD 2013). For social spending compare </w:t>
      </w:r>
      <w:proofErr w:type="spellStart"/>
      <w:r w:rsidRPr="00677CDE">
        <w:rPr>
          <w:rFonts w:ascii="Times New Roman" w:hAnsi="Times New Roman" w:cs="Times New Roman"/>
          <w:lang w:val="en-GB"/>
        </w:rPr>
        <w:t>Armingeon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et al. (2012). Liberalization is measured as an additive index of </w:t>
      </w:r>
      <w:proofErr w:type="spellStart"/>
      <w:r w:rsidRPr="00677CDE">
        <w:rPr>
          <w:rFonts w:ascii="Times New Roman" w:hAnsi="Times New Roman" w:cs="Times New Roman"/>
          <w:lang w:val="en-GB"/>
        </w:rPr>
        <w:t>labor</w:t>
      </w:r>
      <w:proofErr w:type="spellEnd"/>
      <w:r w:rsidRPr="00677CDE">
        <w:rPr>
          <w:rFonts w:ascii="Times New Roman" w:hAnsi="Times New Roman" w:cs="Times New Roman"/>
          <w:lang w:val="en-GB"/>
        </w:rPr>
        <w:t xml:space="preserve"> market liberalization, privatization and financial liberalization.</w:t>
      </w:r>
    </w:p>
    <w:p w:rsidR="00A2084C" w:rsidRPr="00FB0A79" w:rsidRDefault="00A2084C" w:rsidP="00A2084C">
      <w:pPr>
        <w:keepNext/>
        <w:tabs>
          <w:tab w:val="left" w:pos="9214"/>
          <w:tab w:val="left" w:pos="9781"/>
        </w:tabs>
        <w:spacing w:after="120" w:line="360" w:lineRule="auto"/>
        <w:rPr>
          <w:rFonts w:ascii="Times New Roman" w:hAnsi="Times New Roman" w:cs="Times New Roman"/>
          <w:lang w:val="en-GB"/>
        </w:rPr>
      </w:pPr>
      <w:r w:rsidRPr="00FB0A79">
        <w:rPr>
          <w:rFonts w:ascii="Times New Roman" w:hAnsi="Times New Roman" w:cs="Times New Roman"/>
          <w:noProof/>
          <w:sz w:val="20"/>
          <w:lang w:val="en-GB" w:eastAsia="en-GB"/>
        </w:rPr>
        <w:drawing>
          <wp:inline distT="0" distB="0" distL="0" distR="0" wp14:anchorId="42C3CECF" wp14:editId="6CE1ADFE">
            <wp:extent cx="5390429" cy="3698697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53" cy="37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82" w:rsidRPr="00FB0A79" w:rsidRDefault="00A2084C" w:rsidP="008D2C82">
      <w:pPr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>Note:</w:t>
      </w:r>
      <w:r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77CDE">
        <w:rPr>
          <w:rFonts w:ascii="Times New Roman" w:hAnsi="Times New Roman" w:cs="Times New Roman"/>
          <w:sz w:val="20"/>
          <w:szCs w:val="20"/>
          <w:lang w:val="en-GB"/>
        </w:rPr>
        <w:t>Own calculation.</w:t>
      </w:r>
    </w:p>
    <w:p w:rsidR="005F43CE" w:rsidRPr="00FB0A79" w:rsidRDefault="005F43CE">
      <w:pPr>
        <w:spacing w:after="160" w:line="259" w:lineRule="auto"/>
        <w:rPr>
          <w:rFonts w:ascii="Times New Roman" w:eastAsia="SimSun" w:hAnsi="Times New Roman" w:cs="Times New Roman"/>
          <w:b/>
          <w:bCs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:rsidR="00A2084C" w:rsidRPr="00F85ED6" w:rsidRDefault="00BA684F" w:rsidP="00A2084C">
      <w:pPr>
        <w:pStyle w:val="Beschriftung"/>
        <w:keepNext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lastRenderedPageBreak/>
        <w:t>Table B</w:t>
      </w:r>
      <w:r w:rsidR="00A2084C" w:rsidRPr="00F85ED6">
        <w:rPr>
          <w:rFonts w:ascii="Times New Roman" w:hAnsi="Times New Roman" w:cs="Times New Roman"/>
          <w:color w:val="auto"/>
          <w:sz w:val="22"/>
          <w:szCs w:val="22"/>
          <w:lang w:val="en-GB"/>
        </w:rPr>
        <w:t>: Overview of the Balance</w:t>
      </w:r>
    </w:p>
    <w:p w:rsidR="00E4346A" w:rsidRPr="00F85ED6" w:rsidRDefault="00E4346A" w:rsidP="00E4346A">
      <w:pPr>
        <w:tabs>
          <w:tab w:val="left" w:pos="9214"/>
          <w:tab w:val="left" w:pos="9781"/>
        </w:tabs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  <w:r w:rsidRPr="00F85ED6">
        <w:rPr>
          <w:rFonts w:ascii="Times New Roman" w:hAnsi="Times New Roman" w:cs="Times New Roman"/>
          <w:lang w:val="en-GB"/>
        </w:rPr>
        <w:t xml:space="preserve">The distribution below are based the entropy balancing procedure proposed by </w:t>
      </w:r>
      <w:proofErr w:type="spellStart"/>
      <w:r w:rsidRPr="00F85ED6">
        <w:rPr>
          <w:rFonts w:ascii="Times New Roman" w:hAnsi="Times New Roman" w:cs="Times New Roman"/>
          <w:lang w:val="en-GB"/>
        </w:rPr>
        <w:t>Hainmüller</w:t>
      </w:r>
      <w:proofErr w:type="spellEnd"/>
      <w:r w:rsidRPr="00F85ED6">
        <w:rPr>
          <w:rFonts w:ascii="Times New Roman" w:hAnsi="Times New Roman" w:cs="Times New Roman"/>
          <w:lang w:val="en-GB"/>
        </w:rPr>
        <w:t xml:space="preserve"> &amp; XU (2011). Note that the lagged level of public debt and the </w:t>
      </w:r>
      <w:proofErr w:type="spellStart"/>
      <w:r w:rsidRPr="00F85ED6">
        <w:rPr>
          <w:rFonts w:ascii="Times New Roman" w:hAnsi="Times New Roman" w:cs="Times New Roman"/>
          <w:lang w:val="en-GB"/>
        </w:rPr>
        <w:t>logarithmized</w:t>
      </w:r>
      <w:proofErr w:type="spellEnd"/>
      <w:r w:rsidRPr="00F85ED6">
        <w:rPr>
          <w:rFonts w:ascii="Times New Roman" w:hAnsi="Times New Roman" w:cs="Times New Roman"/>
          <w:lang w:val="en-GB"/>
        </w:rPr>
        <w:t xml:space="preserve"> GDP per capita index failed to balance. For a description of the variables and their sources please compare the descriptive part in the article. </w:t>
      </w:r>
    </w:p>
    <w:p w:rsidR="00E4346A" w:rsidRPr="00FB0A79" w:rsidRDefault="00E4346A" w:rsidP="00A2084C">
      <w:pPr>
        <w:pStyle w:val="Beschriftung"/>
        <w:keepNext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tbl>
      <w:tblPr>
        <w:tblW w:w="7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"/>
        <w:gridCol w:w="2392"/>
        <w:gridCol w:w="708"/>
        <w:gridCol w:w="741"/>
        <w:gridCol w:w="813"/>
        <w:gridCol w:w="856"/>
        <w:gridCol w:w="992"/>
        <w:gridCol w:w="813"/>
      </w:tblGrid>
      <w:tr w:rsidR="0030152C" w:rsidRPr="00FB0A79" w:rsidTr="0090613C">
        <w:trPr>
          <w:trHeight w:val="300"/>
        </w:trPr>
        <w:tc>
          <w:tcPr>
            <w:tcW w:w="7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152C" w:rsidRPr="00FB0A79" w:rsidRDefault="0030152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  <w:t>Treated units: 46 (cabinets with formal or informal  PRRP participation),  total of weights: 46</w:t>
            </w:r>
          </w:p>
          <w:p w:rsidR="0030152C" w:rsidRPr="00FB0A79" w:rsidRDefault="0030152C" w:rsidP="003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  <w:t>Control units: 567, total of weights: 46</w:t>
            </w:r>
          </w:p>
          <w:p w:rsidR="0030152C" w:rsidRPr="00FB0A79" w:rsidRDefault="0030152C" w:rsidP="0030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  <w:t>Convergence after 13 Iteration</w:t>
            </w:r>
          </w:p>
        </w:tc>
      </w:tr>
      <w:tr w:rsidR="00A2084C" w:rsidRPr="00FB0A79" w:rsidTr="00033ED2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  <w:t>Before: without weighting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treat mean</w:t>
            </w:r>
          </w:p>
        </w:tc>
        <w:tc>
          <w:tcPr>
            <w:tcW w:w="7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treat variance</w:t>
            </w:r>
          </w:p>
        </w:tc>
        <w:tc>
          <w:tcPr>
            <w:tcW w:w="8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skewness</w:t>
            </w:r>
          </w:p>
        </w:tc>
        <w:tc>
          <w:tcPr>
            <w:tcW w:w="8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control mean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control variance</w:t>
            </w:r>
          </w:p>
        </w:tc>
        <w:tc>
          <w:tcPr>
            <w:tcW w:w="8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skewness</w:t>
            </w:r>
          </w:p>
        </w:tc>
      </w:tr>
      <w:tr w:rsidR="00A2084C" w:rsidRPr="00FB0A79" w:rsidTr="00033ED2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Market Liberalism of Gov.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30152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0.68</w:t>
            </w:r>
          </w:p>
        </w:tc>
        <w:tc>
          <w:tcPr>
            <w:tcW w:w="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30152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0.08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0.49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Government Duration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22.67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147</w:t>
            </w:r>
            <w:r w:rsidR="00A2084C"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.50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345.3</w:t>
            </w:r>
            <w:r w:rsidR="00A2084C"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2.22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Lagged Unemployment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1.19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15.46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0.68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Public Debt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25.43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1.12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23.29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1.01</w:t>
            </w:r>
          </w:p>
        </w:tc>
      </w:tr>
      <w:tr w:rsidR="00A2084C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Government seats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0.40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Share of Union Membership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99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43.82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453.6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0.43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391.8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0.22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Immigration Rate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7.14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12.78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1.03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Unemployment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1.84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level of Deindustrialization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</w:t>
            </w:r>
            <w:r w:rsidR="00994ED6"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Level of Liberalization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-1.24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994ED6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GDP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-1.26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5.94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-0.50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Population Share &gt;65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1.28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-0.57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 Population Share &lt;15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-0.38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0.57</w:t>
            </w:r>
          </w:p>
        </w:tc>
      </w:tr>
      <w:tr w:rsidR="00A2084C" w:rsidRPr="00FB0A79" w:rsidTr="00004510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Lagged Level of Open Economy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80.2</w:t>
            </w:r>
            <w:r w:rsidR="00A2084C"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428.8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-0.03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81.99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2181.00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2.10</w:t>
            </w:r>
          </w:p>
        </w:tc>
      </w:tr>
      <w:tr w:rsidR="00A2084C" w:rsidRPr="00FB0A79" w:rsidTr="00033ED2">
        <w:trPr>
          <w:trHeight w:val="300"/>
        </w:trPr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 Open Economy</w:t>
            </w:r>
          </w:p>
        </w:tc>
        <w:tc>
          <w:tcPr>
            <w:tcW w:w="708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1.72</w:t>
            </w:r>
          </w:p>
        </w:tc>
        <w:tc>
          <w:tcPr>
            <w:tcW w:w="741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29.86</w:t>
            </w:r>
          </w:p>
        </w:tc>
        <w:tc>
          <w:tcPr>
            <w:tcW w:w="8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-0.36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31.84</w:t>
            </w:r>
          </w:p>
        </w:tc>
        <w:tc>
          <w:tcPr>
            <w:tcW w:w="813" w:type="dxa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084C" w:rsidRPr="00FB0A79" w:rsidRDefault="00B55CF1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0.11</w:t>
            </w:r>
          </w:p>
        </w:tc>
      </w:tr>
      <w:tr w:rsidR="00A2084C" w:rsidRPr="00FB0A79" w:rsidTr="00033ED2">
        <w:trPr>
          <w:trHeight w:val="300"/>
        </w:trPr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392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741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813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992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813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de-DE"/>
              </w:rPr>
            </w:pPr>
          </w:p>
        </w:tc>
      </w:tr>
      <w:tr w:rsidR="00A2084C" w:rsidRPr="00FB0A79" w:rsidTr="00033ED2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CB17E9" w:rsidP="00CB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de-DE"/>
              </w:rPr>
              <w:t>After: with weighting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treat mean</w:t>
            </w:r>
          </w:p>
        </w:tc>
        <w:tc>
          <w:tcPr>
            <w:tcW w:w="7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treat variance</w:t>
            </w:r>
          </w:p>
        </w:tc>
        <w:tc>
          <w:tcPr>
            <w:tcW w:w="8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skewness</w:t>
            </w:r>
          </w:p>
        </w:tc>
        <w:tc>
          <w:tcPr>
            <w:tcW w:w="8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control mean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control variance</w:t>
            </w:r>
          </w:p>
        </w:tc>
        <w:tc>
          <w:tcPr>
            <w:tcW w:w="8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84C" w:rsidRPr="00FB0A79" w:rsidRDefault="00A2084C" w:rsidP="0000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skewness</w:t>
            </w:r>
          </w:p>
        </w:tc>
      </w:tr>
      <w:tr w:rsidR="00B55CF1" w:rsidRPr="00FB0A79" w:rsidTr="00033ED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Market Liberalism of Gov.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0.69</w:t>
            </w:r>
          </w:p>
        </w:tc>
        <w:tc>
          <w:tcPr>
            <w:tcW w:w="7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0.09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0.46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Government Duration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22.67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147.90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22.67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162.80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0.98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Lagged Unemployment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1.19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6.75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-0.19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Public Debt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25.43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1.12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19.25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1.08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Government seats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-0.44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Share of Union Membership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43.82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453.60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0.43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43.82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461.40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0.39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Immigration Rate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7.14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21.25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0.92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Unemployment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1.84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1.18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level of Deindustrialization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0.30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Lagged Level of Liberalization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-1.24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-1.34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GDP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1.31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4.89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-1.26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1.31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5.11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-0.44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Population Share &gt;65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1.28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0.11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 Population Share &lt;15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0.02</w:t>
            </w:r>
          </w:p>
        </w:tc>
        <w:tc>
          <w:tcPr>
            <w:tcW w:w="8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0.38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0.03</w:t>
            </w:r>
          </w:p>
        </w:tc>
        <w:tc>
          <w:tcPr>
            <w:tcW w:w="81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0.56</w:t>
            </w:r>
          </w:p>
        </w:tc>
      </w:tr>
      <w:tr w:rsidR="00B55CF1" w:rsidRPr="00FB0A79" w:rsidTr="00004510">
        <w:trPr>
          <w:trHeight w:val="300"/>
        </w:trPr>
        <w:tc>
          <w:tcPr>
            <w:tcW w:w="14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Lagged Level of Open Economy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80.22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428.80</w:t>
            </w:r>
          </w:p>
        </w:tc>
        <w:tc>
          <w:tcPr>
            <w:tcW w:w="8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-0.03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80.21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1195.00</w:t>
            </w:r>
          </w:p>
        </w:tc>
        <w:tc>
          <w:tcPr>
            <w:tcW w:w="813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2.02</w:t>
            </w:r>
          </w:p>
        </w:tc>
      </w:tr>
      <w:tr w:rsidR="00B55CF1" w:rsidRPr="00FB0A79" w:rsidTr="00033ED2">
        <w:trPr>
          <w:trHeight w:val="300"/>
        </w:trPr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2406" w:type="dxa"/>
            <w:gridSpan w:val="2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B55CF1" w:rsidRPr="00FB0A79" w:rsidRDefault="00B55CF1" w:rsidP="00B55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Δ Open Economy</w:t>
            </w:r>
          </w:p>
        </w:tc>
        <w:tc>
          <w:tcPr>
            <w:tcW w:w="708" w:type="dxa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1.72</w:t>
            </w:r>
          </w:p>
        </w:tc>
        <w:tc>
          <w:tcPr>
            <w:tcW w:w="741" w:type="dxa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29.86</w:t>
            </w:r>
          </w:p>
        </w:tc>
        <w:tc>
          <w:tcPr>
            <w:tcW w:w="813" w:type="dxa"/>
            <w:tcBorders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-0.36</w:t>
            </w:r>
          </w:p>
        </w:tc>
        <w:tc>
          <w:tcPr>
            <w:tcW w:w="856" w:type="dxa"/>
            <w:tcBorders>
              <w:left w:val="single" w:sz="4" w:space="0" w:color="auto"/>
              <w:bottom w:val="triple" w:sz="4" w:space="0" w:color="auto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1.72</w:t>
            </w:r>
          </w:p>
        </w:tc>
        <w:tc>
          <w:tcPr>
            <w:tcW w:w="992" w:type="dxa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22.52</w:t>
            </w:r>
          </w:p>
        </w:tc>
        <w:tc>
          <w:tcPr>
            <w:tcW w:w="813" w:type="dxa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bottom"/>
          </w:tcPr>
          <w:p w:rsidR="00B55CF1" w:rsidRPr="00FB0A79" w:rsidRDefault="00B55CF1" w:rsidP="00B55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FB0A7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1.03</w:t>
            </w:r>
          </w:p>
        </w:tc>
      </w:tr>
    </w:tbl>
    <w:p w:rsidR="00F5386F" w:rsidRPr="00FB0A79" w:rsidRDefault="008D2C82" w:rsidP="00E4346A">
      <w:pPr>
        <w:tabs>
          <w:tab w:val="left" w:pos="9214"/>
          <w:tab w:val="left" w:pos="978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>Note</w:t>
      </w:r>
      <w:r w:rsidR="00A2084C" w:rsidRPr="00FB0A79">
        <w:rPr>
          <w:rFonts w:ascii="Times New Roman" w:hAnsi="Times New Roman" w:cs="Times New Roman"/>
          <w:i/>
          <w:sz w:val="20"/>
          <w:szCs w:val="20"/>
          <w:lang w:val="en-GB"/>
        </w:rPr>
        <w:t>:</w:t>
      </w:r>
      <w:r w:rsidR="00A2084C"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Own calculation</w:t>
      </w:r>
      <w:r w:rsidR="00E4346A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A2084C"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5386F" w:rsidRPr="00FB0A79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:rsidR="00F022BB" w:rsidRPr="00FB0A79" w:rsidRDefault="00F022BB" w:rsidP="00F5386F">
      <w:pPr>
        <w:spacing w:after="160" w:line="259" w:lineRule="auto"/>
        <w:rPr>
          <w:rFonts w:ascii="Book Antiqua" w:hAnsi="Book Antiqua" w:cs="Times New Roman"/>
          <w:b/>
          <w:sz w:val="18"/>
          <w:szCs w:val="20"/>
          <w:lang w:val="en-GB"/>
        </w:rPr>
        <w:sectPr w:rsidR="00F022BB" w:rsidRPr="00FB0A79" w:rsidSect="00F022BB">
          <w:footerReference w:type="default" r:id="rId8"/>
          <w:pgSz w:w="12240" w:h="15840"/>
          <w:pgMar w:top="1418" w:right="1418" w:bottom="1134" w:left="992" w:header="0" w:footer="709" w:gutter="0"/>
          <w:cols w:space="720"/>
          <w:formProt w:val="0"/>
          <w:docGrid w:linePitch="360" w:charSpace="-2049"/>
        </w:sectPr>
      </w:pPr>
    </w:p>
    <w:p w:rsidR="002651BF" w:rsidRPr="00985310" w:rsidRDefault="002651BF" w:rsidP="002651BF">
      <w:pPr>
        <w:spacing w:after="120" w:line="360" w:lineRule="auto"/>
        <w:ind w:right="48"/>
        <w:outlineLvl w:val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  <w:lang w:val="en-US"/>
        </w:rPr>
        <w:lastRenderedPageBreak/>
        <w:t>Table C</w:t>
      </w:r>
      <w:r w:rsidRPr="004E0222">
        <w:rPr>
          <w:rFonts w:ascii="Book Antiqua" w:hAnsi="Book Antiqua"/>
          <w:b/>
          <w:sz w:val="20"/>
          <w:szCs w:val="20"/>
          <w:lang w:val="en-US"/>
        </w:rPr>
        <w:t>: Regression Models for Redistribution and Deregulation</w:t>
      </w:r>
    </w:p>
    <w:tbl>
      <w:tblPr>
        <w:tblW w:w="5955" w:type="dxa"/>
        <w:jc w:val="center"/>
        <w:tblBorders>
          <w:right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8"/>
        <w:gridCol w:w="1276"/>
      </w:tblGrid>
      <w:tr w:rsidR="002651BF" w:rsidRPr="009A282D" w:rsidTr="002651BF">
        <w:trPr>
          <w:trHeight w:val="1496"/>
          <w:jc w:val="center"/>
        </w:trPr>
        <w:tc>
          <w:tcPr>
            <w:tcW w:w="3261" w:type="dxa"/>
            <w:tcBorders>
              <w:right w:val="nil"/>
            </w:tcBorders>
            <w:shd w:val="clear" w:color="auto" w:fill="FFFFFF"/>
          </w:tcPr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Dependent Variable</w:t>
            </w: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Estimator</w:t>
            </w: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Model Number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Δ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Social Spending</w:t>
            </w:r>
          </w:p>
          <w:p w:rsidR="002651BF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Model: </w:t>
            </w:r>
            <w:proofErr w:type="spellStart"/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pcse</w:t>
            </w:r>
            <w:proofErr w:type="spellEnd"/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entropy balanced data</w:t>
            </w: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IV’s</w:t>
            </w: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(3</w:t>
            </w: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Δ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Social Spending</w:t>
            </w: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Model: </w:t>
            </w:r>
            <w:proofErr w:type="spellStart"/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pcse</w:t>
            </w:r>
            <w:proofErr w:type="spellEnd"/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entropy balanced data</w:t>
            </w: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IV’s</w:t>
            </w:r>
          </w:p>
          <w:p w:rsidR="002651BF" w:rsidRPr="009A282D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(4</w:t>
            </w:r>
            <w:r w:rsidRPr="009A282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651BF" w:rsidRPr="009A282D" w:rsidTr="002651BF">
        <w:trPr>
          <w:trHeight w:val="303"/>
          <w:jc w:val="center"/>
        </w:trPr>
        <w:tc>
          <w:tcPr>
            <w:tcW w:w="3261" w:type="dxa"/>
            <w:tcBorders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2651BF" w:rsidRPr="009A282D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9A282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Hypothesis involved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651BF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H1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651BF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H1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top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PRRP gov. support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-0.48**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top w:val="nil"/>
              <w:right w:val="single" w:sz="4" w:space="0" w:color="00000A"/>
            </w:tcBorders>
            <w:shd w:val="clear" w:color="auto" w:fill="FFFFFF"/>
            <w:vAlign w:val="center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PRRP* Gov. duration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0.69**</w:t>
            </w:r>
          </w:p>
        </w:tc>
      </w:tr>
      <w:tr w:rsidR="002651BF" w:rsidRPr="00860A6C" w:rsidTr="002651BF">
        <w:trPr>
          <w:jc w:val="center"/>
        </w:trPr>
        <w:tc>
          <w:tcPr>
            <w:tcW w:w="3261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Market liberalism of government</w:t>
            </w:r>
          </w:p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Market liberalism*Gov. duration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</w:tcPr>
          <w:p w:rsidR="002651B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-4.09***</w:t>
            </w:r>
          </w:p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auto"/>
            </w:tcBorders>
          </w:tcPr>
          <w:p w:rsidR="002651B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-6.31***</w:t>
            </w:r>
          </w:p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1.80</w:t>
            </w:r>
          </w:p>
        </w:tc>
      </w:tr>
      <w:tr w:rsidR="002651BF" w:rsidRPr="00CB3110" w:rsidTr="002651BF">
        <w:trPr>
          <w:jc w:val="center"/>
        </w:trPr>
        <w:tc>
          <w:tcPr>
            <w:tcW w:w="3261" w:type="dxa"/>
            <w:tcBorders>
              <w:top w:val="single" w:sz="4" w:space="0" w:color="auto"/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Gov. duration (in months)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-2.05*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-1.82*</w:t>
            </w:r>
          </w:p>
        </w:tc>
      </w:tr>
      <w:tr w:rsidR="002651BF" w:rsidRPr="00CB3110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Gov. seat share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-0.16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-0.33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l. union density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1.00***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0.86***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unemployment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5.41***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5.40***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l. unemployment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-1.61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-1.14</w:t>
            </w:r>
          </w:p>
        </w:tc>
      </w:tr>
      <w:tr w:rsidR="002651BF" w:rsidRPr="00680239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De-industrialization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-1,72*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-2.61***</w:t>
            </w:r>
          </w:p>
        </w:tc>
      </w:tr>
      <w:tr w:rsidR="002651BF" w:rsidRPr="00680239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l. debt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0.01***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0.01***</w:t>
            </w:r>
          </w:p>
        </w:tc>
      </w:tr>
      <w:tr w:rsidR="002651BF" w:rsidRPr="00680239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debt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1.04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1.27*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GDP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0.54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0.66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Ln GDP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-1.06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-1.47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pop &gt;65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1.48*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1.35*</w:t>
            </w:r>
          </w:p>
        </w:tc>
      </w:tr>
      <w:tr w:rsidR="002651BF" w:rsidRPr="00680239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pop &lt;15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3.68**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4.33***</w:t>
            </w:r>
          </w:p>
        </w:tc>
      </w:tr>
      <w:tr w:rsidR="002651BF" w:rsidRPr="00AE79F6" w:rsidTr="002651BF">
        <w:trPr>
          <w:trHeight w:val="170"/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l. Level Social Spending (2a-2b)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-0.10***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-0.11***</w:t>
            </w:r>
          </w:p>
        </w:tc>
      </w:tr>
      <w:tr w:rsidR="002651BF" w:rsidRPr="00AE79F6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Migration rate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516FEC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-2.97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516FEC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-4.45**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l. Globalization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0.34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5407F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Δ Globalization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A6DEE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1.29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0.84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2651BF" w:rsidRPr="00E5407F" w:rsidRDefault="002651BF" w:rsidP="0021791B">
            <w:pPr>
              <w:spacing w:before="10" w:after="1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5407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EMU-Integration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651BF" w:rsidRPr="00EA6DEE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-0.34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2651BF" w:rsidRPr="00EA6DEE" w:rsidRDefault="002651BF" w:rsidP="0021791B">
            <w:pPr>
              <w:spacing w:before="10" w:after="1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-0.24</w:t>
            </w:r>
          </w:p>
        </w:tc>
      </w:tr>
      <w:tr w:rsidR="002651BF" w:rsidRPr="00E5407F" w:rsidTr="002651BF">
        <w:trPr>
          <w:jc w:val="center"/>
        </w:trPr>
        <w:tc>
          <w:tcPr>
            <w:tcW w:w="3261" w:type="dxa"/>
            <w:tcBorders>
              <w:top w:val="double" w:sz="4" w:space="0" w:color="auto"/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Cons.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1.31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4.33*</w:t>
            </w:r>
          </w:p>
        </w:tc>
      </w:tr>
      <w:tr w:rsidR="002651BF" w:rsidRPr="00E5407F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R²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0.51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0.55</w:t>
            </w:r>
          </w:p>
        </w:tc>
      </w:tr>
      <w:tr w:rsidR="002651BF" w:rsidRPr="00E5407F" w:rsidTr="002651BF">
        <w:trPr>
          <w:jc w:val="center"/>
        </w:trPr>
        <w:tc>
          <w:tcPr>
            <w:tcW w:w="3261" w:type="dxa"/>
            <w:tcBorders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Number of countries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</w:tr>
      <w:tr w:rsidR="002651BF" w:rsidRPr="009A282D" w:rsidTr="002651BF">
        <w:trPr>
          <w:trHeight w:val="87"/>
          <w:jc w:val="center"/>
        </w:trPr>
        <w:tc>
          <w:tcPr>
            <w:tcW w:w="3261" w:type="dxa"/>
            <w:tcBorders>
              <w:bottom w:val="nil"/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Time frame 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1970-2010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1970-2010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top w:val="nil"/>
              <w:bottom w:val="nil"/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235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top w:val="nil"/>
              <w:bottom w:val="nil"/>
              <w:right w:val="single" w:sz="4" w:space="0" w:color="00000A"/>
            </w:tcBorders>
            <w:shd w:val="clear" w:color="auto" w:fill="FFFFFF"/>
          </w:tcPr>
          <w:p w:rsidR="002651BF" w:rsidRPr="00F5775F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5775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Positive cases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1BF" w:rsidRPr="00EA6DEE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EA6DE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</w:tr>
      <w:tr w:rsidR="002651BF" w:rsidRPr="009A282D" w:rsidTr="002651BF">
        <w:trPr>
          <w:jc w:val="center"/>
        </w:trPr>
        <w:tc>
          <w:tcPr>
            <w:tcW w:w="3261" w:type="dxa"/>
            <w:tcBorders>
              <w:top w:val="nil"/>
              <w:bottom w:val="triple" w:sz="4" w:space="0" w:color="auto"/>
              <w:right w:val="single" w:sz="4" w:space="0" w:color="00000A"/>
            </w:tcBorders>
            <w:shd w:val="clear" w:color="auto" w:fill="FFFFFF"/>
          </w:tcPr>
          <w:p w:rsidR="002651BF" w:rsidRPr="004E0222" w:rsidRDefault="002651BF" w:rsidP="002179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4E022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Robustness (Online Appendix)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</w:tcPr>
          <w:p w:rsidR="002651BF" w:rsidRPr="00A577C9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red"/>
                <w:lang w:val="en-US"/>
              </w:rPr>
            </w:pPr>
            <w:r w:rsidRPr="00015B4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Figure B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2651BF" w:rsidRPr="00A577C9" w:rsidRDefault="002651BF" w:rsidP="00217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red"/>
                <w:lang w:val="en-US"/>
              </w:rPr>
            </w:pPr>
            <w:r w:rsidRPr="00015B4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Figure B</w:t>
            </w:r>
          </w:p>
        </w:tc>
      </w:tr>
    </w:tbl>
    <w:p w:rsidR="002651BF" w:rsidRDefault="002651BF" w:rsidP="002651BF">
      <w:pPr>
        <w:spacing w:before="120" w:after="120" w:line="240" w:lineRule="auto"/>
        <w:ind w:right="45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85310">
        <w:rPr>
          <w:rFonts w:ascii="Book Antiqua" w:hAnsi="Book Antiqua"/>
          <w:i/>
          <w:color w:val="000000"/>
          <w:sz w:val="18"/>
          <w:szCs w:val="18"/>
          <w:lang w:val="en-US"/>
        </w:rPr>
        <w:t>Notes:</w:t>
      </w:r>
      <w:r w:rsidRPr="00985310">
        <w:rPr>
          <w:rFonts w:ascii="Book Antiqua" w:hAnsi="Book Antiqua"/>
          <w:color w:val="000000"/>
          <w:sz w:val="18"/>
          <w:szCs w:val="18"/>
          <w:lang w:val="en-US"/>
        </w:rPr>
        <w:t xml:space="preserve"> * &lt; 0.90; **&lt;0.95; ***&lt;0.99 levels of confidence. All coefficients are standardized by beta weights and consequently coefficients are comparable. Δ refers to changes and l to lagged variables.</w:t>
      </w:r>
      <w:r w:rsidRPr="00985310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</w:p>
    <w:p w:rsidR="002651BF" w:rsidRDefault="002651BF" w:rsidP="002651BF">
      <w:pPr>
        <w:spacing w:after="160" w:line="259" w:lineRule="auto"/>
        <w:rPr>
          <w:rFonts w:ascii="Times New Roman" w:hAnsi="Times New Roman"/>
          <w:color w:val="000000"/>
          <w:sz w:val="18"/>
          <w:szCs w:val="18"/>
          <w:lang w:val="en-US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br w:type="page"/>
      </w:r>
    </w:p>
    <w:p w:rsidR="002651BF" w:rsidRDefault="002651BF">
      <w:pPr>
        <w:spacing w:after="160" w:line="259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</w:p>
    <w:p w:rsidR="00FF4A1F" w:rsidRPr="00DB6D04" w:rsidRDefault="00FF4A1F" w:rsidP="00DB6D04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>Section B – Robustness</w:t>
      </w:r>
    </w:p>
    <w:p w:rsidR="00412B33" w:rsidRPr="00DB6D04" w:rsidRDefault="00412B33" w:rsidP="00DB6D04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>Figu</w:t>
      </w:r>
      <w:r w:rsidR="00BC0E1C">
        <w:rPr>
          <w:rFonts w:ascii="Times New Roman" w:hAnsi="Times New Roman" w:cs="Times New Roman"/>
          <w:color w:val="auto"/>
          <w:sz w:val="24"/>
          <w:szCs w:val="24"/>
          <w:lang w:val="en-GB"/>
        </w:rPr>
        <w:t>re B</w:t>
      </w:r>
      <w:r w:rsidR="00943BB8"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: </w:t>
      </w:r>
      <w:r w:rsidR="00DB6D04"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>Subsample regression</w:t>
      </w:r>
      <w:r w:rsid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: </w:t>
      </w:r>
      <w:r w:rsidR="00033ED2" w:rsidRP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>Average marginal effects (AME) on redistribution conditional on government duration</w:t>
      </w:r>
      <w:r w:rsidR="00DB6D04"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B7075C" w:rsidRDefault="00B7075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075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6650403" cy="48672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34" cy="488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E0" w:rsidRDefault="00580C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>Note:</w:t>
      </w:r>
      <w:r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Own calculation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DB6D04" w:rsidRPr="00DB6D04" w:rsidRDefault="00DB6D04" w:rsidP="00DB6D04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Figu</w:t>
      </w:r>
      <w:r w:rsidR="00BC0E1C">
        <w:rPr>
          <w:rFonts w:ascii="Times New Roman" w:hAnsi="Times New Roman" w:cs="Times New Roman"/>
          <w:color w:val="auto"/>
          <w:sz w:val="24"/>
          <w:szCs w:val="24"/>
          <w:lang w:val="en-GB"/>
        </w:rPr>
        <w:t>re C</w:t>
      </w:r>
      <w:r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>: Subsample regression</w:t>
      </w:r>
      <w:r w:rsid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>:</w:t>
      </w:r>
      <w:r w:rsidRPr="00DB6D04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33ED2" w:rsidRP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Average marginal effects (AME) on </w:t>
      </w:r>
      <w:r w:rsid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>deregulation</w:t>
      </w:r>
      <w:r w:rsidR="00033ED2" w:rsidRP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conditional on government duration</w:t>
      </w:r>
    </w:p>
    <w:p w:rsidR="00580CE0" w:rsidRDefault="00B7075C" w:rsidP="00580C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075C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6438900" cy="471248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97" cy="47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CE0" w:rsidRPr="00FB0A79">
        <w:rPr>
          <w:rFonts w:ascii="Times New Roman" w:hAnsi="Times New Roman" w:cs="Times New Roman"/>
          <w:i/>
          <w:sz w:val="20"/>
          <w:szCs w:val="20"/>
          <w:lang w:val="en-GB"/>
        </w:rPr>
        <w:t>Note:</w:t>
      </w:r>
      <w:r w:rsidR="00580CE0"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Own calculation</w:t>
      </w:r>
      <w:r w:rsidR="00580CE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580CE0" w:rsidRDefault="00580CE0">
      <w:pPr>
        <w:spacing w:after="160" w:line="259" w:lineRule="auto"/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662594" w:rsidRPr="00662594" w:rsidRDefault="00BC0E1C" w:rsidP="00662594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Figure D</w:t>
      </w:r>
      <w:bookmarkStart w:id="0" w:name="_GoBack"/>
      <w:bookmarkEnd w:id="0"/>
      <w:r w:rsidR="00662594" w:rsidRPr="00662594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: </w:t>
      </w:r>
      <w:r w:rsidR="00033ED2" w:rsidRP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Average marginal effects (AME) on </w:t>
      </w:r>
      <w:r w:rsid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>the sub</w:t>
      </w:r>
      <w:r w:rsidR="00B67717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>dimensions of deregulation</w:t>
      </w:r>
      <w:r w:rsidR="00033ED2" w:rsidRPr="00033ED2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conditional on government duration</w:t>
      </w:r>
    </w:p>
    <w:p w:rsidR="00662594" w:rsidRDefault="00662594" w:rsidP="00662594">
      <w:pPr>
        <w:tabs>
          <w:tab w:val="left" w:pos="9214"/>
          <w:tab w:val="left" w:pos="9781"/>
        </w:tabs>
        <w:spacing w:before="120" w:after="0" w:line="240" w:lineRule="auto"/>
        <w:rPr>
          <w:rFonts w:ascii="Book Antiqua" w:hAnsi="Book Antiqua" w:cs="Times New Roman"/>
          <w:color w:val="000000"/>
          <w:sz w:val="20"/>
          <w:szCs w:val="20"/>
          <w:lang w:val="en-GB"/>
        </w:rPr>
      </w:pPr>
    </w:p>
    <w:p w:rsidR="00662594" w:rsidRDefault="002E3CA6" w:rsidP="00662594">
      <w:pPr>
        <w:tabs>
          <w:tab w:val="left" w:pos="9214"/>
          <w:tab w:val="left" w:pos="9781"/>
        </w:tabs>
        <w:spacing w:before="120" w:after="0" w:line="240" w:lineRule="auto"/>
        <w:rPr>
          <w:rFonts w:ascii="Book Antiqua" w:hAnsi="Book Antiqua" w:cs="Times New Roman"/>
          <w:color w:val="000000"/>
          <w:sz w:val="20"/>
          <w:szCs w:val="20"/>
          <w:lang w:val="en-GB"/>
        </w:rPr>
      </w:pPr>
      <w:r w:rsidRPr="002E3CA6">
        <w:rPr>
          <w:rFonts w:ascii="Book Antiqua" w:hAnsi="Book Antiqua" w:cs="Times New Roman"/>
          <w:noProof/>
          <w:color w:val="000000"/>
          <w:sz w:val="20"/>
          <w:szCs w:val="20"/>
          <w:lang w:val="en-GB" w:eastAsia="en-GB"/>
        </w:rPr>
        <w:drawing>
          <wp:inline distT="0" distB="0" distL="0" distR="0">
            <wp:extent cx="6572250" cy="480985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78" cy="48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94" w:rsidRDefault="00580CE0" w:rsidP="00662594">
      <w:pPr>
        <w:tabs>
          <w:tab w:val="left" w:pos="9214"/>
          <w:tab w:val="left" w:pos="9781"/>
        </w:tabs>
        <w:spacing w:before="120" w:after="0" w:line="240" w:lineRule="auto"/>
        <w:rPr>
          <w:rFonts w:ascii="Book Antiqua" w:hAnsi="Book Antiqua" w:cs="Times New Roman"/>
          <w:color w:val="000000"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>Note:</w:t>
      </w:r>
      <w:r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 Own calculation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662594" w:rsidRDefault="00662594" w:rsidP="0066259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62594" w:rsidRDefault="00662594" w:rsidP="00B7075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62594" w:rsidRDefault="00662594" w:rsidP="00B7075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44F09" w:rsidRDefault="00A44F09">
      <w:pPr>
        <w:spacing w:after="160" w:line="259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:rsidR="00A2084C" w:rsidRDefault="00DB6D04" w:rsidP="00A2084C">
      <w:pPr>
        <w:tabs>
          <w:tab w:val="left" w:pos="9214"/>
          <w:tab w:val="left" w:pos="9781"/>
        </w:tabs>
        <w:spacing w:after="120" w:line="240" w:lineRule="auto"/>
        <w:ind w:right="-143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Section C</w:t>
      </w:r>
      <w:r w:rsidR="00A04BEF">
        <w:rPr>
          <w:rFonts w:ascii="Times New Roman" w:hAnsi="Times New Roman" w:cs="Times New Roman"/>
          <w:b/>
          <w:lang w:val="en-GB"/>
        </w:rPr>
        <w:t xml:space="preserve">: </w:t>
      </w:r>
      <w:r w:rsidR="00A2084C" w:rsidRPr="00117CC3">
        <w:rPr>
          <w:rFonts w:ascii="Times New Roman" w:hAnsi="Times New Roman" w:cs="Times New Roman"/>
          <w:b/>
          <w:lang w:val="en-GB"/>
        </w:rPr>
        <w:t xml:space="preserve"> </w:t>
      </w:r>
      <w:r w:rsidR="00A04BEF">
        <w:rPr>
          <w:rFonts w:ascii="Times New Roman" w:hAnsi="Times New Roman" w:cs="Times New Roman"/>
          <w:b/>
          <w:lang w:val="en-GB"/>
        </w:rPr>
        <w:t>Case Selection</w:t>
      </w:r>
    </w:p>
    <w:p w:rsidR="00117CC3" w:rsidRDefault="00F71725" w:rsidP="00943BB8">
      <w:pPr>
        <w:tabs>
          <w:tab w:val="left" w:pos="9214"/>
          <w:tab w:val="left" w:pos="9781"/>
        </w:tabs>
        <w:spacing w:after="120" w:line="240" w:lineRule="auto"/>
        <w:ind w:right="-1278"/>
        <w:jc w:val="both"/>
        <w:rPr>
          <w:rFonts w:ascii="Times New Roman" w:hAnsi="Times New Roman" w:cs="Times New Roman"/>
          <w:lang w:val="en-GB"/>
        </w:rPr>
      </w:pPr>
      <w:r w:rsidRPr="00F71725">
        <w:rPr>
          <w:rFonts w:ascii="Times New Roman" w:hAnsi="Times New Roman" w:cs="Times New Roman"/>
          <w:lang w:val="en-GB"/>
        </w:rPr>
        <w:t>Table E shows potential cases for the qualitative part. As a case is defined as one cabinet</w:t>
      </w:r>
      <w:r w:rsidR="00DD13A0">
        <w:rPr>
          <w:rFonts w:ascii="Times New Roman" w:hAnsi="Times New Roman" w:cs="Times New Roman"/>
          <w:lang w:val="en-GB"/>
        </w:rPr>
        <w:t>,</w:t>
      </w:r>
      <w:r w:rsidRPr="00F71725">
        <w:rPr>
          <w:rFonts w:ascii="Times New Roman" w:hAnsi="Times New Roman" w:cs="Times New Roman"/>
          <w:lang w:val="en-GB"/>
        </w:rPr>
        <w:t xml:space="preserve"> those cabinets with PRRP inclusion are listed first. Additionally, the values of the dependent variables are pictured. Finally, potential cases for comparison without PRRP government participation are </w:t>
      </w:r>
      <w:r w:rsidR="00DD13A0">
        <w:rPr>
          <w:rFonts w:ascii="Times New Roman" w:hAnsi="Times New Roman" w:cs="Times New Roman"/>
          <w:lang w:val="en-GB"/>
        </w:rPr>
        <w:t>illustrated i</w:t>
      </w:r>
      <w:r w:rsidRPr="00F71725">
        <w:rPr>
          <w:rFonts w:ascii="Times New Roman" w:hAnsi="Times New Roman" w:cs="Times New Roman"/>
          <w:lang w:val="en-GB"/>
        </w:rPr>
        <w:t xml:space="preserve">n the last column. </w:t>
      </w:r>
      <w:r w:rsidR="00DD13A0">
        <w:rPr>
          <w:rFonts w:ascii="Times New Roman" w:hAnsi="Times New Roman" w:cs="Times New Roman"/>
          <w:lang w:val="en-GB"/>
        </w:rPr>
        <w:t>Cabinets with PRRP inclusion and the comparison cases are calculated by using coarsened exact matching (</w:t>
      </w:r>
      <w:r w:rsidR="002579E4">
        <w:rPr>
          <w:rFonts w:ascii="Times New Roman" w:hAnsi="Times New Roman" w:cs="Times New Roman"/>
          <w:lang w:val="en-GB"/>
        </w:rPr>
        <w:t xml:space="preserve">CEM; </w:t>
      </w:r>
      <w:proofErr w:type="spellStart"/>
      <w:r w:rsidR="00DD13A0">
        <w:rPr>
          <w:rFonts w:ascii="Times New Roman" w:hAnsi="Times New Roman" w:cs="Times New Roman"/>
          <w:lang w:val="en-GB"/>
        </w:rPr>
        <w:t>Iacus</w:t>
      </w:r>
      <w:proofErr w:type="spellEnd"/>
      <w:r w:rsidR="00DD13A0">
        <w:rPr>
          <w:rFonts w:ascii="Times New Roman" w:hAnsi="Times New Roman" w:cs="Times New Roman"/>
          <w:lang w:val="en-GB"/>
        </w:rPr>
        <w:t xml:space="preserve"> et al. 2012</w:t>
      </w:r>
      <w:r w:rsidR="00A04BEF">
        <w:rPr>
          <w:rFonts w:ascii="Times New Roman" w:hAnsi="Times New Roman" w:cs="Times New Roman"/>
          <w:lang w:val="en-GB"/>
        </w:rPr>
        <w:t>; see table F</w:t>
      </w:r>
      <w:r w:rsidR="00DD13A0">
        <w:rPr>
          <w:rFonts w:ascii="Times New Roman" w:hAnsi="Times New Roman" w:cs="Times New Roman"/>
          <w:lang w:val="en-GB"/>
        </w:rPr>
        <w:t xml:space="preserve">). </w:t>
      </w:r>
    </w:p>
    <w:p w:rsidR="002579E4" w:rsidRPr="00A04BEF" w:rsidRDefault="002579E4" w:rsidP="00A04BEF">
      <w:pPr>
        <w:tabs>
          <w:tab w:val="left" w:pos="9214"/>
          <w:tab w:val="left" w:pos="9781"/>
        </w:tabs>
        <w:spacing w:after="120" w:line="240" w:lineRule="auto"/>
        <w:ind w:right="-143"/>
        <w:rPr>
          <w:rFonts w:ascii="Times New Roman" w:hAnsi="Times New Roman" w:cs="Times New Roman"/>
          <w:b/>
          <w:lang w:val="en-GB"/>
        </w:rPr>
      </w:pPr>
      <w:r w:rsidRPr="00A04BEF">
        <w:rPr>
          <w:rFonts w:ascii="Times New Roman" w:hAnsi="Times New Roman" w:cs="Times New Roman"/>
          <w:b/>
          <w:lang w:val="en-GB"/>
        </w:rPr>
        <w:t xml:space="preserve">Table </w:t>
      </w:r>
      <w:r w:rsidR="002651BF">
        <w:rPr>
          <w:rFonts w:ascii="Times New Roman" w:hAnsi="Times New Roman" w:cs="Times New Roman"/>
          <w:b/>
          <w:lang w:val="en-GB"/>
        </w:rPr>
        <w:t>D</w:t>
      </w:r>
      <w:r w:rsidRPr="00A04BEF">
        <w:rPr>
          <w:rFonts w:ascii="Times New Roman" w:hAnsi="Times New Roman" w:cs="Times New Roman"/>
          <w:b/>
          <w:lang w:val="en-GB"/>
        </w:rPr>
        <w:t>: Potential comparisons after CEM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1561"/>
        <w:gridCol w:w="1269"/>
        <w:gridCol w:w="1134"/>
        <w:gridCol w:w="3304"/>
      </w:tblGrid>
      <w:tr w:rsidR="00473AF1" w:rsidTr="00BC0E1C"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473AF1" w:rsidRPr="00473AF1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Cabinet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bottom"/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Year</w:t>
            </w:r>
          </w:p>
        </w:tc>
        <w:tc>
          <w:tcPr>
            <w:tcW w:w="1561" w:type="dxa"/>
            <w:tcBorders>
              <w:top w:val="nil"/>
              <w:bottom w:val="double" w:sz="4" w:space="0" w:color="auto"/>
            </w:tcBorders>
            <w:vAlign w:val="center"/>
          </w:tcPr>
          <w:p w:rsidR="00473AF1" w:rsidRDefault="00473AF1" w:rsidP="002579E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Δ</w:t>
            </w:r>
            <w:r w:rsidR="002579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Social Spending</w:t>
            </w:r>
          </w:p>
        </w:tc>
        <w:tc>
          <w:tcPr>
            <w:tcW w:w="1269" w:type="dxa"/>
            <w:tcBorders>
              <w:top w:val="nil"/>
              <w:bottom w:val="double" w:sz="4" w:space="0" w:color="auto"/>
            </w:tcBorders>
            <w:vAlign w:val="bottom"/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 Deregulation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bottom"/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Δ</w:t>
            </w: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 Generosity</w:t>
            </w:r>
          </w:p>
        </w:tc>
        <w:tc>
          <w:tcPr>
            <w:tcW w:w="3304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473AF1" w:rsidRDefault="00473AF1" w:rsidP="002579E4">
            <w:pPr>
              <w:spacing w:after="0" w:line="240" w:lineRule="auto"/>
              <w:ind w:right="356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Potential</w:t>
            </w:r>
            <w:r w:rsidR="002579E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FB0A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GB"/>
              </w:rPr>
              <w:t>Comparison after CEM</w:t>
            </w:r>
          </w:p>
        </w:tc>
      </w:tr>
      <w:tr w:rsidR="00473AF1" w:rsidTr="00BC0E1C">
        <w:tc>
          <w:tcPr>
            <w:tcW w:w="1134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Balkenende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2003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0.34</w:t>
            </w: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2.39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0.20</w:t>
            </w:r>
          </w:p>
        </w:tc>
        <w:tc>
          <w:tcPr>
            <w:tcW w:w="3304" w:type="dxa"/>
            <w:tcBorders>
              <w:top w:val="double" w:sz="4" w:space="0" w:color="auto"/>
              <w:right w:val="nil"/>
            </w:tcBorders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Lubbers I (1984); </w:t>
            </w:r>
            <w:proofErr w:type="spellStart"/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Kok</w:t>
            </w:r>
            <w:proofErr w:type="spellEnd"/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 I (1995-1996);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Balkenende</w:t>
            </w:r>
            <w:proofErr w:type="spellEnd"/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 II (2004-2006); 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Rasmussen F II (2007, Denmark)</w:t>
            </w:r>
          </w:p>
        </w:tc>
      </w:tr>
      <w:tr w:rsidR="00473AF1" w:rsidRPr="00473AF1" w:rsidTr="002579E4"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Berlusconi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1994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0.23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1.49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-0.30</w:t>
            </w:r>
          </w:p>
        </w:tc>
        <w:tc>
          <w:tcPr>
            <w:tcW w:w="3304" w:type="dxa"/>
            <w:vMerge w:val="restart"/>
            <w:tcBorders>
              <w:bottom w:val="nil"/>
              <w:right w:val="nil"/>
            </w:tcBorders>
            <w:vAlign w:val="center"/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rPr>
                <w:rFonts w:ascii="Times New Roman" w:hAnsi="Times New Roman" w:cs="Times New Roman"/>
                <w:lang w:val="en-GB"/>
              </w:rPr>
            </w:pPr>
            <w:r w:rsidRPr="00473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Amato I (1992)</w:t>
            </w:r>
            <w:r w:rsidRPr="00473A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; </w:t>
            </w:r>
            <w:proofErr w:type="spellStart"/>
            <w:r w:rsidRPr="00473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Craxi</w:t>
            </w:r>
            <w:proofErr w:type="spellEnd"/>
            <w:r w:rsidRPr="00473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 xml:space="preserve"> II (1987)</w:t>
            </w:r>
          </w:p>
        </w:tc>
      </w:tr>
      <w:tr w:rsidR="00473AF1" w:rsidRPr="00473AF1" w:rsidTr="002579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Berlusconi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II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2001-2004</w:t>
            </w:r>
          </w:p>
        </w:tc>
        <w:tc>
          <w:tcPr>
            <w:tcW w:w="1561" w:type="dxa"/>
            <w:tcBorders>
              <w:top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-0.20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6.81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-0.20</w:t>
            </w:r>
          </w:p>
        </w:tc>
        <w:tc>
          <w:tcPr>
            <w:tcW w:w="3304" w:type="dxa"/>
            <w:vMerge/>
            <w:tcBorders>
              <w:top w:val="nil"/>
              <w:bottom w:val="nil"/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473AF1" w:rsidTr="002579E4"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Berlusconi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III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2005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0.07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9.19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0.10</w:t>
            </w:r>
          </w:p>
        </w:tc>
        <w:tc>
          <w:tcPr>
            <w:tcW w:w="3304" w:type="dxa"/>
            <w:vMerge/>
            <w:tcBorders>
              <w:top w:val="nil"/>
              <w:right w:val="nil"/>
            </w:tcBorders>
          </w:tcPr>
          <w:p w:rsid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73AF1" w:rsidRPr="00473AF1" w:rsidTr="002579E4"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Schuessel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</w:t>
            </w:r>
          </w:p>
        </w:tc>
        <w:tc>
          <w:tcPr>
            <w:tcW w:w="70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2000-2002</w:t>
            </w:r>
          </w:p>
        </w:tc>
        <w:tc>
          <w:tcPr>
            <w:tcW w:w="1561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-0.12</w:t>
            </w:r>
          </w:p>
        </w:tc>
        <w:tc>
          <w:tcPr>
            <w:tcW w:w="126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4.63</w:t>
            </w:r>
          </w:p>
        </w:tc>
        <w:tc>
          <w:tcPr>
            <w:tcW w:w="1134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0.30</w:t>
            </w:r>
          </w:p>
        </w:tc>
        <w:tc>
          <w:tcPr>
            <w:tcW w:w="3304" w:type="dxa"/>
            <w:tcBorders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8142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de-DE"/>
              </w:rPr>
              <w:t>Klima I (1997-1999);</w:t>
            </w:r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Schluter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I+II (1983+1987,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Denmark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Rasmussen F II (2005-2006,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Denmark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Kohl II (1986, Germany); Van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Agt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 (1978-1980,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Netherlands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Willoch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I+II (1982-1983,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Norway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  </w:t>
            </w:r>
          </w:p>
        </w:tc>
      </w:tr>
      <w:tr w:rsidR="00473AF1" w:rsidRPr="00473AF1" w:rsidTr="002579E4">
        <w:trPr>
          <w:trHeight w:val="465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Schuessel</w:t>
            </w:r>
            <w:proofErr w:type="spellEnd"/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III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2003-2004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0.28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0.93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0.10</w:t>
            </w:r>
          </w:p>
        </w:tc>
        <w:tc>
          <w:tcPr>
            <w:tcW w:w="3304" w:type="dxa"/>
            <w:vMerge w:val="restart"/>
            <w:tcBorders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  <w:r w:rsidRPr="008142C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de-DE"/>
              </w:rPr>
              <w:t>Klima I (1997-1999);</w:t>
            </w:r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Schluter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I+II (1983+1987,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Denmark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Rasmussen F II (2005-2006,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Denmark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Kohl II (1986, Germany); Van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Agt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 (1978-1980,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Netherlands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);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Willoch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 I+II (1982-1983, </w:t>
            </w:r>
            <w:proofErr w:type="spellStart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>Norway</w:t>
            </w:r>
            <w:proofErr w:type="spellEnd"/>
            <w:r w:rsidRPr="008142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de-DE"/>
              </w:rPr>
              <w:t xml:space="preserve">)  </w:t>
            </w:r>
          </w:p>
        </w:tc>
      </w:tr>
      <w:tr w:rsidR="00473AF1" w:rsidRPr="00473AF1" w:rsidTr="002579E4"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Schuessel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IV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2005-2006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-0.34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3.54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0.20</w:t>
            </w:r>
          </w:p>
        </w:tc>
        <w:tc>
          <w:tcPr>
            <w:tcW w:w="3304" w:type="dxa"/>
            <w:vMerge/>
            <w:tcBorders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3AF1" w:rsidRPr="00BC0E1C" w:rsidTr="002579E4"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Bundesrat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1999</w:t>
            </w:r>
          </w:p>
        </w:tc>
        <w:tc>
          <w:tcPr>
            <w:tcW w:w="70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2000-2002</w:t>
            </w:r>
          </w:p>
        </w:tc>
        <w:tc>
          <w:tcPr>
            <w:tcW w:w="1561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-0.45</w:t>
            </w:r>
          </w:p>
        </w:tc>
        <w:tc>
          <w:tcPr>
            <w:tcW w:w="126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2.44</w:t>
            </w:r>
          </w:p>
        </w:tc>
        <w:tc>
          <w:tcPr>
            <w:tcW w:w="1134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0.00</w:t>
            </w:r>
          </w:p>
        </w:tc>
        <w:tc>
          <w:tcPr>
            <w:tcW w:w="3304" w:type="dxa"/>
            <w:tcBorders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Bundesrat (1979, 1987, 1995)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and different cabinets from seven other countries.</w:t>
            </w:r>
          </w:p>
        </w:tc>
      </w:tr>
      <w:tr w:rsidR="00473AF1" w:rsidRPr="00473AF1" w:rsidTr="002579E4"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Bundesrat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1999</w:t>
            </w:r>
          </w:p>
        </w:tc>
        <w:tc>
          <w:tcPr>
            <w:tcW w:w="70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2003</w:t>
            </w:r>
          </w:p>
        </w:tc>
        <w:tc>
          <w:tcPr>
            <w:tcW w:w="1561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0.71</w:t>
            </w:r>
          </w:p>
        </w:tc>
        <w:tc>
          <w:tcPr>
            <w:tcW w:w="1269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0.00</w:t>
            </w:r>
          </w:p>
        </w:tc>
        <w:tc>
          <w:tcPr>
            <w:tcW w:w="1134" w:type="dxa"/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0.20</w:t>
            </w:r>
          </w:p>
        </w:tc>
        <w:tc>
          <w:tcPr>
            <w:tcW w:w="3304" w:type="dxa"/>
            <w:tcBorders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Bundesrat (1979)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; Reinfeldt I (2008); </w:t>
            </w: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Falldin</w:t>
            </w:r>
            <w:proofErr w:type="spellEnd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III (1981); Socrates I (2008); Schroeder II (2003); </w:t>
            </w:r>
            <w:proofErr w:type="spellStart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Fillon</w:t>
            </w:r>
            <w:proofErr w:type="spellEnd"/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II (2008)</w:t>
            </w:r>
          </w:p>
        </w:tc>
      </w:tr>
      <w:tr w:rsidR="00473AF1" w:rsidRPr="00BC0E1C" w:rsidTr="002579E4"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Bundesrat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2004-2007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-0.07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0.61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0.00</w:t>
            </w:r>
          </w:p>
        </w:tc>
        <w:tc>
          <w:tcPr>
            <w:tcW w:w="3304" w:type="dxa"/>
            <w:vMerge w:val="restart"/>
            <w:tcBorders>
              <w:bottom w:val="nil"/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  <w:r w:rsidRPr="00FB0A7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GB" w:eastAsia="de-DE"/>
              </w:rPr>
              <w:t>Bundesrat (1979, 1987, 1995)</w:t>
            </w: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 xml:space="preserve"> and different cabinets from seven other countries.</w:t>
            </w:r>
          </w:p>
        </w:tc>
      </w:tr>
      <w:tr w:rsidR="00473AF1" w:rsidRPr="00473AF1" w:rsidTr="00BC0E1C">
        <w:tc>
          <w:tcPr>
            <w:tcW w:w="11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Bundesrat</w:t>
            </w:r>
          </w:p>
        </w:tc>
        <w:tc>
          <w:tcPr>
            <w:tcW w:w="709" w:type="dxa"/>
            <w:tcBorders>
              <w:top w:val="nil"/>
              <w:left w:val="nil"/>
              <w:bottom w:val="trip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2008</w:t>
            </w:r>
          </w:p>
        </w:tc>
        <w:tc>
          <w:tcPr>
            <w:tcW w:w="709" w:type="dxa"/>
            <w:tcBorders>
              <w:top w:val="nil"/>
              <w:bottom w:val="trip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2009-2010</w:t>
            </w:r>
          </w:p>
        </w:tc>
        <w:tc>
          <w:tcPr>
            <w:tcW w:w="1561" w:type="dxa"/>
            <w:tcBorders>
              <w:top w:val="nil"/>
              <w:bottom w:val="trip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1.15</w:t>
            </w:r>
          </w:p>
        </w:tc>
        <w:tc>
          <w:tcPr>
            <w:tcW w:w="1269" w:type="dxa"/>
            <w:tcBorders>
              <w:top w:val="nil"/>
              <w:bottom w:val="trip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.</w:t>
            </w:r>
          </w:p>
        </w:tc>
        <w:tc>
          <w:tcPr>
            <w:tcW w:w="1134" w:type="dxa"/>
            <w:tcBorders>
              <w:top w:val="nil"/>
              <w:bottom w:val="triple" w:sz="4" w:space="0" w:color="auto"/>
            </w:tcBorders>
            <w:vAlign w:val="center"/>
          </w:tcPr>
          <w:p w:rsidR="00473AF1" w:rsidRPr="00FB0A79" w:rsidRDefault="00473AF1" w:rsidP="0047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</w:pPr>
            <w:r w:rsidRPr="00FB0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de-DE"/>
              </w:rPr>
              <w:t>-0.30</w:t>
            </w:r>
          </w:p>
        </w:tc>
        <w:tc>
          <w:tcPr>
            <w:tcW w:w="3304" w:type="dxa"/>
            <w:vMerge/>
            <w:tcBorders>
              <w:top w:val="nil"/>
              <w:bottom w:val="triple" w:sz="4" w:space="0" w:color="auto"/>
              <w:right w:val="nil"/>
            </w:tcBorders>
          </w:tcPr>
          <w:p w:rsidR="00473AF1" w:rsidRPr="00473AF1" w:rsidRDefault="00473AF1" w:rsidP="00473AF1">
            <w:pPr>
              <w:tabs>
                <w:tab w:val="left" w:pos="9214"/>
                <w:tab w:val="left" w:pos="9781"/>
              </w:tabs>
              <w:spacing w:after="120" w:line="240" w:lineRule="auto"/>
              <w:ind w:right="-143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B97B8C" w:rsidRDefault="00473AF1" w:rsidP="00B97B8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B0A79">
        <w:rPr>
          <w:rFonts w:ascii="Times New Roman" w:hAnsi="Times New Roman" w:cs="Times New Roman"/>
          <w:i/>
          <w:sz w:val="20"/>
          <w:szCs w:val="20"/>
          <w:lang w:val="en-GB"/>
        </w:rPr>
        <w:t xml:space="preserve">Note: </w:t>
      </w:r>
      <w:r w:rsidRPr="00FB0A79">
        <w:rPr>
          <w:rFonts w:ascii="Times New Roman" w:hAnsi="Times New Roman" w:cs="Times New Roman"/>
          <w:sz w:val="20"/>
          <w:szCs w:val="20"/>
          <w:lang w:val="en-GB"/>
        </w:rPr>
        <w:t xml:space="preserve">The criteria where defined as having a CEM match in the same country. Matches fulfilling this criteria are in bold letters. </w:t>
      </w:r>
    </w:p>
    <w:p w:rsidR="00A2084C" w:rsidRDefault="00DD13A0" w:rsidP="00943BB8">
      <w:pPr>
        <w:spacing w:after="0" w:line="240" w:lineRule="auto"/>
        <w:ind w:right="-1278"/>
        <w:jc w:val="both"/>
        <w:rPr>
          <w:rFonts w:ascii="Times New Roman" w:hAnsi="Times New Roman" w:cs="Times New Roman"/>
          <w:szCs w:val="24"/>
          <w:lang w:val="en-GB"/>
        </w:rPr>
      </w:pPr>
      <w:r w:rsidRPr="00375363">
        <w:rPr>
          <w:rFonts w:ascii="Times New Roman" w:hAnsi="Times New Roman" w:cs="Times New Roman"/>
          <w:szCs w:val="24"/>
          <w:lang w:val="en-GB"/>
        </w:rPr>
        <w:t xml:space="preserve">Coarsened exact matching does not converge on solution </w:t>
      </w:r>
      <w:r w:rsidR="00375363">
        <w:rPr>
          <w:rFonts w:ascii="Times New Roman" w:hAnsi="Times New Roman" w:cs="Times New Roman"/>
          <w:szCs w:val="24"/>
          <w:lang w:val="en-GB"/>
        </w:rPr>
        <w:t>using variables with their original distributions</w:t>
      </w:r>
      <w:r w:rsidRPr="00375363">
        <w:rPr>
          <w:rFonts w:ascii="Times New Roman" w:hAnsi="Times New Roman" w:cs="Times New Roman"/>
          <w:szCs w:val="24"/>
          <w:lang w:val="en-GB"/>
        </w:rPr>
        <w:t>. A</w:t>
      </w:r>
      <w:r w:rsidR="00375363" w:rsidRPr="00375363">
        <w:rPr>
          <w:rFonts w:ascii="Times New Roman" w:hAnsi="Times New Roman" w:cs="Times New Roman"/>
          <w:szCs w:val="24"/>
          <w:lang w:val="en-GB"/>
        </w:rPr>
        <w:t xml:space="preserve">s many of them are continuous an exact match is very unlikely. The coarsening procedure entails a manual categorization of some variables based on their distribution. </w:t>
      </w:r>
      <w:r w:rsidR="00375363">
        <w:rPr>
          <w:rFonts w:ascii="Times New Roman" w:hAnsi="Times New Roman" w:cs="Times New Roman"/>
          <w:szCs w:val="24"/>
          <w:lang w:val="en-GB"/>
        </w:rPr>
        <w:t>The CEM procedure matches 21 pos</w:t>
      </w:r>
      <w:r w:rsidR="00453D7E">
        <w:rPr>
          <w:rFonts w:ascii="Times New Roman" w:hAnsi="Times New Roman" w:cs="Times New Roman"/>
          <w:szCs w:val="24"/>
          <w:lang w:val="en-GB"/>
        </w:rPr>
        <w:t>i</w:t>
      </w:r>
      <w:r w:rsidR="00375363">
        <w:rPr>
          <w:rFonts w:ascii="Times New Roman" w:hAnsi="Times New Roman" w:cs="Times New Roman"/>
          <w:szCs w:val="24"/>
          <w:lang w:val="en-GB"/>
        </w:rPr>
        <w:t>tive cases (cabinets with PRRP inclusion) with 86 cabinets without PRRP inclusion. From 670 cases 586 remain unmatched. The following Table shows the coarsened variables, their thresholds, the univariate imbalance (</w:t>
      </w:r>
      <w:proofErr w:type="spellStart"/>
      <w:proofErr w:type="gramStart"/>
      <w:r w:rsidR="00375363">
        <w:rPr>
          <w:rFonts w:ascii="Times New Roman" w:hAnsi="Times New Roman" w:cs="Times New Roman"/>
          <w:szCs w:val="24"/>
          <w:lang w:val="en-GB"/>
        </w:rPr>
        <w:t>scott</w:t>
      </w:r>
      <w:proofErr w:type="spellEnd"/>
      <w:proofErr w:type="gramEnd"/>
      <w:r w:rsidR="00375363">
        <w:rPr>
          <w:rFonts w:ascii="Times New Roman" w:hAnsi="Times New Roman" w:cs="Times New Roman"/>
          <w:szCs w:val="24"/>
          <w:lang w:val="en-GB"/>
        </w:rPr>
        <w:t xml:space="preserve"> break method) </w:t>
      </w:r>
      <w:r w:rsidR="00473AF1">
        <w:rPr>
          <w:rFonts w:ascii="Times New Roman" w:hAnsi="Times New Roman" w:cs="Times New Roman"/>
          <w:szCs w:val="24"/>
          <w:lang w:val="en-GB"/>
        </w:rPr>
        <w:t xml:space="preserve">and the mean distance: </w:t>
      </w:r>
    </w:p>
    <w:p w:rsidR="00BC0E1C" w:rsidRDefault="00BC0E1C" w:rsidP="00943BB8">
      <w:pPr>
        <w:spacing w:after="0" w:line="240" w:lineRule="auto"/>
        <w:ind w:right="-1278"/>
        <w:jc w:val="both"/>
        <w:rPr>
          <w:rFonts w:ascii="Times New Roman" w:hAnsi="Times New Roman" w:cs="Times New Roman"/>
          <w:szCs w:val="24"/>
          <w:lang w:val="en-GB"/>
        </w:rPr>
      </w:pPr>
    </w:p>
    <w:p w:rsidR="00A04BEF" w:rsidRPr="00A04BEF" w:rsidRDefault="00A04BEF" w:rsidP="00A04BEF">
      <w:pPr>
        <w:tabs>
          <w:tab w:val="left" w:pos="9214"/>
          <w:tab w:val="left" w:pos="9781"/>
        </w:tabs>
        <w:spacing w:after="120" w:line="240" w:lineRule="auto"/>
        <w:ind w:right="-143"/>
        <w:rPr>
          <w:rFonts w:ascii="Times New Roman" w:hAnsi="Times New Roman" w:cs="Times New Roman"/>
          <w:b/>
          <w:lang w:val="en-GB"/>
        </w:rPr>
      </w:pPr>
      <w:r w:rsidRPr="00A04BEF">
        <w:rPr>
          <w:rFonts w:ascii="Times New Roman" w:hAnsi="Times New Roman" w:cs="Times New Roman"/>
          <w:b/>
          <w:lang w:val="en-GB"/>
        </w:rPr>
        <w:t xml:space="preserve">Table </w:t>
      </w:r>
      <w:r w:rsidR="002651BF">
        <w:rPr>
          <w:rFonts w:ascii="Times New Roman" w:hAnsi="Times New Roman" w:cs="Times New Roman"/>
          <w:b/>
          <w:lang w:val="en-GB"/>
        </w:rPr>
        <w:t>E</w:t>
      </w:r>
      <w:r w:rsidRPr="00A04BEF">
        <w:rPr>
          <w:rFonts w:ascii="Times New Roman" w:hAnsi="Times New Roman" w:cs="Times New Roman"/>
          <w:b/>
          <w:lang w:val="en-GB"/>
        </w:rPr>
        <w:t>: Matching Results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1557"/>
      </w:tblGrid>
      <w:tr w:rsidR="00375363" w:rsidRPr="00473AF1" w:rsidTr="00BC0E1C">
        <w:trPr>
          <w:trHeight w:val="151"/>
        </w:trPr>
        <w:tc>
          <w:tcPr>
            <w:tcW w:w="2977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:rsidR="00375363" w:rsidRPr="00473AF1" w:rsidRDefault="00375363" w:rsidP="00BC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Variable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bottom"/>
          </w:tcPr>
          <w:p w:rsidR="00375363" w:rsidRPr="00473AF1" w:rsidRDefault="00375363" w:rsidP="00BC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Manual thresholds</w:t>
            </w: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bottom"/>
          </w:tcPr>
          <w:p w:rsidR="00375363" w:rsidRPr="00473AF1" w:rsidRDefault="00375363" w:rsidP="00BC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Univariate Imbalance (L1)</w:t>
            </w:r>
          </w:p>
        </w:tc>
        <w:tc>
          <w:tcPr>
            <w:tcW w:w="1557" w:type="dxa"/>
            <w:tcBorders>
              <w:top w:val="nil"/>
              <w:bottom w:val="double" w:sz="4" w:space="0" w:color="auto"/>
              <w:right w:val="nil"/>
            </w:tcBorders>
            <w:vAlign w:val="bottom"/>
          </w:tcPr>
          <w:p w:rsidR="00375363" w:rsidRPr="00473AF1" w:rsidRDefault="00473AF1" w:rsidP="00BC0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</w:t>
            </w:r>
            <w:r w:rsidR="00375363"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ean</w:t>
            </w:r>
            <w:r w:rsidRPr="00473AF1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distance</w:t>
            </w:r>
          </w:p>
        </w:tc>
      </w:tr>
      <w:tr w:rsidR="00375363" w:rsidRPr="00473AF1" w:rsidTr="00BC0E1C">
        <w:tc>
          <w:tcPr>
            <w:tcW w:w="2977" w:type="dxa"/>
            <w:tcBorders>
              <w:top w:val="double" w:sz="4" w:space="0" w:color="auto"/>
              <w:left w:val="nil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Market liberalism of government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(0 0.4 0.55 0.7 1)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.42529</w:t>
            </w:r>
          </w:p>
        </w:tc>
        <w:tc>
          <w:tcPr>
            <w:tcW w:w="1557" w:type="dxa"/>
            <w:tcBorders>
              <w:top w:val="double" w:sz="4" w:space="0" w:color="auto"/>
              <w:right w:val="nil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.02546</w:t>
            </w:r>
          </w:p>
        </w:tc>
      </w:tr>
      <w:tr w:rsidR="00375363" w:rsidRPr="00473AF1" w:rsidTr="00BC0E1C">
        <w:tc>
          <w:tcPr>
            <w:tcW w:w="2977" w:type="dxa"/>
            <w:tcBorders>
              <w:left w:val="nil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Lagged level of debt</w:t>
            </w:r>
          </w:p>
        </w:tc>
        <w:tc>
          <w:tcPr>
            <w:tcW w:w="1843" w:type="dxa"/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(0 90 120 160)</w:t>
            </w:r>
          </w:p>
        </w:tc>
        <w:tc>
          <w:tcPr>
            <w:tcW w:w="2268" w:type="dxa"/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.37063</w:t>
            </w:r>
          </w:p>
        </w:tc>
        <w:tc>
          <w:tcPr>
            <w:tcW w:w="1557" w:type="dxa"/>
            <w:tcBorders>
              <w:right w:val="nil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6.0528</w:t>
            </w:r>
          </w:p>
        </w:tc>
      </w:tr>
      <w:tr w:rsidR="00375363" w:rsidRPr="00473AF1" w:rsidTr="00BC0E1C">
        <w:tc>
          <w:tcPr>
            <w:tcW w:w="2977" w:type="dxa"/>
            <w:tcBorders>
              <w:left w:val="nil"/>
            </w:tcBorders>
          </w:tcPr>
          <w:p w:rsidR="00375363" w:rsidRPr="00473AF1" w:rsidRDefault="00375363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Lagged level of industrialization</w:t>
            </w:r>
          </w:p>
        </w:tc>
        <w:tc>
          <w:tcPr>
            <w:tcW w:w="1843" w:type="dxa"/>
          </w:tcPr>
          <w:p w:rsidR="00375363" w:rsidRPr="00473AF1" w:rsidRDefault="00375363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(0 0.5 0.8 1)</w:t>
            </w:r>
          </w:p>
        </w:tc>
        <w:tc>
          <w:tcPr>
            <w:tcW w:w="2268" w:type="dxa"/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.2607</w:t>
            </w:r>
          </w:p>
        </w:tc>
        <w:tc>
          <w:tcPr>
            <w:tcW w:w="1557" w:type="dxa"/>
            <w:tcBorders>
              <w:righ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.03579</w:t>
            </w:r>
          </w:p>
        </w:tc>
      </w:tr>
      <w:tr w:rsidR="00375363" w:rsidRPr="00473AF1" w:rsidTr="00BC0E1C">
        <w:tc>
          <w:tcPr>
            <w:tcW w:w="2977" w:type="dxa"/>
            <w:tcBorders>
              <w:lef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Delta Unemployment</w:t>
            </w:r>
          </w:p>
        </w:tc>
        <w:tc>
          <w:tcPr>
            <w:tcW w:w="1843" w:type="dxa"/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(-4 -1 1 3 8)</w:t>
            </w:r>
          </w:p>
        </w:tc>
        <w:tc>
          <w:tcPr>
            <w:tcW w:w="2268" w:type="dxa"/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.3111</w:t>
            </w:r>
          </w:p>
        </w:tc>
        <w:tc>
          <w:tcPr>
            <w:tcW w:w="1557" w:type="dxa"/>
            <w:tcBorders>
              <w:righ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.04548</w:t>
            </w:r>
          </w:p>
        </w:tc>
      </w:tr>
      <w:tr w:rsidR="00375363" w:rsidRPr="00473AF1" w:rsidTr="00BC0E1C">
        <w:tc>
          <w:tcPr>
            <w:tcW w:w="2977" w:type="dxa"/>
            <w:tcBorders>
              <w:lef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Growth GDP</w:t>
            </w:r>
          </w:p>
        </w:tc>
        <w:tc>
          <w:tcPr>
            <w:tcW w:w="1843" w:type="dxa"/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(-10 -5 0 4 7 20)</w:t>
            </w:r>
          </w:p>
        </w:tc>
        <w:tc>
          <w:tcPr>
            <w:tcW w:w="2268" w:type="dxa"/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.19106</w:t>
            </w:r>
          </w:p>
        </w:tc>
        <w:tc>
          <w:tcPr>
            <w:tcW w:w="1557" w:type="dxa"/>
            <w:tcBorders>
              <w:righ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.05173</w:t>
            </w:r>
          </w:p>
        </w:tc>
      </w:tr>
      <w:tr w:rsidR="00375363" w:rsidRPr="00473AF1" w:rsidTr="00BC0E1C">
        <w:tc>
          <w:tcPr>
            <w:tcW w:w="2977" w:type="dxa"/>
            <w:tcBorders>
              <w:left w:val="nil"/>
              <w:bottom w:val="triple" w:sz="4" w:space="0" w:color="auto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Lagged Open Economy</w:t>
            </w:r>
          </w:p>
        </w:tc>
        <w:tc>
          <w:tcPr>
            <w:tcW w:w="1843" w:type="dxa"/>
            <w:tcBorders>
              <w:bottom w:val="triple" w:sz="4" w:space="0" w:color="auto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(0 10 50 100 200)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.40334</w:t>
            </w:r>
          </w:p>
        </w:tc>
        <w:tc>
          <w:tcPr>
            <w:tcW w:w="1557" w:type="dxa"/>
            <w:tcBorders>
              <w:bottom w:val="triple" w:sz="4" w:space="0" w:color="auto"/>
              <w:right w:val="nil"/>
            </w:tcBorders>
          </w:tcPr>
          <w:p w:rsidR="00375363" w:rsidRPr="00473AF1" w:rsidRDefault="00473AF1" w:rsidP="00BC0E1C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73AF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14.411</w:t>
            </w:r>
          </w:p>
        </w:tc>
      </w:tr>
    </w:tbl>
    <w:tbl>
      <w:tblPr>
        <w:tblW w:w="508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5"/>
      </w:tblGrid>
      <w:tr w:rsidR="00473AF1" w:rsidRPr="00BC0E1C" w:rsidTr="008C02B7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473AF1" w:rsidRPr="002579E4" w:rsidRDefault="00473AF1" w:rsidP="00473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Note: </w:t>
            </w:r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Own calculation using the </w:t>
            </w:r>
            <w:proofErr w:type="spellStart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cem</w:t>
            </w:r>
            <w:proofErr w:type="spellEnd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command in </w:t>
            </w:r>
            <w:proofErr w:type="spellStart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stata</w:t>
            </w:r>
            <w:proofErr w:type="spellEnd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Iacus</w:t>
            </w:r>
            <w:proofErr w:type="spellEnd"/>
            <w:r w:rsidR="002579E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al. 2012). </w:t>
            </w:r>
          </w:p>
        </w:tc>
      </w:tr>
    </w:tbl>
    <w:p w:rsidR="00684993" w:rsidRPr="00FB0A79" w:rsidRDefault="00684993" w:rsidP="00943BB8">
      <w:pPr>
        <w:rPr>
          <w:rFonts w:ascii="Times New Roman" w:hAnsi="Times New Roman" w:cs="Times New Roman"/>
          <w:lang w:val="en-GB"/>
        </w:rPr>
      </w:pPr>
    </w:p>
    <w:sectPr w:rsidR="00684993" w:rsidRPr="00FB0A79" w:rsidSect="00943BB8">
      <w:footerReference w:type="default" r:id="rId12"/>
      <w:pgSz w:w="12240" w:h="15840"/>
      <w:pgMar w:top="1276" w:right="260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1A" w:rsidRDefault="00A54E1A" w:rsidP="008D2C82">
      <w:pPr>
        <w:spacing w:after="0" w:line="240" w:lineRule="auto"/>
      </w:pPr>
      <w:r>
        <w:separator/>
      </w:r>
    </w:p>
  </w:endnote>
  <w:endnote w:type="continuationSeparator" w:id="0">
    <w:p w:rsidR="00A54E1A" w:rsidRDefault="00A54E1A" w:rsidP="008D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95424"/>
      <w:docPartObj>
        <w:docPartGallery w:val="Page Numbers (Bottom of Page)"/>
        <w:docPartUnique/>
      </w:docPartObj>
    </w:sdtPr>
    <w:sdtEndPr/>
    <w:sdtContent>
      <w:p w:rsidR="00B67717" w:rsidRDefault="00B67717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C0E1C">
          <w:rPr>
            <w:noProof/>
          </w:rPr>
          <w:t>3</w:t>
        </w:r>
        <w:r>
          <w:fldChar w:fldCharType="end"/>
        </w:r>
      </w:p>
      <w:p w:rsidR="00B67717" w:rsidRDefault="00A54E1A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17" w:rsidRDefault="00B67717"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 w:rsidR="00BC0E1C">
      <w:rPr>
        <w:noProof/>
      </w:rPr>
      <w:t>8</w:t>
    </w:r>
    <w:r>
      <w:fldChar w:fldCharType="end"/>
    </w:r>
  </w:p>
  <w:p w:rsidR="00B67717" w:rsidRDefault="00B677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1A" w:rsidRDefault="00A54E1A" w:rsidP="008D2C82">
      <w:pPr>
        <w:spacing w:after="0" w:line="240" w:lineRule="auto"/>
      </w:pPr>
      <w:r>
        <w:separator/>
      </w:r>
    </w:p>
  </w:footnote>
  <w:footnote w:type="continuationSeparator" w:id="0">
    <w:p w:rsidR="00A54E1A" w:rsidRDefault="00A54E1A" w:rsidP="008D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153"/>
    <w:multiLevelType w:val="hybridMultilevel"/>
    <w:tmpl w:val="778CBC4E"/>
    <w:lvl w:ilvl="0" w:tplc="BC8A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74209"/>
    <w:multiLevelType w:val="hybridMultilevel"/>
    <w:tmpl w:val="69B83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7D4"/>
    <w:multiLevelType w:val="hybridMultilevel"/>
    <w:tmpl w:val="21368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F50"/>
    <w:multiLevelType w:val="hybridMultilevel"/>
    <w:tmpl w:val="7A96460E"/>
    <w:lvl w:ilvl="0" w:tplc="920ECA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4D99"/>
    <w:multiLevelType w:val="hybridMultilevel"/>
    <w:tmpl w:val="AFCA8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13CC"/>
    <w:multiLevelType w:val="hybridMultilevel"/>
    <w:tmpl w:val="916A3A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B28"/>
    <w:multiLevelType w:val="hybridMultilevel"/>
    <w:tmpl w:val="31CA6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B4ED1"/>
    <w:multiLevelType w:val="hybridMultilevel"/>
    <w:tmpl w:val="03F4FE70"/>
    <w:lvl w:ilvl="0" w:tplc="D6B682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2F3028"/>
    <w:multiLevelType w:val="hybridMultilevel"/>
    <w:tmpl w:val="200E31DE"/>
    <w:lvl w:ilvl="0" w:tplc="BA5AAA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47151"/>
    <w:multiLevelType w:val="hybridMultilevel"/>
    <w:tmpl w:val="B86CB9C0"/>
    <w:lvl w:ilvl="0" w:tplc="0DB4250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  <w:b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34EA"/>
    <w:multiLevelType w:val="hybridMultilevel"/>
    <w:tmpl w:val="9E5A87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2E"/>
    <w:multiLevelType w:val="hybridMultilevel"/>
    <w:tmpl w:val="6F3E16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451B"/>
    <w:multiLevelType w:val="hybridMultilevel"/>
    <w:tmpl w:val="06D8DA7A"/>
    <w:lvl w:ilvl="0" w:tplc="82DE1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435E7"/>
    <w:multiLevelType w:val="hybridMultilevel"/>
    <w:tmpl w:val="0A00F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6DCC"/>
    <w:multiLevelType w:val="multilevel"/>
    <w:tmpl w:val="E1DAE3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A8719BB"/>
    <w:multiLevelType w:val="hybridMultilevel"/>
    <w:tmpl w:val="31CA6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4E32"/>
    <w:multiLevelType w:val="hybridMultilevel"/>
    <w:tmpl w:val="FAEE0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7DC7"/>
    <w:multiLevelType w:val="hybridMultilevel"/>
    <w:tmpl w:val="B5A633FC"/>
    <w:lvl w:ilvl="0" w:tplc="05AAC1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D4D6B"/>
    <w:multiLevelType w:val="hybridMultilevel"/>
    <w:tmpl w:val="17E63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B1701"/>
    <w:multiLevelType w:val="multilevel"/>
    <w:tmpl w:val="7BEC8084"/>
    <w:lvl w:ilvl="0">
      <w:start w:val="1"/>
      <w:numFmt w:val="decimal"/>
      <w:pStyle w:val="berschrift2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DAE4E07"/>
    <w:multiLevelType w:val="hybridMultilevel"/>
    <w:tmpl w:val="6E90F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3"/>
  </w:num>
  <w:num w:numId="5">
    <w:abstractNumId w:val="16"/>
  </w:num>
  <w:num w:numId="6">
    <w:abstractNumId w:val="0"/>
  </w:num>
  <w:num w:numId="7">
    <w:abstractNumId w:val="1"/>
  </w:num>
  <w:num w:numId="8">
    <w:abstractNumId w:val="19"/>
  </w:num>
  <w:num w:numId="9">
    <w:abstractNumId w:val="14"/>
  </w:num>
  <w:num w:numId="10">
    <w:abstractNumId w:val="4"/>
  </w:num>
  <w:num w:numId="11">
    <w:abstractNumId w:val="17"/>
  </w:num>
  <w:num w:numId="12">
    <w:abstractNumId w:val="5"/>
  </w:num>
  <w:num w:numId="13">
    <w:abstractNumId w:val="20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C"/>
    <w:rsid w:val="00004510"/>
    <w:rsid w:val="00033ED2"/>
    <w:rsid w:val="000416DE"/>
    <w:rsid w:val="00072184"/>
    <w:rsid w:val="001057DE"/>
    <w:rsid w:val="001177CE"/>
    <w:rsid w:val="00117CC3"/>
    <w:rsid w:val="00141169"/>
    <w:rsid w:val="00145A16"/>
    <w:rsid w:val="001860DF"/>
    <w:rsid w:val="001A15C5"/>
    <w:rsid w:val="001C2C8C"/>
    <w:rsid w:val="00206DC1"/>
    <w:rsid w:val="002309D5"/>
    <w:rsid w:val="00246A79"/>
    <w:rsid w:val="002579E4"/>
    <w:rsid w:val="002651BF"/>
    <w:rsid w:val="002910F3"/>
    <w:rsid w:val="002D66AF"/>
    <w:rsid w:val="002E3CA6"/>
    <w:rsid w:val="0030152C"/>
    <w:rsid w:val="0031258D"/>
    <w:rsid w:val="00327A8F"/>
    <w:rsid w:val="00356EF4"/>
    <w:rsid w:val="003705D5"/>
    <w:rsid w:val="003752EC"/>
    <w:rsid w:val="00375363"/>
    <w:rsid w:val="003D44B6"/>
    <w:rsid w:val="00404F1E"/>
    <w:rsid w:val="0040561B"/>
    <w:rsid w:val="00412B33"/>
    <w:rsid w:val="004321E4"/>
    <w:rsid w:val="00433C42"/>
    <w:rsid w:val="00435E05"/>
    <w:rsid w:val="00453D7E"/>
    <w:rsid w:val="00473AF1"/>
    <w:rsid w:val="00497FA9"/>
    <w:rsid w:val="004B34F1"/>
    <w:rsid w:val="004E3123"/>
    <w:rsid w:val="0056241A"/>
    <w:rsid w:val="00580CE0"/>
    <w:rsid w:val="005978D0"/>
    <w:rsid w:val="005C328A"/>
    <w:rsid w:val="005F43CE"/>
    <w:rsid w:val="00640994"/>
    <w:rsid w:val="00662594"/>
    <w:rsid w:val="00665344"/>
    <w:rsid w:val="00677CDE"/>
    <w:rsid w:val="00684993"/>
    <w:rsid w:val="006F1AEC"/>
    <w:rsid w:val="00711340"/>
    <w:rsid w:val="00715082"/>
    <w:rsid w:val="0072039A"/>
    <w:rsid w:val="00721B93"/>
    <w:rsid w:val="00794A0C"/>
    <w:rsid w:val="007C20B6"/>
    <w:rsid w:val="007D7583"/>
    <w:rsid w:val="008034AB"/>
    <w:rsid w:val="00804896"/>
    <w:rsid w:val="008142CE"/>
    <w:rsid w:val="00843095"/>
    <w:rsid w:val="008C02B7"/>
    <w:rsid w:val="008D2C82"/>
    <w:rsid w:val="0090613C"/>
    <w:rsid w:val="00941898"/>
    <w:rsid w:val="00943BB8"/>
    <w:rsid w:val="0096323D"/>
    <w:rsid w:val="00994ED6"/>
    <w:rsid w:val="0099718D"/>
    <w:rsid w:val="009D6FF6"/>
    <w:rsid w:val="00A04BEF"/>
    <w:rsid w:val="00A17440"/>
    <w:rsid w:val="00A17CF0"/>
    <w:rsid w:val="00A2084C"/>
    <w:rsid w:val="00A26623"/>
    <w:rsid w:val="00A34591"/>
    <w:rsid w:val="00A44F09"/>
    <w:rsid w:val="00A54E1A"/>
    <w:rsid w:val="00A93791"/>
    <w:rsid w:val="00A97F31"/>
    <w:rsid w:val="00AD257A"/>
    <w:rsid w:val="00AE7B3C"/>
    <w:rsid w:val="00B1174E"/>
    <w:rsid w:val="00B55CF1"/>
    <w:rsid w:val="00B577EF"/>
    <w:rsid w:val="00B67717"/>
    <w:rsid w:val="00B7075C"/>
    <w:rsid w:val="00B97B8C"/>
    <w:rsid w:val="00BA684F"/>
    <w:rsid w:val="00BC0E1C"/>
    <w:rsid w:val="00BF3290"/>
    <w:rsid w:val="00C34DB3"/>
    <w:rsid w:val="00C76539"/>
    <w:rsid w:val="00CB17E9"/>
    <w:rsid w:val="00CB5837"/>
    <w:rsid w:val="00CD4989"/>
    <w:rsid w:val="00CE3501"/>
    <w:rsid w:val="00CF2ACD"/>
    <w:rsid w:val="00D3447D"/>
    <w:rsid w:val="00DA3DB6"/>
    <w:rsid w:val="00DB6D04"/>
    <w:rsid w:val="00DC0AB3"/>
    <w:rsid w:val="00DD13A0"/>
    <w:rsid w:val="00E332FF"/>
    <w:rsid w:val="00E4346A"/>
    <w:rsid w:val="00E6003F"/>
    <w:rsid w:val="00F022BB"/>
    <w:rsid w:val="00F152A0"/>
    <w:rsid w:val="00F5386F"/>
    <w:rsid w:val="00F71725"/>
    <w:rsid w:val="00F85ED6"/>
    <w:rsid w:val="00FA6CF2"/>
    <w:rsid w:val="00FB0A79"/>
    <w:rsid w:val="00FF4A1F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5F4F-1672-4E8D-8CD2-8A07A444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4C"/>
    <w:pPr>
      <w:spacing w:after="200" w:line="276" w:lineRule="auto"/>
    </w:pPr>
    <w:rPr>
      <w:lang w:val="de-DE"/>
    </w:rPr>
  </w:style>
  <w:style w:type="paragraph" w:styleId="berschrift1">
    <w:name w:val="heading 1"/>
    <w:basedOn w:val="Standard"/>
    <w:link w:val="berschrift1Zchn"/>
    <w:qFormat/>
    <w:rsid w:val="00A20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rsid w:val="00A2084C"/>
    <w:pPr>
      <w:keepNext/>
      <w:keepLines/>
      <w:numPr>
        <w:numId w:val="8"/>
      </w:numPr>
      <w:suppressAutoHyphens/>
      <w:spacing w:before="200" w:after="60" w:line="360" w:lineRule="auto"/>
      <w:jc w:val="both"/>
      <w:outlineLvl w:val="1"/>
    </w:pPr>
    <w:rPr>
      <w:rFonts w:ascii="Calibri" w:eastAsia="SimSun" w:hAnsi="Calibri" w:cs="Calibri"/>
      <w:bCs/>
      <w:i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084C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A2084C"/>
    <w:rPr>
      <w:rFonts w:ascii="Calibri" w:eastAsia="SimSun" w:hAnsi="Calibri" w:cs="Calibri"/>
      <w:bCs/>
      <w:i/>
      <w:sz w:val="24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A208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2084C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nhideWhenUsed/>
    <w:rsid w:val="00A2084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2084C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unhideWhenUsed/>
    <w:rsid w:val="00A2084C"/>
    <w:rPr>
      <w:vertAlign w:val="superscript"/>
    </w:rPr>
  </w:style>
  <w:style w:type="paragraph" w:styleId="Beschriftung">
    <w:name w:val="caption"/>
    <w:basedOn w:val="Standard"/>
    <w:qFormat/>
    <w:rsid w:val="00A2084C"/>
    <w:pPr>
      <w:suppressAutoHyphens/>
      <w:spacing w:after="60" w:line="100" w:lineRule="atLeast"/>
      <w:jc w:val="both"/>
    </w:pPr>
    <w:rPr>
      <w:rFonts w:ascii="Calibri" w:eastAsia="SimSun" w:hAnsi="Calibri" w:cs="Calibri"/>
      <w:b/>
      <w:bCs/>
      <w:color w:val="4F81BD"/>
      <w:sz w:val="18"/>
      <w:szCs w:val="18"/>
    </w:rPr>
  </w:style>
  <w:style w:type="paragraph" w:styleId="Sprechblasentext">
    <w:name w:val="Balloon Text"/>
    <w:basedOn w:val="Standard"/>
    <w:link w:val="SprechblasentextZchn"/>
    <w:unhideWhenUsed/>
    <w:rsid w:val="00A2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2084C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qFormat/>
    <w:rsid w:val="00A2084C"/>
    <w:pPr>
      <w:ind w:left="720"/>
      <w:contextualSpacing/>
    </w:pPr>
  </w:style>
  <w:style w:type="paragraph" w:customStyle="1" w:styleId="Normal1">
    <w:name w:val="Normal1"/>
    <w:rsid w:val="00A2084C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fr-CH"/>
    </w:rPr>
  </w:style>
  <w:style w:type="character" w:styleId="Hyperlink">
    <w:name w:val="Hyperlink"/>
    <w:basedOn w:val="Absatz-Standardschriftart"/>
    <w:uiPriority w:val="99"/>
    <w:unhideWhenUsed/>
    <w:rsid w:val="00A2084C"/>
    <w:rPr>
      <w:color w:val="0563C1" w:themeColor="hyperlink"/>
      <w:u w:val="single"/>
    </w:rPr>
  </w:style>
  <w:style w:type="character" w:customStyle="1" w:styleId="content">
    <w:name w:val="content"/>
    <w:basedOn w:val="Absatz-Standardschriftart"/>
    <w:rsid w:val="00A2084C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84C"/>
    <w:rPr>
      <w:b/>
      <w:bCs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84C"/>
    <w:rPr>
      <w:b/>
      <w:bCs/>
    </w:rPr>
  </w:style>
  <w:style w:type="paragraph" w:customStyle="1" w:styleId="Default">
    <w:name w:val="Default"/>
    <w:rsid w:val="00A2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2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84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2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A2084C"/>
    <w:rPr>
      <w:lang w:val="de-DE"/>
    </w:rPr>
  </w:style>
  <w:style w:type="character" w:customStyle="1" w:styleId="ListLabel1">
    <w:name w:val="ListLabel 1"/>
    <w:rsid w:val="00A2084C"/>
    <w:rPr>
      <w:i/>
    </w:rPr>
  </w:style>
  <w:style w:type="character" w:customStyle="1" w:styleId="ListLabel2">
    <w:name w:val="ListLabel 2"/>
    <w:rsid w:val="00A2084C"/>
    <w:rPr>
      <w:rFonts w:cs="Courier New"/>
    </w:rPr>
  </w:style>
  <w:style w:type="character" w:customStyle="1" w:styleId="Funotenanker">
    <w:name w:val="Fußnotenanker"/>
    <w:rsid w:val="00A2084C"/>
    <w:rPr>
      <w:vertAlign w:val="superscript"/>
    </w:rPr>
  </w:style>
  <w:style w:type="character" w:customStyle="1" w:styleId="Endnotenanker">
    <w:name w:val="Endnotenanker"/>
    <w:rsid w:val="00A2084C"/>
    <w:rPr>
      <w:vertAlign w:val="superscript"/>
    </w:rPr>
  </w:style>
  <w:style w:type="character" w:styleId="Endnotenzeichen">
    <w:name w:val="endnote reference"/>
    <w:rsid w:val="00A2084C"/>
  </w:style>
  <w:style w:type="paragraph" w:customStyle="1" w:styleId="berschrift">
    <w:name w:val="Überschrift"/>
    <w:basedOn w:val="Standard"/>
    <w:next w:val="Textkrper"/>
    <w:rsid w:val="00A2084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rsid w:val="00A2084C"/>
    <w:pPr>
      <w:suppressAutoHyphens/>
      <w:spacing w:after="120"/>
    </w:pPr>
    <w:rPr>
      <w:rFonts w:ascii="Calibri" w:eastAsia="SimSun" w:hAnsi="Calibri" w:cs="Calibri"/>
    </w:rPr>
  </w:style>
  <w:style w:type="character" w:customStyle="1" w:styleId="TextkrperZchn">
    <w:name w:val="Textkörper Zchn"/>
    <w:basedOn w:val="Absatz-Standardschriftart"/>
    <w:link w:val="Textkrper"/>
    <w:rsid w:val="00A2084C"/>
    <w:rPr>
      <w:rFonts w:ascii="Calibri" w:eastAsia="SimSun" w:hAnsi="Calibri" w:cs="Calibri"/>
      <w:lang w:val="de-DE"/>
    </w:rPr>
  </w:style>
  <w:style w:type="paragraph" w:styleId="Liste">
    <w:name w:val="List"/>
    <w:basedOn w:val="Textkrper"/>
    <w:rsid w:val="00A2084C"/>
    <w:rPr>
      <w:rFonts w:cs="Mangal"/>
    </w:rPr>
  </w:style>
  <w:style w:type="paragraph" w:customStyle="1" w:styleId="Verzeichnis">
    <w:name w:val="Verzeichnis"/>
    <w:basedOn w:val="Standard"/>
    <w:rsid w:val="00A2084C"/>
    <w:pPr>
      <w:suppressLineNumbers/>
      <w:suppressAutoHyphens/>
    </w:pPr>
    <w:rPr>
      <w:rFonts w:ascii="Calibri" w:eastAsia="SimSun" w:hAnsi="Calibri" w:cs="Mangal"/>
    </w:rPr>
  </w:style>
  <w:style w:type="paragraph" w:customStyle="1" w:styleId="Funote">
    <w:name w:val="Fußnote"/>
    <w:basedOn w:val="Standard"/>
    <w:rsid w:val="00A2084C"/>
    <w:pPr>
      <w:suppressAutoHyphens/>
    </w:pPr>
    <w:rPr>
      <w:rFonts w:ascii="Calibri" w:eastAsia="SimSun" w:hAnsi="Calibri" w:cs="Calibri"/>
    </w:rPr>
  </w:style>
  <w:style w:type="character" w:styleId="Fett">
    <w:name w:val="Strong"/>
    <w:basedOn w:val="Absatz-Standardschriftart"/>
    <w:uiPriority w:val="22"/>
    <w:qFormat/>
    <w:rsid w:val="00A2084C"/>
    <w:rPr>
      <w:b/>
      <w:bCs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2084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2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A2084C"/>
    <w:rPr>
      <w:rFonts w:ascii="Consolas" w:hAnsi="Consolas" w:cs="Consolas"/>
      <w:sz w:val="20"/>
      <w:szCs w:val="20"/>
      <w:lang w:val="de-DE"/>
    </w:rPr>
  </w:style>
  <w:style w:type="paragraph" w:customStyle="1" w:styleId="default0">
    <w:name w:val="default"/>
    <w:basedOn w:val="Standard"/>
    <w:rsid w:val="00A2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A2084C"/>
    <w:pPr>
      <w:spacing w:after="0" w:line="240" w:lineRule="auto"/>
      <w:ind w:left="720" w:hanging="720"/>
    </w:pPr>
  </w:style>
  <w:style w:type="character" w:customStyle="1" w:styleId="apple-converted-space">
    <w:name w:val="apple-converted-space"/>
    <w:basedOn w:val="Absatz-Standardschriftart"/>
    <w:rsid w:val="00A2084C"/>
  </w:style>
  <w:style w:type="character" w:styleId="Kommentarzeichen">
    <w:name w:val="annotation reference"/>
    <w:basedOn w:val="Absatz-Standardschriftart"/>
    <w:uiPriority w:val="99"/>
    <w:semiHidden/>
    <w:unhideWhenUsed/>
    <w:rsid w:val="008D2C82"/>
    <w:rPr>
      <w:sz w:val="16"/>
      <w:szCs w:val="16"/>
    </w:rPr>
  </w:style>
  <w:style w:type="table" w:styleId="Tabellenraster">
    <w:name w:val="Table Grid"/>
    <w:basedOn w:val="NormaleTabelle"/>
    <w:uiPriority w:val="59"/>
    <w:rsid w:val="0037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Leonce Röth</dc:creator>
  <cp:lastModifiedBy>decentralization</cp:lastModifiedBy>
  <cp:revision>2</cp:revision>
  <dcterms:created xsi:type="dcterms:W3CDTF">2016-12-02T19:41:00Z</dcterms:created>
  <dcterms:modified xsi:type="dcterms:W3CDTF">2016-12-02T19:41:00Z</dcterms:modified>
</cp:coreProperties>
</file>