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2050" w:tblpY="-356"/>
        <w:tblW w:w="7662" w:type="dxa"/>
        <w:tblLayout w:type="fixed"/>
        <w:tblLook w:val="04A0" w:firstRow="1" w:lastRow="0" w:firstColumn="1" w:lastColumn="0" w:noHBand="0" w:noVBand="1"/>
      </w:tblPr>
      <w:tblGrid>
        <w:gridCol w:w="3089"/>
        <w:gridCol w:w="1115"/>
        <w:gridCol w:w="1183"/>
        <w:gridCol w:w="1363"/>
        <w:gridCol w:w="886"/>
        <w:gridCol w:w="26"/>
      </w:tblGrid>
      <w:tr w:rsidR="00360B89" w:rsidRPr="00360B89" w14:paraId="7043464C" w14:textId="77777777" w:rsidTr="00360B89">
        <w:trPr>
          <w:gridAfter w:val="1"/>
          <w:wAfter w:w="26" w:type="dxa"/>
          <w:trHeight w:val="187"/>
        </w:trPr>
        <w:tc>
          <w:tcPr>
            <w:tcW w:w="763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2505E6C" w14:textId="338535C9" w:rsidR="005A6D82" w:rsidRPr="00360B89" w:rsidRDefault="005A6D82" w:rsidP="0079684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Appendix </w:t>
            </w:r>
            <w:r w:rsidRPr="00360B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C. 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 xml:space="preserve">Results from Table 4 using Chapel Hill Expert Survey 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60B89" w:rsidRPr="00360B89" w14:paraId="09C32E9A" w14:textId="77777777" w:rsidTr="00360B89">
        <w:trPr>
          <w:trHeight w:val="41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CD57B" w14:textId="71FA4B73" w:rsidR="005A6D82" w:rsidRPr="00360B89" w:rsidRDefault="005A6D82" w:rsidP="0079684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6C3E6" w14:textId="77E6BC44" w:rsidR="005A6D82" w:rsidRPr="00360B89" w:rsidRDefault="005A6D82" w:rsidP="0079684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61DD4" w14:textId="767EF95B" w:rsidR="005A6D82" w:rsidRPr="00360B89" w:rsidRDefault="005A6D82" w:rsidP="0079684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Male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60B89" w:rsidRPr="00360B89" w14:paraId="2E566A89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DF8298" w14:textId="35E795A4" w:rsidR="005A6D82" w:rsidRPr="00360B89" w:rsidRDefault="005A6D82" w:rsidP="005A6D82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DV: Far right support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1C0FB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754D20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1CACB3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1A3454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se</w:t>
            </w:r>
          </w:p>
        </w:tc>
      </w:tr>
      <w:tr w:rsidR="00360B89" w:rsidRPr="00360B89" w14:paraId="577D6306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D1F1C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F4DCF" w14:textId="2D4C6CE5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-0.00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8F9D5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(0.00)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52F21" w14:textId="470DEE63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0.00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DDB27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(0.00)</w:t>
            </w:r>
          </w:p>
        </w:tc>
      </w:tr>
      <w:tr w:rsidR="00360B89" w:rsidRPr="00360B89" w14:paraId="1DEC757B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CC0C3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BBBAE" w14:textId="0DC7B770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-0.0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*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BB696" w14:textId="217E852C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(0.0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87F73" w14:textId="33339485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-0.0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E01EA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(0.01)</w:t>
            </w:r>
          </w:p>
        </w:tc>
      </w:tr>
      <w:tr w:rsidR="00360B89" w:rsidRPr="00360B89" w14:paraId="0CA6E465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3B2BF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Professional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D12AA" w14:textId="5C2D61DF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-0.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27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1F653" w14:textId="19ED6760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(0.0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39DA7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-0.32***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3DECB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(0.09)</w:t>
            </w:r>
          </w:p>
        </w:tc>
      </w:tr>
      <w:tr w:rsidR="00360B89" w:rsidRPr="00360B89" w14:paraId="4FFC2B58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4B793" w14:textId="77777777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Blue Collar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38E24" w14:textId="78AB8612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0.</w:t>
            </w: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0F223" w14:textId="52E4D289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(0.</w:t>
            </w: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61A9A" w14:textId="48B19A07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0.2</w:t>
            </w: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789BF" w14:textId="77777777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(0.09)</w:t>
            </w:r>
          </w:p>
        </w:tc>
      </w:tr>
      <w:tr w:rsidR="00360B89" w:rsidRPr="00360B89" w14:paraId="51B914FC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7A956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Elementary Occupations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7FDF7" w14:textId="717630D5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-0.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6CFA3" w14:textId="53EF45D3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87110" w14:textId="6B29706D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-0.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64C46" w14:textId="4AB65555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17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60B89" w:rsidRPr="00360B89" w14:paraId="25E07F70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6F58B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Union Member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6A1D9" w14:textId="7BBB3EC1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BDF31" w14:textId="3172E030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E4113" w14:textId="738FCBEC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-0.0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373DB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(0.08)</w:t>
            </w:r>
          </w:p>
        </w:tc>
      </w:tr>
      <w:tr w:rsidR="00360B89" w:rsidRPr="00360B89" w14:paraId="632FF210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5AE4D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Church Member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C85CF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-0.42**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614C4" w14:textId="2E9BC891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(0.1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77060" w14:textId="051A68B5" w:rsidR="005A6D82" w:rsidRPr="00360B89" w:rsidRDefault="005A6D82" w:rsidP="005A6D82">
            <w:pPr>
              <w:ind w:right="241"/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-0.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47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F1687" w14:textId="3AB8C528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09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60B89" w:rsidRPr="00360B89" w14:paraId="3CC5BCAA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6326B" w14:textId="77777777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Immigration Attitudes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90E36" w14:textId="12B7720D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-0.3</w:t>
            </w: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2F134" w14:textId="77777777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C2B97" w14:textId="77777777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-0.29***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0EF36" w14:textId="77777777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(0.02)</w:t>
            </w:r>
          </w:p>
        </w:tc>
      </w:tr>
      <w:tr w:rsidR="00360B89" w:rsidRPr="00360B89" w14:paraId="171D379C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39BA1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Redistribution Attitudes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6291C" w14:textId="4A433173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0.0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3E4CD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D46D7" w14:textId="7D8FBA22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0.0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3930D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(0.03)</w:t>
            </w:r>
          </w:p>
        </w:tc>
      </w:tr>
      <w:tr w:rsidR="00360B89" w:rsidRPr="00360B89" w14:paraId="27C299A7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B2600" w14:textId="77777777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Gay Equality Attitudes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DAF09" w14:textId="670A22F4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0.10*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0A85E" w14:textId="156CAB5D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(0.0</w:t>
            </w: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7C52F" w14:textId="77777777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0.06*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48E45" w14:textId="77777777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(0.02)</w:t>
            </w:r>
          </w:p>
        </w:tc>
      </w:tr>
      <w:tr w:rsidR="00360B89" w:rsidRPr="00360B89" w14:paraId="2453E7D1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D5210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Political Interest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22B12" w14:textId="4D16194B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15*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B23BC" w14:textId="072B1596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(0.0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6C71A" w14:textId="5363D624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0.1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5*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1082F" w14:textId="7EC190E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(0.0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60B89" w:rsidRPr="00360B89" w14:paraId="66F8285C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0F067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Female Far Right Leader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37117" w14:textId="47F14293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658BE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(0.20)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7659C" w14:textId="4A8C615E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-0.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203C9" w14:textId="1DCD326B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31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60B89" w:rsidRPr="00360B89" w14:paraId="0BBCC73E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1324E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Party Position: Redistribution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3AEDB" w14:textId="0DB25AC4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-0.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7DD34" w14:textId="4C2012AD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(0.0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DDEF9" w14:textId="25DE35BF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-0.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FAA14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(0.02)</w:t>
            </w:r>
          </w:p>
        </w:tc>
      </w:tr>
      <w:tr w:rsidR="00360B89" w:rsidRPr="00360B89" w14:paraId="23BB66E5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44EB1" w14:textId="77777777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Party Position: Morality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BCCD8" w14:textId="031EB8DC" w:rsidR="005A6D82" w:rsidRPr="00360B89" w:rsidRDefault="00490EEB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="005A6D82"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0.</w:t>
            </w:r>
            <w:r w:rsidR="005A6D82"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E4D90" w14:textId="3DE6BB82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(0.</w:t>
            </w: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27803" w14:textId="34DFA737" w:rsidR="005A6D82" w:rsidRPr="00360B89" w:rsidRDefault="00490EEB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="005A6D82"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0.</w:t>
            </w:r>
            <w:r w:rsidR="001C2DDD"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34**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2D7BF" w14:textId="1109C1BB" w:rsidR="005A6D82" w:rsidRPr="00360B89" w:rsidRDefault="005A6D82" w:rsidP="005A6D82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(0.</w:t>
            </w:r>
            <w:r w:rsidR="001C2DDD"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  <w:r w:rsidRPr="00360B89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360B89" w:rsidRPr="00360B89" w14:paraId="59F1EE5A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734FB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Far Right Vote Share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8808F" w14:textId="417C3EEB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12***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8E610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EADE2" w14:textId="0382F2EB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1882D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(0.01)</w:t>
            </w:r>
          </w:p>
        </w:tc>
      </w:tr>
      <w:tr w:rsidR="00360B89" w:rsidRPr="00360B89" w14:paraId="51AB5174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FD386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29E4A" w14:textId="0D27D2FF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1.01***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F31DC" w14:textId="070B2CD5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(0.2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88881" w14:textId="467E5246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97**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9B6EC" w14:textId="5003E8BB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25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60B89" w:rsidRPr="00360B89" w14:paraId="7146035D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0A130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4844D" w14:textId="3DA2200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48453" w14:textId="2A28E01A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37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50B7E" w14:textId="2E8D54C0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6A21D" w14:textId="208C2588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36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60B89" w:rsidRPr="00360B89" w14:paraId="1BD36325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BE81E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49EF0" w14:textId="1FBED39B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2476F" w14:textId="6CAC43D2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53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B5CE5" w14:textId="410B355F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7826C" w14:textId="231787C5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70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60B89" w:rsidRPr="00360B89" w14:paraId="0430F402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F4A4D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Denmark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226DD" w14:textId="2AF02FF8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1.70**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9E3A6" w14:textId="0800477E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41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F186B" w14:textId="77DDBE2B" w:rsidR="005A6D82" w:rsidRPr="00360B89" w:rsidRDefault="001C2DDD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1.58</w:t>
            </w:r>
            <w:r w:rsidR="005A6D82" w:rsidRPr="00360B89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894CB" w14:textId="46DADD58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45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60B89" w:rsidRPr="00360B89" w14:paraId="77FF8B47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DB668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BB123" w14:textId="4E90F6EC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58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76121" w14:textId="0A5A8AF1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26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631E3" w14:textId="676A8155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77***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4B7E4" w14:textId="16F9B592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18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60B89" w:rsidRPr="00360B89" w14:paraId="1F899F42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F20C0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82644" w14:textId="1BF0A016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0.75*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0C13E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(0.32)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22664" w14:textId="4560C1D1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78D04" w14:textId="14562B40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41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60B89" w:rsidRPr="00360B89" w14:paraId="3E6A80F9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F616B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UK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939C9" w14:textId="1EFA12E0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1.21**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AADDC" w14:textId="485CD32B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7)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CA297" w14:textId="706FE2E5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92*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67A9D" w14:textId="57F4D5C3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43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60B89" w:rsidRPr="00360B89" w14:paraId="2FF89941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2A32E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AE392" w14:textId="0207C55F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2.48*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912EF" w14:textId="7621600B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67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82BD3" w14:textId="4494ADD5" w:rsidR="005A6D82" w:rsidRPr="00360B89" w:rsidRDefault="001C2DDD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2.75</w:t>
            </w:r>
            <w:r w:rsidR="005A6D82" w:rsidRPr="00360B89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5FEB1" w14:textId="77BC9B8F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65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60B89" w:rsidRPr="00360B89" w14:paraId="3427B766" w14:textId="77777777" w:rsidTr="00360B89">
        <w:trPr>
          <w:trHeight w:val="7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C1AFE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 xml:space="preserve">Norway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46DF3" w14:textId="449FFB25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1.72**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AB780" w14:textId="2A96AD49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51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E9A7F" w14:textId="62F9C5A7" w:rsidR="005A6D82" w:rsidRPr="00360B89" w:rsidRDefault="001C2DDD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1.85</w:t>
            </w:r>
            <w:r w:rsidR="005A6D82" w:rsidRPr="00360B89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9AA51" w14:textId="77ACE5C5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61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60B89" w:rsidRPr="00360B89" w14:paraId="10338F90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392F4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Sweden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97EBE" w14:textId="2BA18F98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1.02***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032A3" w14:textId="7717C50D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28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37B8B" w14:textId="4B6B005D" w:rsidR="005A6D82" w:rsidRPr="00360B89" w:rsidRDefault="001C2DDD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765A6" w14:textId="2F9B0F4C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(0.2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60B89" w:rsidRPr="00360B89" w14:paraId="578459ED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73D43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604CA" w14:textId="2675BD2D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5.90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27DDF" w14:textId="3086CA4C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3883D" w14:textId="1314B3C5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.38***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E56CA" w14:textId="7274ED8F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r w:rsidR="001C2DDD" w:rsidRPr="00360B89">
              <w:rPr>
                <w:rFonts w:eastAsia="Times New Roman"/>
                <w:color w:val="000000"/>
                <w:sz w:val="20"/>
                <w:szCs w:val="20"/>
              </w:rPr>
              <w:t>1.04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360B89" w:rsidRPr="00360B89" w14:paraId="768A6C03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AAB13" w14:textId="77777777" w:rsidR="005A6D82" w:rsidRPr="00360B89" w:rsidRDefault="005A6D82" w:rsidP="005A6D82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360B8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var(</w:t>
            </w:r>
            <w:proofErr w:type="gramEnd"/>
            <w:r w:rsidRPr="00360B8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Country*Round)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1A06F" w14:textId="72A16946" w:rsidR="005A6D82" w:rsidRPr="00360B89" w:rsidRDefault="005A6D82" w:rsidP="005A6D82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0.</w:t>
            </w:r>
            <w:r w:rsidRPr="00360B8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06</w:t>
            </w:r>
            <w:r w:rsidRPr="00360B8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4CCCA" w14:textId="66E9CCDC" w:rsidR="005A6D82" w:rsidRPr="00360B89" w:rsidRDefault="005A6D82" w:rsidP="005A6D82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(0.</w:t>
            </w:r>
            <w:r w:rsidRPr="00360B8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03</w:t>
            </w:r>
            <w:r w:rsidRPr="00360B8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154FF" w14:textId="3F9F2EB6" w:rsidR="005A6D82" w:rsidRPr="00360B89" w:rsidRDefault="005A6D82" w:rsidP="005A6D82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0.0</w:t>
            </w:r>
            <w:r w:rsidR="00F828C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</w:t>
            </w:r>
            <w:r w:rsidRPr="00360B8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69EE3" w14:textId="77777777" w:rsidR="005A6D82" w:rsidRPr="00360B89" w:rsidRDefault="005A6D82" w:rsidP="005A6D82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(0.03)</w:t>
            </w:r>
          </w:p>
        </w:tc>
      </w:tr>
      <w:tr w:rsidR="00360B89" w:rsidRPr="00360B89" w14:paraId="5B560000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EB18A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DDE1D" w14:textId="2E3F67CC" w:rsidR="005A6D82" w:rsidRPr="00360B89" w:rsidRDefault="009F1C59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12998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ED659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2100A" w14:textId="38EA1C85" w:rsidR="005A6D82" w:rsidRPr="00360B89" w:rsidRDefault="009F1C59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16225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E2533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0B89" w:rsidRPr="00360B89" w14:paraId="69886AB6" w14:textId="77777777" w:rsidTr="00360B89">
        <w:trPr>
          <w:trHeight w:val="7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ADE1D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N1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7B769" w14:textId="4F317FB6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48330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3E573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6505B" w14:textId="5E81B53D" w:rsidR="005A6D82" w:rsidRPr="00360B89" w:rsidRDefault="001C2DDD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45636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59C42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0B89" w:rsidRPr="00360B89" w14:paraId="1AAD2F83" w14:textId="77777777" w:rsidTr="00360B89">
        <w:trPr>
          <w:trHeight w:val="50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72C70C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N2 (Cluster)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AE5A9" w14:textId="696E469C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59571E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6FE1C1" w14:textId="4ECE3C7F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5B3F73" w:rsidRPr="00360B89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348A5F" w14:textId="77777777" w:rsidR="005A6D82" w:rsidRPr="00360B89" w:rsidRDefault="005A6D82" w:rsidP="005A6D8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60B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0B89" w:rsidRPr="00360B89" w14:paraId="23216E71" w14:textId="77777777" w:rsidTr="00360B89">
        <w:trPr>
          <w:gridAfter w:val="1"/>
          <w:wAfter w:w="26" w:type="dxa"/>
          <w:trHeight w:val="60"/>
        </w:trPr>
        <w:tc>
          <w:tcPr>
            <w:tcW w:w="763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10475A2" w14:textId="0812298C" w:rsidR="005A6D82" w:rsidRPr="00360B89" w:rsidRDefault="005A6D82" w:rsidP="005A6D82">
            <w:pPr>
              <w:rPr>
                <w:rFonts w:eastAsia="Times New Roman"/>
                <w:sz w:val="20"/>
                <w:szCs w:val="20"/>
              </w:rPr>
            </w:pPr>
            <w:r w:rsidRPr="00360B8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Data From ESS.  </w:t>
            </w:r>
            <w:r w:rsidRPr="00360B89">
              <w:rPr>
                <w:rFonts w:eastAsia="Times New Roman"/>
                <w:color w:val="000000"/>
                <w:sz w:val="20"/>
                <w:szCs w:val="20"/>
              </w:rPr>
              <w:t>*p&lt;.05 **p&lt;.01, ***p&lt;.001</w:t>
            </w:r>
            <w:r w:rsidR="00360B89" w:rsidRPr="00360B8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360B89" w:rsidRPr="00360B89">
              <w:rPr>
                <w:rFonts w:eastAsia="Times New Roman"/>
                <w:color w:val="000000"/>
                <w:sz w:val="20"/>
                <w:szCs w:val="20"/>
              </w:rPr>
              <w:t>The bolded and italicized coefficients differ significantly between men and women from cross-model Wald test for equality of coefficients at p &lt;.0</w:t>
            </w:r>
            <w:r w:rsidR="00360B89">
              <w:rPr>
                <w:rFonts w:eastAsia="Times New Roman"/>
                <w:color w:val="000000"/>
                <w:sz w:val="20"/>
                <w:szCs w:val="20"/>
              </w:rPr>
              <w:t>1**</w:t>
            </w:r>
            <w:r w:rsidR="00360B89" w:rsidRPr="00360B89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="005B3F73" w:rsidRPr="00360B89">
              <w:rPr>
                <w:rFonts w:eastAsia="Times New Roman"/>
                <w:color w:val="000000"/>
                <w:sz w:val="20"/>
                <w:szCs w:val="20"/>
              </w:rPr>
              <w:t>We find similar support for all hypotheses. For H</w:t>
            </w:r>
            <w:r w:rsidR="00360B8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5B3F73" w:rsidRPr="00360B89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="005B3F73" w:rsidRPr="00360B89">
              <w:rPr>
                <w:rFonts w:eastAsia="Times New Roman"/>
                <w:color w:val="000000"/>
                <w:sz w:val="20"/>
                <w:szCs w:val="20"/>
              </w:rPr>
              <w:t>Men are motivated by moral conservatism, whereas the effect is insignificant among women.</w:t>
            </w:r>
            <w:r w:rsidR="00490EEB" w:rsidRPr="00360B89">
              <w:rPr>
                <w:rFonts w:eastAsia="Times New Roman"/>
                <w:color w:val="000000"/>
                <w:sz w:val="20"/>
                <w:szCs w:val="20"/>
              </w:rPr>
              <w:t xml:space="preserve"> Chapel Hill scales are reversed so signs are consistent with CMP</w:t>
            </w:r>
          </w:p>
        </w:tc>
      </w:tr>
    </w:tbl>
    <w:p w14:paraId="5496AD6F" w14:textId="77777777" w:rsidR="00DC1A29" w:rsidRPr="00360B89" w:rsidRDefault="00DC1A29">
      <w:pPr>
        <w:rPr>
          <w:sz w:val="20"/>
          <w:szCs w:val="20"/>
        </w:rPr>
      </w:pPr>
    </w:p>
    <w:sectPr w:rsidR="00DC1A29" w:rsidRPr="00360B89" w:rsidSect="00797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82"/>
    <w:rsid w:val="001C2DDD"/>
    <w:rsid w:val="00360B89"/>
    <w:rsid w:val="00490EEB"/>
    <w:rsid w:val="005A6D82"/>
    <w:rsid w:val="005B3F73"/>
    <w:rsid w:val="00797474"/>
    <w:rsid w:val="009F1C59"/>
    <w:rsid w:val="00DC1A29"/>
    <w:rsid w:val="00F8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529EE"/>
  <w14:defaultImageDpi w14:val="32767"/>
  <w15:chartTrackingRefBased/>
  <w15:docId w15:val="{2345A556-D4E5-E247-A497-C32E4CE8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6D8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B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B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Trevor J. (Political Science)</dc:creator>
  <cp:keywords/>
  <dc:description/>
  <cp:lastModifiedBy>Allen, Trevor J. (Political Science)</cp:lastModifiedBy>
  <cp:revision>4</cp:revision>
  <dcterms:created xsi:type="dcterms:W3CDTF">2020-10-08T07:40:00Z</dcterms:created>
  <dcterms:modified xsi:type="dcterms:W3CDTF">2020-10-08T09:29:00Z</dcterms:modified>
</cp:coreProperties>
</file>