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31A1A2" w14:textId="77777777" w:rsidR="002F07AC" w:rsidRDefault="002F07AC" w:rsidP="002F07AC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tbl>
      <w:tblPr>
        <w:tblW w:w="0" w:type="auto"/>
        <w:tblInd w:w="-1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36"/>
        <w:gridCol w:w="1728"/>
        <w:gridCol w:w="1728"/>
        <w:gridCol w:w="1728"/>
        <w:gridCol w:w="1728"/>
      </w:tblGrid>
      <w:tr w:rsidR="002F07AC" w14:paraId="2BFD4B80" w14:textId="77777777">
        <w:tc>
          <w:tcPr>
            <w:tcW w:w="1836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12C2C7" w14:textId="77777777" w:rsidR="002F07AC" w:rsidRDefault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EC7411C" w14:textId="77777777" w:rsidR="002F07AC" w:rsidRPr="002F07AC" w:rsidRDefault="002F07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F07AC">
              <w:rPr>
                <w:rFonts w:ascii="Times New Roman" w:hAnsi="Times New Roman" w:cs="Times New Roman"/>
                <w:b/>
                <w:lang w:val="en-US"/>
              </w:rPr>
              <w:t>Model 1</w:t>
            </w: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19898B" w14:textId="77777777" w:rsidR="002F07AC" w:rsidRPr="002F07AC" w:rsidRDefault="002F07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F07AC">
              <w:rPr>
                <w:rFonts w:ascii="Times New Roman" w:hAnsi="Times New Roman" w:cs="Times New Roman"/>
                <w:b/>
                <w:lang w:val="en-US"/>
              </w:rPr>
              <w:t>Model 2</w:t>
            </w: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BE6015" w14:textId="77777777" w:rsidR="002F07AC" w:rsidRPr="002F07AC" w:rsidRDefault="002F07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F07AC">
              <w:rPr>
                <w:rFonts w:ascii="Times New Roman" w:hAnsi="Times New Roman" w:cs="Times New Roman"/>
                <w:b/>
                <w:lang w:val="en-US"/>
              </w:rPr>
              <w:t>Model 3</w:t>
            </w: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78BD26" w14:textId="77777777" w:rsidR="002F07AC" w:rsidRPr="002F07AC" w:rsidRDefault="002F07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F07AC">
              <w:rPr>
                <w:rFonts w:ascii="Times New Roman" w:hAnsi="Times New Roman" w:cs="Times New Roman"/>
                <w:b/>
                <w:lang w:val="en-US"/>
              </w:rPr>
              <w:t>Model 4</w:t>
            </w:r>
          </w:p>
        </w:tc>
      </w:tr>
      <w:tr w:rsidR="002F07AC" w14:paraId="2BC52B78" w14:textId="77777777">
        <w:tblPrEx>
          <w:tblBorders>
            <w:top w:val="none" w:sz="0" w:space="0" w:color="auto"/>
          </w:tblBorders>
        </w:tblPrEx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F46282C" w14:textId="77777777" w:rsidR="002F07AC" w:rsidRDefault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7FDC14" w14:textId="77777777" w:rsidR="002F07AC" w:rsidRDefault="002F07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2AB8AB" w14:textId="77777777" w:rsidR="002F07AC" w:rsidRDefault="002F07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FB43F3" w14:textId="77777777" w:rsidR="002F07AC" w:rsidRDefault="002F07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86A9438" w14:textId="77777777" w:rsidR="002F07AC" w:rsidRDefault="002F07A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3B3D73" w14:paraId="14B789C2" w14:textId="77777777">
        <w:tblPrEx>
          <w:tblBorders>
            <w:top w:val="none" w:sz="0" w:space="0" w:color="auto"/>
          </w:tblBorders>
        </w:tblPrEx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6216FA3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  <w:r w:rsidRPr="002F07AC">
              <w:rPr>
                <w:rFonts w:ascii="Times New Roman" w:hAnsi="Times New Roman" w:cs="Times New Roman"/>
                <w:b/>
                <w:lang w:val="en-US"/>
              </w:rPr>
              <w:t>Government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BC4A047" w14:textId="742770FE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-0.55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457207" w14:textId="6FF0FE57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-0.34</w:t>
            </w:r>
            <w:r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0342CCB" w14:textId="231EE517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-0.38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A72EB4" w14:textId="12EF1A26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-0.19</w:t>
            </w:r>
            <w:r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</w:tr>
      <w:tr w:rsidR="003B3D73" w14:paraId="7E77A016" w14:textId="77777777">
        <w:tblPrEx>
          <w:tblBorders>
            <w:top w:val="none" w:sz="0" w:space="0" w:color="auto"/>
          </w:tblBorders>
        </w:tblPrEx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02C8D33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31C06F" w14:textId="7710670C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(0.15)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7B0332D" w14:textId="1209E8D2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(0.14)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A7F873" w14:textId="1E306F24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(0.11)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FF328F9" w14:textId="681C4E4C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(0.12)</w:t>
            </w:r>
          </w:p>
        </w:tc>
      </w:tr>
      <w:tr w:rsidR="003B3D73" w14:paraId="29CBA381" w14:textId="77777777">
        <w:tblPrEx>
          <w:tblBorders>
            <w:top w:val="none" w:sz="0" w:space="0" w:color="auto"/>
          </w:tblBorders>
        </w:tblPrEx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455EB5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  <w:r w:rsidRPr="002F07AC">
              <w:rPr>
                <w:rFonts w:ascii="Times New Roman" w:hAnsi="Times New Roman" w:cs="Times New Roman"/>
                <w:b/>
                <w:lang w:val="en-US"/>
              </w:rPr>
              <w:t>V4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64F2330" w14:textId="65E864FC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-0.60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505D5AF" w14:textId="3455EF43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-1.27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BE36DF8" w14:textId="31D4D522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-0.33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FEA34E" w14:textId="4779A99E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-0.93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</w:tr>
      <w:tr w:rsidR="003B3D73" w14:paraId="23AE74AA" w14:textId="77777777">
        <w:tblPrEx>
          <w:tblBorders>
            <w:top w:val="none" w:sz="0" w:space="0" w:color="auto"/>
          </w:tblBorders>
        </w:tblPrEx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44C603D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14A582" w14:textId="6C61BE4D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(0.22)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01E1930" w14:textId="1A27CF69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(0.24)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B8F950" w14:textId="0F79CC39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(0.20)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416437" w14:textId="61D1B100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(0.23)</w:t>
            </w:r>
          </w:p>
        </w:tc>
      </w:tr>
      <w:tr w:rsidR="003B3D73" w14:paraId="2DD04EA6" w14:textId="77777777">
        <w:tblPrEx>
          <w:tblBorders>
            <w:top w:val="none" w:sz="0" w:space="0" w:color="auto"/>
          </w:tblBorders>
        </w:tblPrEx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6BE59C6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  <w:r w:rsidRPr="002F07AC">
              <w:rPr>
                <w:rFonts w:ascii="Times New Roman" w:hAnsi="Times New Roman" w:cs="Times New Roman"/>
                <w:b/>
                <w:lang w:val="en-US"/>
              </w:rPr>
              <w:t>Hungary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F86EDB9" w14:textId="04FCC529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-1.45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65AC884" w14:textId="3D281300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-1.50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3CB68F7" w14:textId="1B2D7094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-1.59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868CB1" w14:textId="17C0FAF9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-1.67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</w:tr>
      <w:tr w:rsidR="003B3D73" w14:paraId="168C13BA" w14:textId="77777777">
        <w:tblPrEx>
          <w:tblBorders>
            <w:top w:val="none" w:sz="0" w:space="0" w:color="auto"/>
          </w:tblBorders>
        </w:tblPrEx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B6602F5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38C43E1" w14:textId="0EE0F81E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(0.14)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714BE2B" w14:textId="4E94B31C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(0.14)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D050A3" w14:textId="031E870A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(0.16)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B24EF7" w14:textId="3D71EC3F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(0.16)</w:t>
            </w:r>
          </w:p>
        </w:tc>
      </w:tr>
      <w:tr w:rsidR="003B3D73" w14:paraId="16D1AFDD" w14:textId="77777777">
        <w:tblPrEx>
          <w:tblBorders>
            <w:top w:val="none" w:sz="0" w:space="0" w:color="auto"/>
          </w:tblBorders>
        </w:tblPrEx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6DD90AD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  <w:r w:rsidRPr="002F07AC">
              <w:rPr>
                <w:rFonts w:ascii="Times New Roman" w:hAnsi="Times New Roman" w:cs="Times New Roman"/>
                <w:b/>
                <w:lang w:val="en-US"/>
              </w:rPr>
              <w:t>Liberal democracy index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0408F9" w14:textId="2FDA7482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2.71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D92747" w14:textId="28FFAE10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1.22</w:t>
            </w:r>
            <w:r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C49B12" w14:textId="7953786E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2.47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7DD7EF" w14:textId="40B1113A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1.03</w:t>
            </w:r>
          </w:p>
        </w:tc>
      </w:tr>
      <w:tr w:rsidR="003B3D73" w14:paraId="17A508E7" w14:textId="77777777">
        <w:tblPrEx>
          <w:tblBorders>
            <w:top w:val="none" w:sz="0" w:space="0" w:color="auto"/>
          </w:tblBorders>
        </w:tblPrEx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5546211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42E32C" w14:textId="5871130C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(0.69)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E11BCEA" w14:textId="376631D8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(0.69)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89441D" w14:textId="2EF7F3A0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(0.62)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206BD9D" w14:textId="29CB74FC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(0.68)</w:t>
            </w:r>
          </w:p>
        </w:tc>
      </w:tr>
      <w:tr w:rsidR="003B3D73" w14:paraId="74493D1C" w14:textId="77777777">
        <w:tblPrEx>
          <w:tblBorders>
            <w:top w:val="none" w:sz="0" w:space="0" w:color="auto"/>
          </w:tblBorders>
        </w:tblPrEx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5349BB" w14:textId="05183A5C" w:rsidR="003B3D73" w:rsidRPr="002F07AC" w:rsidRDefault="00A02500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EPP Advantage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404D2B" w14:textId="77777777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4DD5A57" w14:textId="5D2B47BA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-0.02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ADF8EC7" w14:textId="77777777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753398" w14:textId="1986CD84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-0.02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</w:tr>
      <w:tr w:rsidR="003B3D73" w14:paraId="5BB6E47B" w14:textId="77777777">
        <w:tblPrEx>
          <w:tblBorders>
            <w:top w:val="none" w:sz="0" w:space="0" w:color="auto"/>
          </w:tblBorders>
        </w:tblPrEx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BA54C8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534F00" w14:textId="77777777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A0AA4BE" w14:textId="4C11097C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(0.00)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55EDC86" w14:textId="77777777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3ECFCE" w14:textId="2537AE86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(0.00)</w:t>
            </w:r>
          </w:p>
        </w:tc>
      </w:tr>
      <w:tr w:rsidR="003B3D73" w14:paraId="65458D4F" w14:textId="77777777">
        <w:tblPrEx>
          <w:tblBorders>
            <w:top w:val="none" w:sz="0" w:space="0" w:color="auto"/>
          </w:tblBorders>
        </w:tblPrEx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26829F0" w14:textId="2D17B704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EU-Position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1D9B34" w14:textId="77777777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D7EA84" w14:textId="77777777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14C8E84" w14:textId="7EBB7DF1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0.42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041926" w14:textId="774BBA95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0.41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</w:tr>
      <w:tr w:rsidR="003B3D73" w14:paraId="08F52084" w14:textId="77777777">
        <w:tblPrEx>
          <w:tblBorders>
            <w:top w:val="none" w:sz="0" w:space="0" w:color="auto"/>
          </w:tblBorders>
        </w:tblPrEx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4B0CFB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3DC7A2" w14:textId="77777777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7207283" w14:textId="77777777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D5CB35" w14:textId="0C793049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(0.06)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EE16BE5" w14:textId="0B6EEE56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(0.05)</w:t>
            </w:r>
          </w:p>
        </w:tc>
      </w:tr>
      <w:tr w:rsidR="003B3D73" w14:paraId="4902EDA4" w14:textId="77777777">
        <w:tblPrEx>
          <w:tblBorders>
            <w:top w:val="none" w:sz="0" w:space="0" w:color="auto"/>
          </w:tblBorders>
        </w:tblPrEx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ED16C9" w14:textId="615BFE31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Gal/Tan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8FE4A7" w14:textId="77777777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43A705" w14:textId="77777777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56B482D" w14:textId="2F33BB4A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-0.47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BCCCA0" w14:textId="41B26139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-0.47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</w:tr>
      <w:tr w:rsidR="003B3D73" w14:paraId="47E4E294" w14:textId="77777777">
        <w:tblPrEx>
          <w:tblBorders>
            <w:top w:val="none" w:sz="0" w:space="0" w:color="auto"/>
          </w:tblBorders>
        </w:tblPrEx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0638C6A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60E7E32" w14:textId="77777777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50C2D24" w14:textId="77777777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2C83E9" w14:textId="4253A196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(0.15)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CD6693" w14:textId="25BF7D9F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(0.14)</w:t>
            </w:r>
          </w:p>
        </w:tc>
      </w:tr>
      <w:tr w:rsidR="003B3D73" w14:paraId="26140234" w14:textId="77777777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D5250D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  <w:r w:rsidRPr="002F07AC">
              <w:rPr>
                <w:rFonts w:ascii="Times New Roman" w:hAnsi="Times New Roman" w:cs="Times New Roman"/>
                <w:b/>
                <w:lang w:val="en-US"/>
              </w:rPr>
              <w:t>2013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5FB4308" w14:textId="3D486690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2.40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347658C" w14:textId="3E9B8F81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2.48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50F64F4" w14:textId="6CCD7A4C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2.49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AA0CE38" w14:textId="332A3779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2.55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</w:tr>
      <w:tr w:rsidR="003B3D73" w14:paraId="41260BC4" w14:textId="77777777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A53FC8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8CD305" w14:textId="6C6C38EE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(0.25)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38827DC" w14:textId="7EE2393B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(0.26)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6DC983" w14:textId="5B7E31DA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(0.28)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3D86EF9" w14:textId="4FC164F6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(0.29)</w:t>
            </w:r>
          </w:p>
        </w:tc>
      </w:tr>
      <w:tr w:rsidR="003B3D73" w14:paraId="215C958D" w14:textId="77777777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B9E38B7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  <w:r w:rsidRPr="002F07AC">
              <w:rPr>
                <w:rFonts w:ascii="Times New Roman" w:hAnsi="Times New Roman" w:cs="Times New Roman"/>
                <w:b/>
                <w:lang w:val="en-US"/>
              </w:rPr>
              <w:t>2014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FF2AE81" w14:textId="5FC01900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3.29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1D659B" w14:textId="01A679A1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3.43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ECF9D82" w14:textId="6AA6499D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3.40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DA78E3" w14:textId="59FEDBA9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3.48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</w:tr>
      <w:tr w:rsidR="003B3D73" w14:paraId="2FE596AE" w14:textId="77777777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7E20A13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5A98286" w14:textId="594B5161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(0.29)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011FD4" w14:textId="2E253897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(0.31)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2ED6FE" w14:textId="35AFAB41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(0.31)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FA92FC" w14:textId="39DDD255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(0.32)</w:t>
            </w:r>
          </w:p>
        </w:tc>
      </w:tr>
      <w:tr w:rsidR="003B3D73" w14:paraId="149C6E79" w14:textId="77777777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D24F7B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  <w:r w:rsidRPr="002F07AC">
              <w:rPr>
                <w:rFonts w:ascii="Times New Roman" w:hAnsi="Times New Roman" w:cs="Times New Roman"/>
                <w:b/>
                <w:lang w:val="en-US"/>
              </w:rPr>
              <w:t>2015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3FD2FD" w14:textId="1D932B0F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-0.43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B8DFB51" w14:textId="1BD602C6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-0.42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EF303C" w14:textId="1C0B3D3B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-0.39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1A5786" w14:textId="7BFE1969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-0.36</w:t>
            </w:r>
          </w:p>
        </w:tc>
      </w:tr>
      <w:tr w:rsidR="003B3D73" w14:paraId="3CB44E38" w14:textId="77777777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46D3AD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83364C5" w14:textId="537D08AA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(0.43)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6ADB9FF" w14:textId="7BA357B1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(0.43)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C56314" w14:textId="68E2EEBB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(0.44)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769810" w14:textId="02592394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(0.44)</w:t>
            </w:r>
          </w:p>
        </w:tc>
      </w:tr>
      <w:tr w:rsidR="003B3D73" w14:paraId="22FFC57F" w14:textId="77777777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2991D9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  <w:r w:rsidRPr="002F07AC">
              <w:rPr>
                <w:rFonts w:ascii="Times New Roman" w:hAnsi="Times New Roman" w:cs="Times New Roman"/>
                <w:b/>
                <w:lang w:val="en-US"/>
              </w:rPr>
              <w:t>2016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CD28BF" w14:textId="655212D9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3.01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6A0E50E" w14:textId="4994DD0D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2.93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580105E" w14:textId="3430ABD4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3.13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00CE85" w14:textId="1404F1FF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3.02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</w:tr>
      <w:tr w:rsidR="003B3D73" w14:paraId="29E67522" w14:textId="77777777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48524F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68A6AE0" w14:textId="3A258DAC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(0.24)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7330CD6" w14:textId="443A3C12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(0.25)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803227" w14:textId="122117D4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(0.27)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10D5CA" w14:textId="6774D5CA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(0.27)</w:t>
            </w:r>
          </w:p>
        </w:tc>
      </w:tr>
      <w:tr w:rsidR="003B3D73" w14:paraId="6D21C6F3" w14:textId="77777777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9286F86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  <w:r w:rsidRPr="002F07AC">
              <w:rPr>
                <w:rFonts w:ascii="Times New Roman" w:hAnsi="Times New Roman" w:cs="Times New Roman"/>
                <w:b/>
                <w:lang w:val="en-US"/>
              </w:rPr>
              <w:t>2017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4B16CF" w14:textId="4808145C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4.02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B6E6B5" w14:textId="5AF4B149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3.83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9BD699F" w14:textId="1A3679B8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4.25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89D79F" w14:textId="06388A77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4.04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</w:tr>
      <w:tr w:rsidR="003B3D73" w14:paraId="23563BE3" w14:textId="77777777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DA5076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4DA632" w14:textId="13A47434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(0.27)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ED9226" w14:textId="61A717EB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(0.28)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F0C884F" w14:textId="504B5922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(0.29)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D603A1" w14:textId="2CC1FBB7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(0.29)</w:t>
            </w:r>
          </w:p>
        </w:tc>
      </w:tr>
      <w:tr w:rsidR="003B3D73" w14:paraId="5C639416" w14:textId="77777777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444BCE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  <w:r w:rsidRPr="002F07AC">
              <w:rPr>
                <w:rFonts w:ascii="Times New Roman" w:hAnsi="Times New Roman" w:cs="Times New Roman"/>
                <w:b/>
                <w:lang w:val="en-US"/>
              </w:rPr>
              <w:t>2018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D1CFD98" w14:textId="12C71BF2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5.59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398F4E" w14:textId="2608D704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5.36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73B6A12" w14:textId="367FD58C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5.91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60FA00" w14:textId="0DF6CED4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5.69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</w:tr>
      <w:tr w:rsidR="003B3D73" w14:paraId="5F2E8F47" w14:textId="77777777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334F1C5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2C1457" w14:textId="73CF7F9D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(0.28)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3153E86" w14:textId="4210038C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(0.29)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0C6A42" w14:textId="68C74E4D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(0.30)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45515B4" w14:textId="3160FD78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(0.31)</w:t>
            </w:r>
          </w:p>
        </w:tc>
      </w:tr>
      <w:tr w:rsidR="003B3D73" w14:paraId="71D44673" w14:textId="77777777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3B89E3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  <w:r w:rsidRPr="002F07AC">
              <w:rPr>
                <w:rFonts w:ascii="Times New Roman" w:hAnsi="Times New Roman" w:cs="Times New Roman"/>
                <w:b/>
                <w:lang w:val="en-US"/>
              </w:rPr>
              <w:t>2019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257CF1" w14:textId="2CCA2F65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3.76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C36FB3A" w14:textId="176E5C66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3.50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450931A" w14:textId="1FE13419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3.92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27F44F" w14:textId="79517134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3.63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</w:tr>
      <w:tr w:rsidR="003B3D73" w14:paraId="5F424BA0" w14:textId="77777777" w:rsidTr="002F07AC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79F9C1D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350BEE" w14:textId="3641B7EF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(0.27)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B178BFE" w14:textId="5BC69C4D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(0.29)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6263A5" w14:textId="25271820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(0.30)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69578A5" w14:textId="7CCECE29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(0.31)</w:t>
            </w:r>
          </w:p>
        </w:tc>
      </w:tr>
      <w:tr w:rsidR="003B3D73" w14:paraId="3136D06C" w14:textId="77777777" w:rsidTr="002F07AC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5C125E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  <w:r w:rsidRPr="002F07AC">
              <w:rPr>
                <w:rFonts w:ascii="Times New Roman" w:hAnsi="Times New Roman" w:cs="Times New Roman"/>
                <w:b/>
                <w:lang w:val="en-US"/>
              </w:rPr>
              <w:t>Constant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396070" w14:textId="739584B7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-4.24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4357CAE" w14:textId="1691B884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-2.57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FD10CE" w14:textId="5E284C3A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-6.61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17A7065" w14:textId="064A09CE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-4.97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</w:tr>
      <w:tr w:rsidR="003B3D73" w14:paraId="34D3EB83" w14:textId="77777777" w:rsidTr="002F07AC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E69122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E5A8D49" w14:textId="3ED546F6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(0.61)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2EAEB62" w14:textId="62F72256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(0.66)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54DB7A" w14:textId="4DC8F936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(0.68)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74BF18" w14:textId="47FADE59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(0.77)</w:t>
            </w:r>
          </w:p>
        </w:tc>
      </w:tr>
      <w:tr w:rsidR="003B3D73" w14:paraId="3812008B" w14:textId="77777777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FEDABB" w14:textId="77777777" w:rsidR="003B3D73" w:rsidRPr="002F07AC" w:rsidRDefault="003B3D73" w:rsidP="002F07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lang w:val="en-US"/>
              </w:rPr>
            </w:pPr>
            <w:r w:rsidRPr="002F07AC">
              <w:rPr>
                <w:rFonts w:ascii="Times New Roman" w:hAnsi="Times New Roman" w:cs="Times New Roman"/>
                <w:b/>
                <w:lang w:val="en-US"/>
              </w:rPr>
              <w:t>Observations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19FF1E" w14:textId="3192734C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4131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5CEACD" w14:textId="61E39835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4110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3A8B08F" w14:textId="57CF0629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4083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8A41FB" w14:textId="048687F1" w:rsidR="003B3D73" w:rsidRDefault="003B3D73" w:rsidP="0070275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4063</w:t>
            </w:r>
          </w:p>
        </w:tc>
      </w:tr>
    </w:tbl>
    <w:p w14:paraId="25AB9D7A" w14:textId="77777777" w:rsidR="002F07AC" w:rsidRDefault="002F07AC" w:rsidP="002F07AC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14:paraId="1B6CB067" w14:textId="77777777" w:rsidR="002A782F" w:rsidRPr="002A782F" w:rsidRDefault="00674D20" w:rsidP="002A782F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2A782F">
        <w:rPr>
          <w:rFonts w:ascii="Times New Roman" w:hAnsi="Times New Roman" w:cs="Times New Roman"/>
        </w:rPr>
        <w:t xml:space="preserve">Table </w:t>
      </w:r>
      <w:r w:rsidR="0068259D" w:rsidRPr="002A782F">
        <w:rPr>
          <w:rFonts w:ascii="Times New Roman" w:hAnsi="Times New Roman" w:cs="Times New Roman"/>
        </w:rPr>
        <w:t xml:space="preserve">SI </w:t>
      </w:r>
      <w:r w:rsidRPr="002A782F">
        <w:rPr>
          <w:rFonts w:ascii="Times New Roman" w:hAnsi="Times New Roman" w:cs="Times New Roman"/>
        </w:rPr>
        <w:t xml:space="preserve">3: </w:t>
      </w:r>
      <w:r w:rsidR="00526D8A" w:rsidRPr="002A782F">
        <w:rPr>
          <w:rFonts w:ascii="Times New Roman" w:hAnsi="Times New Roman" w:cs="Times New Roman"/>
        </w:rPr>
        <w:t xml:space="preserve">Logistic Regression Model with fixed effects at the level of years. </w:t>
      </w:r>
    </w:p>
    <w:p w14:paraId="106F3DB9" w14:textId="087213C2" w:rsidR="0068259D" w:rsidRPr="002A782F" w:rsidRDefault="00822CA2" w:rsidP="002A782F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i/>
          <w:lang w:val="en-US"/>
        </w:rPr>
      </w:pPr>
      <w:r w:rsidRPr="002A782F">
        <w:rPr>
          <w:rFonts w:ascii="Times New Roman" w:hAnsi="Times New Roman" w:cs="Times New Roman"/>
          <w:i/>
        </w:rPr>
        <w:t xml:space="preserve">Standard </w:t>
      </w:r>
      <w:r w:rsidR="00861C74" w:rsidRPr="002A782F">
        <w:rPr>
          <w:rFonts w:ascii="Times New Roman" w:hAnsi="Times New Roman" w:cs="Times New Roman"/>
          <w:i/>
        </w:rPr>
        <w:t>errors</w:t>
      </w:r>
      <w:r w:rsidRPr="002A782F">
        <w:rPr>
          <w:rFonts w:ascii="Times New Roman" w:hAnsi="Times New Roman" w:cs="Times New Roman"/>
          <w:i/>
        </w:rPr>
        <w:t xml:space="preserve"> are clustered by MEP. </w:t>
      </w:r>
      <w:r w:rsidR="00526D8A" w:rsidRPr="002A782F">
        <w:rPr>
          <w:rFonts w:ascii="Times New Roman" w:hAnsi="Times New Roman" w:cs="Times New Roman"/>
          <w:i/>
        </w:rPr>
        <w:t>The c</w:t>
      </w:r>
      <w:r w:rsidR="00592513" w:rsidRPr="002A782F">
        <w:rPr>
          <w:rFonts w:ascii="Times New Roman" w:hAnsi="Times New Roman" w:cs="Times New Roman"/>
          <w:i/>
        </w:rPr>
        <w:t xml:space="preserve">oefficients for the yearly dummies </w:t>
      </w:r>
      <w:r w:rsidR="00543A12" w:rsidRPr="002A782F">
        <w:rPr>
          <w:rFonts w:ascii="Times New Roman" w:hAnsi="Times New Roman" w:cs="Times New Roman"/>
          <w:i/>
        </w:rPr>
        <w:t>are</w:t>
      </w:r>
      <w:r w:rsidR="00526D8A" w:rsidRPr="002A782F">
        <w:rPr>
          <w:rFonts w:ascii="Times New Roman" w:hAnsi="Times New Roman" w:cs="Times New Roman"/>
          <w:i/>
        </w:rPr>
        <w:t xml:space="preserve"> generally</w:t>
      </w:r>
      <w:r w:rsidR="00543A12" w:rsidRPr="002A782F">
        <w:rPr>
          <w:rFonts w:ascii="Times New Roman" w:hAnsi="Times New Roman" w:cs="Times New Roman"/>
          <w:i/>
        </w:rPr>
        <w:t xml:space="preserve"> positive</w:t>
      </w:r>
      <w:r w:rsidR="00592513" w:rsidRPr="002A782F">
        <w:rPr>
          <w:rFonts w:ascii="Times New Roman" w:hAnsi="Times New Roman" w:cs="Times New Roman"/>
          <w:i/>
        </w:rPr>
        <w:t xml:space="preserve"> and</w:t>
      </w:r>
      <w:r w:rsidR="00543A12" w:rsidRPr="002A782F">
        <w:rPr>
          <w:rFonts w:ascii="Times New Roman" w:hAnsi="Times New Roman" w:cs="Times New Roman"/>
          <w:i/>
        </w:rPr>
        <w:t xml:space="preserve"> in size</w:t>
      </w:r>
      <w:r w:rsidR="003B3D73" w:rsidRPr="002A782F">
        <w:rPr>
          <w:rFonts w:ascii="Times New Roman" w:hAnsi="Times New Roman" w:cs="Times New Roman"/>
          <w:i/>
        </w:rPr>
        <w:t xml:space="preserve">. </w:t>
      </w:r>
      <w:r w:rsidR="00543A12" w:rsidRPr="002A782F">
        <w:rPr>
          <w:rFonts w:ascii="Times New Roman" w:hAnsi="Times New Roman" w:cs="Times New Roman"/>
          <w:i/>
        </w:rPr>
        <w:t xml:space="preserve">This indicates that the likelihood of voting in favour of </w:t>
      </w:r>
      <w:r w:rsidR="00592513" w:rsidRPr="002A782F">
        <w:rPr>
          <w:rFonts w:ascii="Times New Roman" w:hAnsi="Times New Roman" w:cs="Times New Roman"/>
          <w:i/>
        </w:rPr>
        <w:t>one of the resolutions increases</w:t>
      </w:r>
      <w:r w:rsidR="00543A12" w:rsidRPr="002A782F">
        <w:rPr>
          <w:rFonts w:ascii="Times New Roman" w:hAnsi="Times New Roman" w:cs="Times New Roman"/>
          <w:i/>
        </w:rPr>
        <w:t xml:space="preserve"> from year to year. </w:t>
      </w:r>
      <w:r w:rsidR="000D3634" w:rsidRPr="002A782F">
        <w:rPr>
          <w:rFonts w:ascii="Times New Roman" w:hAnsi="Times New Roman" w:cs="Times New Roman"/>
          <w:i/>
        </w:rPr>
        <w:t xml:space="preserve">The substantive coefficients are largely similar, even though the variable for government participation is not significant in the full model, while the V4 variable is significant throughout all models. </w:t>
      </w:r>
      <w:r w:rsidR="00861C74" w:rsidRPr="002A782F">
        <w:rPr>
          <w:rFonts w:ascii="Times New Roman" w:hAnsi="Times New Roman" w:cs="Times New Roman"/>
          <w:i/>
        </w:rPr>
        <w:t xml:space="preserve">The Lidem index is not significant in the full model. </w:t>
      </w:r>
      <w:r w:rsidR="0068259D" w:rsidRPr="002A782F">
        <w:rPr>
          <w:rFonts w:ascii="Times New Roman" w:eastAsia="Calibri" w:hAnsi="Times New Roman" w:cs="Times New Roman"/>
          <w:i/>
          <w:lang w:val="en-US"/>
        </w:rPr>
        <w:t>Hazard Ratios; Standard errors in parentheses</w:t>
      </w:r>
      <w:r w:rsidR="0068259D" w:rsidRPr="002A782F">
        <w:rPr>
          <w:rFonts w:ascii="Times New Roman" w:eastAsia="Calibri" w:hAnsi="Times New Roman" w:cs="Times New Roman"/>
          <w:i/>
          <w:vertAlign w:val="superscript"/>
          <w:lang w:val="en-US"/>
        </w:rPr>
        <w:t xml:space="preserve"> *</w:t>
      </w:r>
      <w:r w:rsidR="0068259D" w:rsidRPr="002A782F">
        <w:rPr>
          <w:rFonts w:ascii="Times New Roman" w:eastAsia="Calibri" w:hAnsi="Times New Roman" w:cs="Times New Roman"/>
          <w:i/>
          <w:lang w:val="en-US"/>
        </w:rPr>
        <w:t xml:space="preserve"> </w:t>
      </w:r>
      <w:r w:rsidR="0068259D" w:rsidRPr="002A782F">
        <w:rPr>
          <w:rFonts w:ascii="Times New Roman" w:eastAsia="Calibri" w:hAnsi="Times New Roman" w:cs="Times New Roman"/>
          <w:i/>
          <w:iCs/>
          <w:lang w:val="en-US"/>
        </w:rPr>
        <w:t>p</w:t>
      </w:r>
      <w:r w:rsidR="0068259D" w:rsidRPr="002A782F">
        <w:rPr>
          <w:rFonts w:ascii="Times New Roman" w:eastAsia="Calibri" w:hAnsi="Times New Roman" w:cs="Times New Roman"/>
          <w:i/>
          <w:lang w:val="en-US"/>
        </w:rPr>
        <w:t xml:space="preserve"> &lt; .1, </w:t>
      </w:r>
      <w:r w:rsidR="0068259D" w:rsidRPr="002A782F">
        <w:rPr>
          <w:rFonts w:ascii="Times New Roman" w:eastAsia="Calibri" w:hAnsi="Times New Roman" w:cs="Times New Roman"/>
          <w:i/>
          <w:vertAlign w:val="superscript"/>
          <w:lang w:val="en-US"/>
        </w:rPr>
        <w:t>**</w:t>
      </w:r>
      <w:r w:rsidR="0068259D" w:rsidRPr="002A782F">
        <w:rPr>
          <w:rFonts w:ascii="Times New Roman" w:eastAsia="Calibri" w:hAnsi="Times New Roman" w:cs="Times New Roman"/>
          <w:i/>
          <w:lang w:val="en-US"/>
        </w:rPr>
        <w:t xml:space="preserve"> </w:t>
      </w:r>
      <w:r w:rsidR="0068259D" w:rsidRPr="002A782F">
        <w:rPr>
          <w:rFonts w:ascii="Times New Roman" w:eastAsia="Calibri" w:hAnsi="Times New Roman" w:cs="Times New Roman"/>
          <w:i/>
          <w:iCs/>
          <w:lang w:val="en-US"/>
        </w:rPr>
        <w:t>p</w:t>
      </w:r>
      <w:r w:rsidR="0068259D" w:rsidRPr="002A782F">
        <w:rPr>
          <w:rFonts w:ascii="Times New Roman" w:eastAsia="Calibri" w:hAnsi="Times New Roman" w:cs="Times New Roman"/>
          <w:i/>
          <w:lang w:val="en-US"/>
        </w:rPr>
        <w:t xml:space="preserve"> &lt; .05, </w:t>
      </w:r>
      <w:r w:rsidR="0068259D" w:rsidRPr="002A782F">
        <w:rPr>
          <w:rFonts w:ascii="Times New Roman" w:eastAsia="Calibri" w:hAnsi="Times New Roman" w:cs="Times New Roman"/>
          <w:i/>
          <w:vertAlign w:val="superscript"/>
          <w:lang w:val="en-US"/>
        </w:rPr>
        <w:t>***</w:t>
      </w:r>
      <w:r w:rsidR="0068259D" w:rsidRPr="002A782F">
        <w:rPr>
          <w:rFonts w:ascii="Times New Roman" w:eastAsia="Calibri" w:hAnsi="Times New Roman" w:cs="Times New Roman"/>
          <w:i/>
          <w:lang w:val="en-US"/>
        </w:rPr>
        <w:t xml:space="preserve"> </w:t>
      </w:r>
      <w:r w:rsidR="0068259D" w:rsidRPr="002A782F">
        <w:rPr>
          <w:rFonts w:ascii="Times New Roman" w:eastAsia="Calibri" w:hAnsi="Times New Roman" w:cs="Times New Roman"/>
          <w:i/>
          <w:iCs/>
          <w:lang w:val="en-US"/>
        </w:rPr>
        <w:t>p</w:t>
      </w:r>
      <w:r w:rsidR="0068259D" w:rsidRPr="002A782F">
        <w:rPr>
          <w:rFonts w:ascii="Times New Roman" w:eastAsia="Calibri" w:hAnsi="Times New Roman" w:cs="Times New Roman"/>
          <w:i/>
          <w:lang w:val="en-US"/>
        </w:rPr>
        <w:t xml:space="preserve"> &lt; .01</w:t>
      </w:r>
    </w:p>
    <w:p w14:paraId="169F8D85" w14:textId="77777777" w:rsidR="0068259D" w:rsidRPr="0068259D" w:rsidRDefault="0068259D" w:rsidP="0068259D">
      <w:pPr>
        <w:rPr>
          <w:rFonts w:ascii="Times New Roman" w:eastAsia="Times New Roman" w:hAnsi="Times New Roman" w:cs="Times New Roman"/>
        </w:rPr>
      </w:pPr>
    </w:p>
    <w:p w14:paraId="43C52803" w14:textId="0F27CE30" w:rsidR="004A1A75" w:rsidRDefault="0087314B"/>
    <w:p w14:paraId="4A8CF3E2" w14:textId="77777777" w:rsidR="00FC2ADE" w:rsidRDefault="00FC2ADE"/>
    <w:p w14:paraId="1C74FC52" w14:textId="77777777" w:rsidR="00FC2ADE" w:rsidRDefault="00FC2ADE"/>
    <w:p w14:paraId="4F0099C0" w14:textId="52EBE6AC" w:rsidR="00FC2ADE" w:rsidRDefault="003B3D73">
      <w:r>
        <w:rPr>
          <w:noProof/>
          <w:lang w:val="en-US"/>
        </w:rPr>
        <w:drawing>
          <wp:inline distT="0" distB="0" distL="0" distR="0" wp14:anchorId="3AC0E922" wp14:editId="5E8D126C">
            <wp:extent cx="5029200" cy="3657600"/>
            <wp:effectExtent l="25400" t="25400" r="25400" b="2540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CD6B493" w14:textId="77777777" w:rsidR="002A782F" w:rsidRPr="002A782F" w:rsidRDefault="0068259D">
      <w:pPr>
        <w:rPr>
          <w:rFonts w:ascii="Times New Roman" w:hAnsi="Times New Roman" w:cs="Times New Roman"/>
        </w:rPr>
      </w:pPr>
      <w:r w:rsidRPr="002A782F">
        <w:rPr>
          <w:rFonts w:ascii="Times New Roman" w:hAnsi="Times New Roman" w:cs="Times New Roman"/>
        </w:rPr>
        <w:t>Figure SI 2</w:t>
      </w:r>
      <w:r w:rsidR="00FC2ADE" w:rsidRPr="002A782F">
        <w:rPr>
          <w:rFonts w:ascii="Times New Roman" w:hAnsi="Times New Roman" w:cs="Times New Roman"/>
        </w:rPr>
        <w:t>: Figure plots the coefficients of the fixed effects model visually</w:t>
      </w:r>
    </w:p>
    <w:p w14:paraId="3DEC7B0B" w14:textId="1802B630" w:rsidR="00FC2ADE" w:rsidRPr="0087314B" w:rsidRDefault="002A782F">
      <w:pPr>
        <w:rPr>
          <w:rFonts w:ascii="Times New Roman" w:hAnsi="Times New Roman" w:cs="Times New Roman"/>
          <w:i/>
        </w:rPr>
      </w:pPr>
      <w:r w:rsidRPr="0087314B">
        <w:rPr>
          <w:rFonts w:ascii="Times New Roman" w:hAnsi="Times New Roman" w:cs="Times New Roman"/>
          <w:i/>
        </w:rPr>
        <w:t xml:space="preserve">This shows a </w:t>
      </w:r>
      <w:r w:rsidR="00FC2ADE" w:rsidRPr="0087314B">
        <w:rPr>
          <w:rFonts w:ascii="Times New Roman" w:hAnsi="Times New Roman" w:cs="Times New Roman"/>
          <w:i/>
        </w:rPr>
        <w:t xml:space="preserve">general upward trend in the size of the country dummy </w:t>
      </w:r>
      <w:r w:rsidR="005128D3" w:rsidRPr="0087314B">
        <w:rPr>
          <w:rFonts w:ascii="Times New Roman" w:hAnsi="Times New Roman" w:cs="Times New Roman"/>
          <w:i/>
        </w:rPr>
        <w:t>coefficients</w:t>
      </w:r>
      <w:r w:rsidR="00FC2ADE" w:rsidRPr="0087314B">
        <w:rPr>
          <w:rFonts w:ascii="Times New Roman" w:hAnsi="Times New Roman" w:cs="Times New Roman"/>
          <w:i/>
        </w:rPr>
        <w:t xml:space="preserve"> over time. The estimations</w:t>
      </w:r>
      <w:bookmarkStart w:id="0" w:name="_GoBack"/>
      <w:bookmarkEnd w:id="0"/>
      <w:r w:rsidR="00FC2ADE" w:rsidRPr="0087314B">
        <w:rPr>
          <w:rFonts w:ascii="Times New Roman" w:hAnsi="Times New Roman" w:cs="Times New Roman"/>
          <w:i/>
        </w:rPr>
        <w:t xml:space="preserve"> are based on the full model (Model 4). </w:t>
      </w:r>
    </w:p>
    <w:sectPr w:rsidR="00FC2ADE" w:rsidRPr="0087314B" w:rsidSect="0072527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07AC"/>
    <w:rsid w:val="000D3634"/>
    <w:rsid w:val="002A782F"/>
    <w:rsid w:val="002F07AC"/>
    <w:rsid w:val="003B3D73"/>
    <w:rsid w:val="005128D3"/>
    <w:rsid w:val="00526D8A"/>
    <w:rsid w:val="00543A12"/>
    <w:rsid w:val="005734A0"/>
    <w:rsid w:val="00592513"/>
    <w:rsid w:val="00674D20"/>
    <w:rsid w:val="0068259D"/>
    <w:rsid w:val="007B5BB7"/>
    <w:rsid w:val="00822CA2"/>
    <w:rsid w:val="00861C74"/>
    <w:rsid w:val="0087314B"/>
    <w:rsid w:val="008A23E1"/>
    <w:rsid w:val="0092677B"/>
    <w:rsid w:val="009A2865"/>
    <w:rsid w:val="00A02500"/>
    <w:rsid w:val="00A12C63"/>
    <w:rsid w:val="00C8142C"/>
    <w:rsid w:val="00DF4324"/>
    <w:rsid w:val="00E81247"/>
    <w:rsid w:val="00F46756"/>
    <w:rsid w:val="00FC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8A55A9"/>
  <w14:defaultImageDpi w14:val="32767"/>
  <w15:docId w15:val="{AF9BC57F-F100-5A4F-9D7D-95D24698A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2AD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ADE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Herman, Lise</cp:lastModifiedBy>
  <cp:revision>15</cp:revision>
  <dcterms:created xsi:type="dcterms:W3CDTF">2020-10-06T11:50:00Z</dcterms:created>
  <dcterms:modified xsi:type="dcterms:W3CDTF">2020-10-26T20:12:00Z</dcterms:modified>
</cp:coreProperties>
</file>