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B8A322" w14:textId="77777777" w:rsidR="00596369" w:rsidRPr="00175800" w:rsidRDefault="00596369" w:rsidP="00596369">
      <w:pPr>
        <w:spacing w:line="276" w:lineRule="auto"/>
        <w:jc w:val="both"/>
        <w:rPr>
          <w:color w:val="000000" w:themeColor="text1"/>
          <w:lang w:eastAsia="en-GB"/>
        </w:rPr>
      </w:pPr>
      <w:r w:rsidRPr="00175800">
        <w:rPr>
          <w:b/>
          <w:color w:val="000000" w:themeColor="text1"/>
          <w:lang w:eastAsia="en-GB"/>
        </w:rPr>
        <w:t xml:space="preserve">Appendix 1: </w:t>
      </w:r>
      <w:r w:rsidRPr="00175800">
        <w:rPr>
          <w:color w:val="000000" w:themeColor="text1"/>
          <w:u w:val="single"/>
          <w:lang w:eastAsia="en-GB"/>
        </w:rPr>
        <w:t>28 EP resolutions voted between 2011 and 2019 related to fundamental value violations by Member States and EU intervention</w:t>
      </w:r>
    </w:p>
    <w:p w14:paraId="1657060D" w14:textId="77777777" w:rsidR="00596369" w:rsidRPr="004C3ED8" w:rsidRDefault="00596369" w:rsidP="00596369">
      <w:pPr>
        <w:spacing w:line="360" w:lineRule="auto"/>
        <w:jc w:val="both"/>
        <w:rPr>
          <w:color w:val="000000" w:themeColor="text1"/>
          <w:sz w:val="22"/>
          <w:szCs w:val="22"/>
          <w:lang w:eastAsia="en-GB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52"/>
        <w:gridCol w:w="7390"/>
      </w:tblGrid>
      <w:tr w:rsidR="00596369" w:rsidRPr="00413726" w14:paraId="12A36276" w14:textId="77777777" w:rsidTr="009A00F2">
        <w:trPr>
          <w:trHeight w:val="300"/>
        </w:trPr>
        <w:tc>
          <w:tcPr>
            <w:tcW w:w="1252" w:type="dxa"/>
            <w:noWrap/>
            <w:hideMark/>
          </w:tcPr>
          <w:p w14:paraId="238FEB21" w14:textId="77777777" w:rsidR="00596369" w:rsidRPr="004C3ED8" w:rsidRDefault="00596369" w:rsidP="009A00F2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b/>
                <w:bCs/>
                <w:color w:val="000000" w:themeColor="text1"/>
                <w:sz w:val="18"/>
                <w:szCs w:val="18"/>
                <w:lang w:eastAsia="en-GB"/>
              </w:rPr>
              <w:t>Date</w:t>
            </w:r>
          </w:p>
        </w:tc>
        <w:tc>
          <w:tcPr>
            <w:tcW w:w="7390" w:type="dxa"/>
            <w:noWrap/>
            <w:hideMark/>
          </w:tcPr>
          <w:p w14:paraId="633C12A0" w14:textId="77777777" w:rsidR="00596369" w:rsidRPr="004C3ED8" w:rsidRDefault="00596369" w:rsidP="009A00F2">
            <w:pPr>
              <w:jc w:val="both"/>
              <w:rPr>
                <w:b/>
                <w:bCs/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b/>
                <w:bCs/>
                <w:color w:val="000000" w:themeColor="text1"/>
                <w:sz w:val="18"/>
                <w:szCs w:val="18"/>
                <w:lang w:eastAsia="en-GB"/>
              </w:rPr>
              <w:t>Vote</w:t>
            </w:r>
          </w:p>
        </w:tc>
      </w:tr>
      <w:tr w:rsidR="00596369" w:rsidRPr="00413726" w14:paraId="213ED598" w14:textId="77777777" w:rsidTr="009A00F2">
        <w:trPr>
          <w:trHeight w:val="488"/>
        </w:trPr>
        <w:tc>
          <w:tcPr>
            <w:tcW w:w="1252" w:type="dxa"/>
            <w:noWrap/>
            <w:hideMark/>
          </w:tcPr>
          <w:p w14:paraId="210516A5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28/03/2019</w:t>
            </w:r>
          </w:p>
        </w:tc>
        <w:tc>
          <w:tcPr>
            <w:tcW w:w="7390" w:type="dxa"/>
            <w:hideMark/>
          </w:tcPr>
          <w:p w14:paraId="5B42803F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2018/2965(RSP)  Resolution on the situation of the rule of law and the fight against corruption in the EU, specifically in Malta and Slovakia</w:t>
            </w:r>
          </w:p>
        </w:tc>
      </w:tr>
      <w:tr w:rsidR="00596369" w:rsidRPr="00413726" w14:paraId="384FEEA3" w14:textId="77777777" w:rsidTr="009A00F2">
        <w:trPr>
          <w:trHeight w:val="397"/>
        </w:trPr>
        <w:tc>
          <w:tcPr>
            <w:tcW w:w="1252" w:type="dxa"/>
            <w:noWrap/>
            <w:hideMark/>
          </w:tcPr>
          <w:p w14:paraId="0294E07E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13/02/2019</w:t>
            </w:r>
          </w:p>
        </w:tc>
        <w:tc>
          <w:tcPr>
            <w:tcW w:w="7390" w:type="dxa"/>
            <w:hideMark/>
          </w:tcPr>
          <w:p w14:paraId="24750510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2018/2684(RSP)  Resolution on experiencing a backlash in women's rights and gender equality in the EU </w:t>
            </w:r>
          </w:p>
        </w:tc>
      </w:tr>
      <w:tr w:rsidR="00596369" w:rsidRPr="00413726" w14:paraId="6F7FC763" w14:textId="77777777" w:rsidTr="009A00F2">
        <w:trPr>
          <w:trHeight w:val="448"/>
        </w:trPr>
        <w:tc>
          <w:tcPr>
            <w:tcW w:w="1252" w:type="dxa"/>
            <w:noWrap/>
            <w:hideMark/>
          </w:tcPr>
          <w:p w14:paraId="6D82BA0E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12/02/2019</w:t>
            </w:r>
          </w:p>
        </w:tc>
        <w:tc>
          <w:tcPr>
            <w:tcW w:w="7390" w:type="dxa"/>
            <w:hideMark/>
          </w:tcPr>
          <w:p w14:paraId="4B2898EE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2017/2089(INI)  Implementation of the Charter of Fundamental Rights of the European Union in the EU institutional framework</w:t>
            </w:r>
          </w:p>
        </w:tc>
      </w:tr>
      <w:tr w:rsidR="00596369" w:rsidRPr="00413726" w14:paraId="06632EDC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14111482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16/01/2019</w:t>
            </w:r>
          </w:p>
        </w:tc>
        <w:tc>
          <w:tcPr>
            <w:tcW w:w="7390" w:type="dxa"/>
            <w:hideMark/>
          </w:tcPr>
          <w:p w14:paraId="6E4C764C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2018/2103(INI)  Situation of fundamental rights in the European Union in 2017 </w:t>
            </w:r>
          </w:p>
        </w:tc>
      </w:tr>
      <w:tr w:rsidR="00596369" w:rsidRPr="00413726" w14:paraId="1A199526" w14:textId="77777777" w:rsidTr="009A00F2">
        <w:trPr>
          <w:trHeight w:val="320"/>
        </w:trPr>
        <w:tc>
          <w:tcPr>
            <w:tcW w:w="1252" w:type="dxa"/>
            <w:noWrap/>
          </w:tcPr>
          <w:p w14:paraId="26095B1B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C3ED8">
              <w:rPr>
                <w:color w:val="000000" w:themeColor="text1"/>
                <w:sz w:val="18"/>
                <w:szCs w:val="18"/>
              </w:rPr>
              <w:t>14/11/2018</w:t>
            </w:r>
          </w:p>
        </w:tc>
        <w:tc>
          <w:tcPr>
            <w:tcW w:w="7390" w:type="dxa"/>
          </w:tcPr>
          <w:p w14:paraId="4FF8E297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4C3ED8">
              <w:rPr>
                <w:color w:val="000000" w:themeColor="text1"/>
                <w:sz w:val="18"/>
                <w:szCs w:val="18"/>
              </w:rPr>
              <w:t>2018/2886(RSP)  Resolution on the need for a comprehensive EU mechanism for the protection of democracy, the rule of law and fundamental rights</w:t>
            </w:r>
            <w:r>
              <w:rPr>
                <w:color w:val="000000" w:themeColor="text1"/>
                <w:sz w:val="18"/>
                <w:szCs w:val="18"/>
              </w:rPr>
              <w:t>**</w:t>
            </w:r>
          </w:p>
        </w:tc>
      </w:tr>
      <w:tr w:rsidR="00596369" w:rsidRPr="00413726" w14:paraId="4F58144B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627B818F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13/11/2018</w:t>
            </w:r>
          </w:p>
        </w:tc>
        <w:tc>
          <w:tcPr>
            <w:tcW w:w="7390" w:type="dxa"/>
            <w:hideMark/>
          </w:tcPr>
          <w:p w14:paraId="372631FA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2018/2844(RSP)  Resolution on the rule of law in Romania </w:t>
            </w:r>
          </w:p>
        </w:tc>
      </w:tr>
      <w:tr w:rsidR="00596369" w:rsidRPr="00413726" w14:paraId="7C19AE8E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010F5E3C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13/11/2018</w:t>
            </w:r>
          </w:p>
        </w:tc>
        <w:tc>
          <w:tcPr>
            <w:tcW w:w="7390" w:type="dxa"/>
            <w:hideMark/>
          </w:tcPr>
          <w:p w14:paraId="459EE73B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2018/2036(INI) Minimum standards for minorities in the EU </w:t>
            </w:r>
          </w:p>
        </w:tc>
      </w:tr>
      <w:tr w:rsidR="00596369" w:rsidRPr="00413726" w14:paraId="674A9395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004A6704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12/09/2018</w:t>
            </w:r>
          </w:p>
        </w:tc>
        <w:tc>
          <w:tcPr>
            <w:tcW w:w="7390" w:type="dxa"/>
            <w:hideMark/>
          </w:tcPr>
          <w:p w14:paraId="415EA772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2017/2131(INL) Situation in Hungary</w:t>
            </w:r>
          </w:p>
        </w:tc>
      </w:tr>
      <w:tr w:rsidR="00596369" w:rsidRPr="00413726" w14:paraId="61FF8FD4" w14:textId="77777777" w:rsidTr="009A00F2">
        <w:trPr>
          <w:trHeight w:val="624"/>
        </w:trPr>
        <w:tc>
          <w:tcPr>
            <w:tcW w:w="1252" w:type="dxa"/>
            <w:noWrap/>
            <w:hideMark/>
          </w:tcPr>
          <w:p w14:paraId="330CBB2F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19/04/2018</w:t>
            </w:r>
          </w:p>
        </w:tc>
        <w:tc>
          <w:tcPr>
            <w:tcW w:w="7390" w:type="dxa"/>
            <w:hideMark/>
          </w:tcPr>
          <w:p w14:paraId="0A75BDD0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2018/2619(RSP)Resolution on the need to establish a European values instrument to support civil society organisations which promote fundamental values within the European Union at local and national level</w:t>
            </w:r>
          </w:p>
        </w:tc>
      </w:tr>
      <w:tr w:rsidR="00596369" w:rsidRPr="00413726" w14:paraId="51B148E2" w14:textId="77777777" w:rsidTr="009A00F2">
        <w:trPr>
          <w:trHeight w:val="406"/>
        </w:trPr>
        <w:tc>
          <w:tcPr>
            <w:tcW w:w="1252" w:type="dxa"/>
            <w:noWrap/>
            <w:hideMark/>
          </w:tcPr>
          <w:p w14:paraId="243DABDB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19/04/2018</w:t>
            </w:r>
          </w:p>
        </w:tc>
        <w:tc>
          <w:tcPr>
            <w:tcW w:w="7390" w:type="dxa"/>
            <w:hideMark/>
          </w:tcPr>
          <w:p w14:paraId="6CF6C35A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 xml:space="preserve">2018/2628(RSP)  Resolution on protection of investigative journalists in Europe: the case of Slovak journalist </w:t>
            </w:r>
            <w:proofErr w:type="spellStart"/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Ján</w:t>
            </w:r>
            <w:proofErr w:type="spellEnd"/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Kuciak</w:t>
            </w:r>
            <w:proofErr w:type="spellEnd"/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 xml:space="preserve"> and Martina </w:t>
            </w:r>
            <w:proofErr w:type="spellStart"/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Kušnírová</w:t>
            </w:r>
            <w:proofErr w:type="spellEnd"/>
          </w:p>
        </w:tc>
      </w:tr>
      <w:tr w:rsidR="00596369" w:rsidRPr="00413726" w14:paraId="01EF814A" w14:textId="77777777" w:rsidTr="009A00F2">
        <w:trPr>
          <w:trHeight w:val="473"/>
        </w:trPr>
        <w:tc>
          <w:tcPr>
            <w:tcW w:w="1252" w:type="dxa"/>
            <w:noWrap/>
            <w:hideMark/>
          </w:tcPr>
          <w:p w14:paraId="1945E33D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01/03/2018</w:t>
            </w:r>
          </w:p>
        </w:tc>
        <w:tc>
          <w:tcPr>
            <w:tcW w:w="7390" w:type="dxa"/>
            <w:hideMark/>
          </w:tcPr>
          <w:p w14:paraId="292B6C89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2018/2541(RSP)  Resolution on the Commission’s decision to activate Article 7(1) TEU as regards the situation in Poland </w:t>
            </w:r>
          </w:p>
        </w:tc>
      </w:tr>
      <w:tr w:rsidR="00596369" w:rsidRPr="00413726" w14:paraId="6BE2DA00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5C3FAC3A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01/03/2018</w:t>
            </w:r>
          </w:p>
        </w:tc>
        <w:tc>
          <w:tcPr>
            <w:tcW w:w="7390" w:type="dxa"/>
            <w:hideMark/>
          </w:tcPr>
          <w:p w14:paraId="11BF1DB1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2017/2125(INI) Annual report on the situation of fundamental rights in the EU in 2016</w:t>
            </w:r>
          </w:p>
        </w:tc>
      </w:tr>
      <w:tr w:rsidR="00596369" w:rsidRPr="00413726" w14:paraId="7634A06B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78D235DF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15/11/2017</w:t>
            </w:r>
          </w:p>
        </w:tc>
        <w:tc>
          <w:tcPr>
            <w:tcW w:w="7390" w:type="dxa"/>
            <w:hideMark/>
          </w:tcPr>
          <w:p w14:paraId="3369A03A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2017/2931(RSP)  Resolution on the situation of the rule of law and democracy in Poland</w:t>
            </w:r>
          </w:p>
        </w:tc>
      </w:tr>
      <w:tr w:rsidR="00596369" w:rsidRPr="00413726" w14:paraId="470F7D81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5BFB106C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15/11/2017</w:t>
            </w:r>
          </w:p>
        </w:tc>
        <w:tc>
          <w:tcPr>
            <w:tcW w:w="7390" w:type="dxa"/>
            <w:hideMark/>
          </w:tcPr>
          <w:p w14:paraId="49B1DA46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2017/2935(RSP)  Resolution on the rule of law in Malta </w:t>
            </w:r>
          </w:p>
        </w:tc>
      </w:tr>
      <w:tr w:rsidR="00596369" w:rsidRPr="00413726" w14:paraId="36CAA21D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384EA20B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17/05/2017</w:t>
            </w:r>
          </w:p>
        </w:tc>
        <w:tc>
          <w:tcPr>
            <w:tcW w:w="7390" w:type="dxa"/>
            <w:hideMark/>
          </w:tcPr>
          <w:p w14:paraId="3BAB5437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2017/2656(RSP) Resolution on the situation in Hungary </w:t>
            </w:r>
          </w:p>
        </w:tc>
      </w:tr>
      <w:tr w:rsidR="00596369" w:rsidRPr="00413726" w14:paraId="0CFEA7BD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16BA0E1A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13/12/2016</w:t>
            </w:r>
          </w:p>
        </w:tc>
        <w:tc>
          <w:tcPr>
            <w:tcW w:w="7390" w:type="dxa"/>
            <w:hideMark/>
          </w:tcPr>
          <w:p w14:paraId="7ABBAD92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9104F2">
              <w:rPr>
                <w:bCs/>
                <w:sz w:val="18"/>
                <w:szCs w:val="18"/>
                <w:shd w:val="clear" w:color="auto" w:fill="FFFFFF"/>
              </w:rPr>
              <w:t>2016/2009(INI)</w:t>
            </w:r>
            <w:r w:rsidRPr="009104F2">
              <w:rPr>
                <w:sz w:val="18"/>
                <w:szCs w:val="18"/>
              </w:rPr>
              <w:t xml:space="preserve"> </w:t>
            </w: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 xml:space="preserve">Report on the situation of fundamental rights in the European Union in 2015  </w:t>
            </w:r>
          </w:p>
        </w:tc>
      </w:tr>
      <w:tr w:rsidR="00596369" w:rsidRPr="00413726" w14:paraId="531FECBA" w14:textId="77777777" w:rsidTr="009A00F2">
        <w:trPr>
          <w:trHeight w:val="435"/>
        </w:trPr>
        <w:tc>
          <w:tcPr>
            <w:tcW w:w="1252" w:type="dxa"/>
            <w:noWrap/>
            <w:hideMark/>
          </w:tcPr>
          <w:p w14:paraId="2075AE24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25/10/2016</w:t>
            </w:r>
          </w:p>
        </w:tc>
        <w:tc>
          <w:tcPr>
            <w:tcW w:w="7390" w:type="dxa"/>
            <w:hideMark/>
          </w:tcPr>
          <w:p w14:paraId="5DA6628F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2015/2254(INL)  Establishment of an EU mechanism on democracy, the rule of law and fundamental rights</w:t>
            </w:r>
          </w:p>
        </w:tc>
      </w:tr>
      <w:tr w:rsidR="00596369" w:rsidRPr="00413726" w14:paraId="51363226" w14:textId="77777777" w:rsidTr="009A00F2">
        <w:trPr>
          <w:trHeight w:val="385"/>
        </w:trPr>
        <w:tc>
          <w:tcPr>
            <w:tcW w:w="1252" w:type="dxa"/>
            <w:noWrap/>
            <w:hideMark/>
          </w:tcPr>
          <w:p w14:paraId="0AC9812D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14/09/2016</w:t>
            </w:r>
          </w:p>
        </w:tc>
        <w:tc>
          <w:tcPr>
            <w:tcW w:w="7390" w:type="dxa"/>
            <w:hideMark/>
          </w:tcPr>
          <w:p w14:paraId="6F6D5A82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2016/2774(RSP)  Resolution on the recent developments in Poland and their impact on fundamental rights as laid down in the Charter of Fundamental Rights of the European Union</w:t>
            </w:r>
          </w:p>
        </w:tc>
      </w:tr>
      <w:tr w:rsidR="00596369" w:rsidRPr="00413726" w14:paraId="05B89F4F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272EBEA3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13/04/2016</w:t>
            </w:r>
          </w:p>
        </w:tc>
        <w:tc>
          <w:tcPr>
            <w:tcW w:w="7390" w:type="dxa"/>
            <w:hideMark/>
          </w:tcPr>
          <w:p w14:paraId="47543D18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2015/3031(RSP)  Resolution on the situation in Poland</w:t>
            </w:r>
          </w:p>
        </w:tc>
      </w:tr>
      <w:tr w:rsidR="00596369" w:rsidRPr="00413726" w14:paraId="3C14A788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16C44828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08/09/2015</w:t>
            </w:r>
          </w:p>
        </w:tc>
        <w:tc>
          <w:tcPr>
            <w:tcW w:w="7390" w:type="dxa"/>
            <w:hideMark/>
          </w:tcPr>
          <w:p w14:paraId="0310F1B0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2014/2254(INI)  Situation of fundamental rights in the European Union (2013-2014) </w:t>
            </w:r>
          </w:p>
        </w:tc>
      </w:tr>
      <w:tr w:rsidR="00596369" w:rsidRPr="00413726" w14:paraId="0C09694F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7F6BE7E4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16/12/2015</w:t>
            </w:r>
          </w:p>
        </w:tc>
        <w:tc>
          <w:tcPr>
            <w:tcW w:w="7390" w:type="dxa"/>
            <w:hideMark/>
          </w:tcPr>
          <w:p w14:paraId="69AC24B7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2015/2935(RSP)  Resolution on the situation in Hungary </w:t>
            </w:r>
          </w:p>
        </w:tc>
      </w:tr>
      <w:tr w:rsidR="00596369" w:rsidRPr="00413726" w14:paraId="3E20B7C1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6019B398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10/06/2015</w:t>
            </w:r>
          </w:p>
        </w:tc>
        <w:tc>
          <w:tcPr>
            <w:tcW w:w="7390" w:type="dxa"/>
            <w:hideMark/>
          </w:tcPr>
          <w:p w14:paraId="550BBB63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2015/2700(RSP) Resolution on the situation of Hungary</w:t>
            </w:r>
            <w:r>
              <w:rPr>
                <w:color w:val="000000" w:themeColor="text1"/>
                <w:sz w:val="18"/>
                <w:szCs w:val="18"/>
                <w:lang w:eastAsia="en-GB"/>
              </w:rPr>
              <w:t>**</w:t>
            </w:r>
          </w:p>
        </w:tc>
      </w:tr>
      <w:tr w:rsidR="00596369" w:rsidRPr="00413726" w14:paraId="5EEF9925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08364B72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27/02/2014</w:t>
            </w:r>
          </w:p>
        </w:tc>
        <w:tc>
          <w:tcPr>
            <w:tcW w:w="7390" w:type="dxa"/>
            <w:hideMark/>
          </w:tcPr>
          <w:p w14:paraId="25F91035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2013/2078(INI)  Situation of fundamental rights in the European Union (2012) </w:t>
            </w:r>
          </w:p>
        </w:tc>
      </w:tr>
      <w:tr w:rsidR="00596369" w:rsidRPr="00413726" w14:paraId="010DDDCD" w14:textId="77777777" w:rsidTr="009A00F2">
        <w:trPr>
          <w:trHeight w:val="463"/>
        </w:trPr>
        <w:tc>
          <w:tcPr>
            <w:tcW w:w="1252" w:type="dxa"/>
            <w:noWrap/>
            <w:hideMark/>
          </w:tcPr>
          <w:p w14:paraId="28D2FCC1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03/07/2013</w:t>
            </w:r>
          </w:p>
        </w:tc>
        <w:tc>
          <w:tcPr>
            <w:tcW w:w="7390" w:type="dxa"/>
            <w:hideMark/>
          </w:tcPr>
          <w:p w14:paraId="41374990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2012/2130(INI)  Situation of fundamental rights: standards and practices in Hungary (pursuant to the European Parliament resolution of 16 February 2012)**</w:t>
            </w:r>
          </w:p>
        </w:tc>
      </w:tr>
      <w:tr w:rsidR="00596369" w:rsidRPr="00413726" w14:paraId="52993513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0C02B5B4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21/05/2013</w:t>
            </w:r>
          </w:p>
        </w:tc>
        <w:tc>
          <w:tcPr>
            <w:tcW w:w="7390" w:type="dxa"/>
            <w:hideMark/>
          </w:tcPr>
          <w:p w14:paraId="5F015EA8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2011/2246(INI)  EU Charter: standard settings for media freedom across the EU </w:t>
            </w:r>
          </w:p>
        </w:tc>
      </w:tr>
      <w:tr w:rsidR="00596369" w:rsidRPr="00413726" w14:paraId="6E4DD71A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5A95FA8F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12/12/2012</w:t>
            </w:r>
          </w:p>
        </w:tc>
        <w:tc>
          <w:tcPr>
            <w:tcW w:w="7390" w:type="dxa"/>
            <w:hideMark/>
          </w:tcPr>
          <w:p w14:paraId="46BA25ED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2011/2069(INI)  Situation of fundamental rights in the European Union (2010-2011) </w:t>
            </w:r>
          </w:p>
        </w:tc>
      </w:tr>
      <w:tr w:rsidR="00596369" w:rsidRPr="00413726" w14:paraId="7EAECC42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3B41F0C3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16/02/2012</w:t>
            </w:r>
          </w:p>
        </w:tc>
        <w:tc>
          <w:tcPr>
            <w:tcW w:w="7390" w:type="dxa"/>
            <w:hideMark/>
          </w:tcPr>
          <w:p w14:paraId="6BBE4D77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2012/2511(RSP) Resolution on the recent political developments in Hungary</w:t>
            </w:r>
          </w:p>
        </w:tc>
      </w:tr>
      <w:tr w:rsidR="00596369" w:rsidRPr="00413726" w14:paraId="3745998A" w14:textId="77777777" w:rsidTr="009A00F2">
        <w:trPr>
          <w:trHeight w:val="320"/>
        </w:trPr>
        <w:tc>
          <w:tcPr>
            <w:tcW w:w="1252" w:type="dxa"/>
            <w:noWrap/>
            <w:hideMark/>
          </w:tcPr>
          <w:p w14:paraId="12DEEDE6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10/03/2011</w:t>
            </w:r>
          </w:p>
        </w:tc>
        <w:tc>
          <w:tcPr>
            <w:tcW w:w="7390" w:type="dxa"/>
            <w:hideMark/>
          </w:tcPr>
          <w:p w14:paraId="0D595604" w14:textId="77777777" w:rsidR="00596369" w:rsidRPr="004C3ED8" w:rsidRDefault="00596369" w:rsidP="009A00F2">
            <w:pPr>
              <w:jc w:val="both"/>
              <w:rPr>
                <w:color w:val="000000" w:themeColor="text1"/>
                <w:sz w:val="18"/>
                <w:szCs w:val="18"/>
                <w:lang w:eastAsia="en-GB"/>
              </w:rPr>
            </w:pPr>
            <w:r w:rsidRPr="004C3ED8">
              <w:rPr>
                <w:color w:val="000000" w:themeColor="text1"/>
                <w:sz w:val="18"/>
                <w:szCs w:val="18"/>
                <w:lang w:eastAsia="en-GB"/>
              </w:rPr>
              <w:t>2011/2510(RSP)  Resolution on media law in Hungary **</w:t>
            </w:r>
          </w:p>
        </w:tc>
      </w:tr>
    </w:tbl>
    <w:p w14:paraId="1B21280A" w14:textId="77777777" w:rsidR="00900F1C" w:rsidRPr="00CE15F8" w:rsidRDefault="00900F1C" w:rsidP="00596369">
      <w:pPr>
        <w:spacing w:line="360" w:lineRule="auto"/>
        <w:jc w:val="both"/>
        <w:rPr>
          <w:color w:val="000000" w:themeColor="text1"/>
          <w:lang w:eastAsia="en-GB"/>
        </w:rPr>
      </w:pPr>
      <w:bookmarkStart w:id="0" w:name="_GoBack"/>
    </w:p>
    <w:p w14:paraId="042024EB" w14:textId="255DD0D4" w:rsidR="00596369" w:rsidRPr="00CE15F8" w:rsidRDefault="00C8721F" w:rsidP="00596369">
      <w:pPr>
        <w:spacing w:line="360" w:lineRule="auto"/>
        <w:jc w:val="both"/>
        <w:rPr>
          <w:color w:val="000000" w:themeColor="text1"/>
          <w:lang w:eastAsia="en-GB"/>
        </w:rPr>
      </w:pPr>
      <w:r w:rsidRPr="00CE15F8">
        <w:rPr>
          <w:color w:val="000000" w:themeColor="text1"/>
          <w:lang w:eastAsia="en-GB"/>
        </w:rPr>
        <w:t>Table SI 1: List of all resolutions.</w:t>
      </w:r>
    </w:p>
    <w:bookmarkEnd w:id="0"/>
    <w:p w14:paraId="6035006B" w14:textId="77777777" w:rsidR="00596369" w:rsidRDefault="00596369" w:rsidP="00596369">
      <w:pPr>
        <w:spacing w:line="360" w:lineRule="auto"/>
        <w:jc w:val="both"/>
        <w:rPr>
          <w:color w:val="000000" w:themeColor="text1"/>
          <w:sz w:val="20"/>
          <w:szCs w:val="20"/>
          <w:lang w:eastAsia="en-GB"/>
        </w:rPr>
      </w:pPr>
      <w:r w:rsidRPr="00AD0F95">
        <w:rPr>
          <w:color w:val="000000" w:themeColor="text1"/>
          <w:sz w:val="20"/>
          <w:szCs w:val="20"/>
          <w:lang w:eastAsia="en-GB"/>
        </w:rPr>
        <w:t xml:space="preserve">** </w:t>
      </w:r>
      <w:r>
        <w:rPr>
          <w:color w:val="000000" w:themeColor="text1"/>
          <w:sz w:val="20"/>
          <w:szCs w:val="20"/>
          <w:lang w:eastAsia="en-GB"/>
        </w:rPr>
        <w:t xml:space="preserve">Resolutions excluded from the analysis because no roll calls were unavailable. </w:t>
      </w:r>
    </w:p>
    <w:p w14:paraId="3D5A78D3" w14:textId="77777777" w:rsidR="00C8721F" w:rsidRDefault="00C8721F" w:rsidP="00596369">
      <w:pPr>
        <w:spacing w:line="360" w:lineRule="auto"/>
        <w:jc w:val="both"/>
        <w:rPr>
          <w:color w:val="000000" w:themeColor="text1"/>
          <w:sz w:val="20"/>
          <w:szCs w:val="20"/>
          <w:lang w:eastAsia="en-GB"/>
        </w:rPr>
      </w:pPr>
    </w:p>
    <w:p w14:paraId="52DA1151" w14:textId="17044F84" w:rsidR="00C8721F" w:rsidRDefault="00C8721F" w:rsidP="00596369">
      <w:pPr>
        <w:spacing w:line="360" w:lineRule="auto"/>
        <w:jc w:val="both"/>
        <w:rPr>
          <w:color w:val="000000" w:themeColor="text1"/>
          <w:sz w:val="20"/>
          <w:szCs w:val="20"/>
          <w:lang w:eastAsia="en-GB"/>
        </w:rPr>
      </w:pPr>
      <w:r>
        <w:rPr>
          <w:noProof/>
          <w:color w:val="000000" w:themeColor="text1"/>
          <w:sz w:val="22"/>
          <w:szCs w:val="22"/>
          <w:lang w:val="en-US"/>
        </w:rPr>
        <w:lastRenderedPageBreak/>
        <w:drawing>
          <wp:inline distT="0" distB="0" distL="0" distR="0" wp14:anchorId="1B6B3746" wp14:editId="7B34345E">
            <wp:extent cx="5262880" cy="364957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ohesion_Resolution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360" cy="3660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7B81C0" w14:textId="77777777" w:rsidR="00CE15F8" w:rsidRPr="00CE15F8" w:rsidRDefault="00C8721F" w:rsidP="00596369">
      <w:pPr>
        <w:spacing w:line="360" w:lineRule="auto"/>
        <w:jc w:val="both"/>
        <w:rPr>
          <w:color w:val="000000" w:themeColor="text1"/>
          <w:lang w:eastAsia="en-GB"/>
        </w:rPr>
      </w:pPr>
      <w:r w:rsidRPr="00CE15F8">
        <w:rPr>
          <w:color w:val="000000" w:themeColor="text1"/>
          <w:lang w:eastAsia="en-GB"/>
        </w:rPr>
        <w:t>Figure SI 1: Coh</w:t>
      </w:r>
      <w:r w:rsidR="00717D7F" w:rsidRPr="00CE15F8">
        <w:rPr>
          <w:color w:val="000000" w:themeColor="text1"/>
          <w:lang w:eastAsia="en-GB"/>
        </w:rPr>
        <w:t xml:space="preserve">esion scores of all resolutions. </w:t>
      </w:r>
    </w:p>
    <w:p w14:paraId="12D72207" w14:textId="410BD1C6" w:rsidR="00C8721F" w:rsidRPr="00CE15F8" w:rsidRDefault="00717D7F" w:rsidP="00596369">
      <w:pPr>
        <w:spacing w:line="360" w:lineRule="auto"/>
        <w:jc w:val="both"/>
        <w:rPr>
          <w:b/>
          <w:i/>
          <w:color w:val="000000" w:themeColor="text1"/>
          <w:lang w:eastAsia="en-GB"/>
        </w:rPr>
      </w:pPr>
      <w:r w:rsidRPr="00CE15F8">
        <w:rPr>
          <w:i/>
          <w:color w:val="000000" w:themeColor="text1"/>
          <w:lang w:eastAsia="en-GB"/>
        </w:rPr>
        <w:t xml:space="preserve">Also indicates the </w:t>
      </w:r>
      <w:r w:rsidRPr="00CE15F8">
        <w:rPr>
          <w:rStyle w:val="Strong"/>
          <w:b w:val="0"/>
          <w:i/>
          <w:color w:val="000000" w:themeColor="text1"/>
          <w:lang w:eastAsia="en-GB"/>
        </w:rPr>
        <w:t>average cohesion score of the EPP across the 7</w:t>
      </w:r>
      <w:r w:rsidRPr="00CE15F8">
        <w:rPr>
          <w:rStyle w:val="Strong"/>
          <w:b w:val="0"/>
          <w:i/>
          <w:color w:val="000000" w:themeColor="text1"/>
          <w:vertAlign w:val="superscript"/>
          <w:lang w:eastAsia="en-GB"/>
        </w:rPr>
        <w:t>th</w:t>
      </w:r>
      <w:r w:rsidRPr="00CE15F8">
        <w:rPr>
          <w:rStyle w:val="Strong"/>
          <w:b w:val="0"/>
          <w:i/>
          <w:color w:val="000000" w:themeColor="text1"/>
          <w:lang w:eastAsia="en-GB"/>
        </w:rPr>
        <w:t xml:space="preserve"> and 8</w:t>
      </w:r>
      <w:r w:rsidRPr="00CE15F8">
        <w:rPr>
          <w:rStyle w:val="Strong"/>
          <w:b w:val="0"/>
          <w:i/>
          <w:color w:val="000000" w:themeColor="text1"/>
          <w:vertAlign w:val="superscript"/>
          <w:lang w:eastAsia="en-GB"/>
        </w:rPr>
        <w:t>th</w:t>
      </w:r>
      <w:r w:rsidRPr="00CE15F8">
        <w:rPr>
          <w:rStyle w:val="Strong"/>
          <w:b w:val="0"/>
          <w:i/>
          <w:color w:val="000000" w:themeColor="text1"/>
          <w:lang w:eastAsia="en-GB"/>
        </w:rPr>
        <w:t xml:space="preserve"> term of the EP (full black line); the average cohesion score for votes in the policy field of Justice and Civil Liberties for the same period (dashed black line). </w:t>
      </w:r>
    </w:p>
    <w:p w14:paraId="62411299" w14:textId="77777777" w:rsidR="00C8721F" w:rsidRDefault="00C8721F" w:rsidP="00596369">
      <w:pPr>
        <w:spacing w:line="360" w:lineRule="auto"/>
        <w:jc w:val="both"/>
        <w:rPr>
          <w:color w:val="000000" w:themeColor="text1"/>
          <w:sz w:val="20"/>
          <w:szCs w:val="20"/>
          <w:lang w:eastAsia="en-GB"/>
        </w:rPr>
      </w:pPr>
    </w:p>
    <w:p w14:paraId="7573704A" w14:textId="77777777" w:rsidR="00C8721F" w:rsidRPr="00AD0F95" w:rsidRDefault="00C8721F" w:rsidP="00596369">
      <w:pPr>
        <w:spacing w:line="360" w:lineRule="auto"/>
        <w:jc w:val="both"/>
        <w:rPr>
          <w:color w:val="000000" w:themeColor="text1"/>
          <w:sz w:val="20"/>
          <w:szCs w:val="20"/>
          <w:lang w:eastAsia="en-GB"/>
        </w:rPr>
      </w:pPr>
    </w:p>
    <w:p w14:paraId="6C5DF9C9" w14:textId="77777777" w:rsidR="00596369" w:rsidRDefault="00596369" w:rsidP="00596369">
      <w:pPr>
        <w:spacing w:line="360" w:lineRule="auto"/>
        <w:rPr>
          <w:color w:val="000000" w:themeColor="text1"/>
          <w:sz w:val="22"/>
          <w:szCs w:val="22"/>
        </w:rPr>
      </w:pPr>
    </w:p>
    <w:p w14:paraId="6C4489F4" w14:textId="77777777" w:rsidR="00596369" w:rsidRDefault="00596369" w:rsidP="00596369">
      <w:pPr>
        <w:spacing w:line="360" w:lineRule="auto"/>
        <w:rPr>
          <w:color w:val="000000" w:themeColor="text1"/>
          <w:sz w:val="22"/>
          <w:szCs w:val="22"/>
        </w:rPr>
      </w:pPr>
    </w:p>
    <w:p w14:paraId="1C6D5240" w14:textId="77777777" w:rsidR="00596369" w:rsidRDefault="00596369" w:rsidP="00596369">
      <w:pPr>
        <w:spacing w:line="360" w:lineRule="auto"/>
        <w:rPr>
          <w:color w:val="000000" w:themeColor="text1"/>
          <w:sz w:val="22"/>
          <w:szCs w:val="22"/>
        </w:rPr>
      </w:pPr>
    </w:p>
    <w:sectPr w:rsidR="00596369" w:rsidSect="00917175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6369"/>
    <w:rsid w:val="00010EDC"/>
    <w:rsid w:val="000460CC"/>
    <w:rsid w:val="0009488E"/>
    <w:rsid w:val="000A46AF"/>
    <w:rsid w:val="000B4271"/>
    <w:rsid w:val="000E6CD7"/>
    <w:rsid w:val="000F0844"/>
    <w:rsid w:val="000F5329"/>
    <w:rsid w:val="001055F6"/>
    <w:rsid w:val="00153A37"/>
    <w:rsid w:val="001A68B1"/>
    <w:rsid w:val="0023390A"/>
    <w:rsid w:val="0024629F"/>
    <w:rsid w:val="0025262D"/>
    <w:rsid w:val="002813CD"/>
    <w:rsid w:val="002B1A3B"/>
    <w:rsid w:val="00340712"/>
    <w:rsid w:val="00341903"/>
    <w:rsid w:val="003763B3"/>
    <w:rsid w:val="003A11F8"/>
    <w:rsid w:val="00491D35"/>
    <w:rsid w:val="004A1392"/>
    <w:rsid w:val="004D4EFD"/>
    <w:rsid w:val="0050218F"/>
    <w:rsid w:val="00530753"/>
    <w:rsid w:val="0053443C"/>
    <w:rsid w:val="00556E24"/>
    <w:rsid w:val="00577D37"/>
    <w:rsid w:val="00596369"/>
    <w:rsid w:val="005A24C8"/>
    <w:rsid w:val="005D3526"/>
    <w:rsid w:val="006005C9"/>
    <w:rsid w:val="00602966"/>
    <w:rsid w:val="00646427"/>
    <w:rsid w:val="006546CC"/>
    <w:rsid w:val="006954CE"/>
    <w:rsid w:val="006A0252"/>
    <w:rsid w:val="006A1A53"/>
    <w:rsid w:val="006B0F56"/>
    <w:rsid w:val="006B19C9"/>
    <w:rsid w:val="006D55B8"/>
    <w:rsid w:val="00703B79"/>
    <w:rsid w:val="00715095"/>
    <w:rsid w:val="00717D7F"/>
    <w:rsid w:val="00720F29"/>
    <w:rsid w:val="0084698F"/>
    <w:rsid w:val="00851CBA"/>
    <w:rsid w:val="00866DF5"/>
    <w:rsid w:val="008829C6"/>
    <w:rsid w:val="008A18E1"/>
    <w:rsid w:val="008B0B7B"/>
    <w:rsid w:val="00900F1C"/>
    <w:rsid w:val="00910F47"/>
    <w:rsid w:val="00917175"/>
    <w:rsid w:val="00966722"/>
    <w:rsid w:val="009668BC"/>
    <w:rsid w:val="00997224"/>
    <w:rsid w:val="009E0659"/>
    <w:rsid w:val="00A2368E"/>
    <w:rsid w:val="00A370D7"/>
    <w:rsid w:val="00A419D0"/>
    <w:rsid w:val="00A5306D"/>
    <w:rsid w:val="00A94582"/>
    <w:rsid w:val="00AB5D58"/>
    <w:rsid w:val="00AD3F82"/>
    <w:rsid w:val="00AF09B8"/>
    <w:rsid w:val="00AF1D1D"/>
    <w:rsid w:val="00B11538"/>
    <w:rsid w:val="00B23E24"/>
    <w:rsid w:val="00B32ABB"/>
    <w:rsid w:val="00B6340F"/>
    <w:rsid w:val="00B87F8A"/>
    <w:rsid w:val="00BA7810"/>
    <w:rsid w:val="00BD5389"/>
    <w:rsid w:val="00BD7001"/>
    <w:rsid w:val="00BE181A"/>
    <w:rsid w:val="00BE3713"/>
    <w:rsid w:val="00BF54B0"/>
    <w:rsid w:val="00C303E0"/>
    <w:rsid w:val="00C52FAD"/>
    <w:rsid w:val="00C649B7"/>
    <w:rsid w:val="00C724E7"/>
    <w:rsid w:val="00C725CC"/>
    <w:rsid w:val="00C8721F"/>
    <w:rsid w:val="00CC2B90"/>
    <w:rsid w:val="00CD05CB"/>
    <w:rsid w:val="00CD40FE"/>
    <w:rsid w:val="00CE15F8"/>
    <w:rsid w:val="00CE462E"/>
    <w:rsid w:val="00CE6925"/>
    <w:rsid w:val="00D719D9"/>
    <w:rsid w:val="00D75D99"/>
    <w:rsid w:val="00D87A87"/>
    <w:rsid w:val="00DB063E"/>
    <w:rsid w:val="00DE5B96"/>
    <w:rsid w:val="00E24160"/>
    <w:rsid w:val="00E66CA1"/>
    <w:rsid w:val="00E706D3"/>
    <w:rsid w:val="00EA321E"/>
    <w:rsid w:val="00ED5D2A"/>
    <w:rsid w:val="00EF013F"/>
    <w:rsid w:val="00EF42AE"/>
    <w:rsid w:val="00F1756F"/>
    <w:rsid w:val="00F3007C"/>
    <w:rsid w:val="00F32231"/>
    <w:rsid w:val="00F45C21"/>
    <w:rsid w:val="00F52BA2"/>
    <w:rsid w:val="00F64DBE"/>
    <w:rsid w:val="00F75740"/>
    <w:rsid w:val="00F85565"/>
    <w:rsid w:val="00FB386A"/>
    <w:rsid w:val="00FB711A"/>
    <w:rsid w:val="00FC6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B44D478"/>
  <w15:docId w15:val="{AF9BC57F-F100-5A4F-9D7D-95D24698A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96369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96369"/>
    <w:rPr>
      <w:rFonts w:ascii="Times New Roman" w:hAnsi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8721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21F"/>
    <w:rPr>
      <w:rFonts w:ascii="Lucida Grande" w:eastAsia="Times New Roman" w:hAnsi="Lucida Grande" w:cs="Lucida Grande"/>
      <w:sz w:val="18"/>
      <w:szCs w:val="18"/>
    </w:rPr>
  </w:style>
  <w:style w:type="character" w:styleId="Strong">
    <w:name w:val="Strong"/>
    <w:basedOn w:val="DefaultParagraphFont"/>
    <w:uiPriority w:val="22"/>
    <w:qFormat/>
    <w:rsid w:val="00717D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529</Words>
  <Characters>3016</Characters>
  <Application>Microsoft Office Word</Application>
  <DocSecurity>0</DocSecurity>
  <Lines>25</Lines>
  <Paragraphs>7</Paragraphs>
  <ScaleCrop>false</ScaleCrop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Herman, Lise</dc:creator>
  <cp:keywords/>
  <dc:description/>
  <cp:lastModifiedBy>Herman, Lise</cp:lastModifiedBy>
  <cp:revision>7</cp:revision>
  <dcterms:created xsi:type="dcterms:W3CDTF">2020-01-13T12:03:00Z</dcterms:created>
  <dcterms:modified xsi:type="dcterms:W3CDTF">2020-10-26T20:10:00Z</dcterms:modified>
</cp:coreProperties>
</file>