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140D6" w14:textId="17824366" w:rsidR="00624C8F" w:rsidRPr="004C7B06" w:rsidRDefault="00BE4995" w:rsidP="004C7B06">
      <w:pPr>
        <w:jc w:val="center"/>
        <w:rPr>
          <w:rFonts w:ascii="Times New Roman" w:hAnsi="Times New Roman" w:cs="Times New Roman"/>
          <w:b/>
          <w:bCs/>
          <w:lang w:val="en-CA"/>
        </w:rPr>
      </w:pPr>
      <w:r w:rsidRPr="004C7B06">
        <w:rPr>
          <w:rFonts w:ascii="Times New Roman" w:hAnsi="Times New Roman" w:cs="Times New Roman"/>
          <w:b/>
          <w:bCs/>
          <w:lang w:val="en-CA"/>
        </w:rPr>
        <w:t>Appendix</w:t>
      </w:r>
    </w:p>
    <w:p w14:paraId="46762EFC" w14:textId="7740167F" w:rsidR="002E68D8" w:rsidRDefault="002E68D8">
      <w:pPr>
        <w:rPr>
          <w:rFonts w:ascii="Times New Roman" w:hAnsi="Times New Roman" w:cs="Times New Roman"/>
          <w:sz w:val="22"/>
          <w:szCs w:val="22"/>
          <w:lang w:val="en-CA"/>
        </w:rPr>
      </w:pPr>
    </w:p>
    <w:p w14:paraId="18E402D6" w14:textId="33E2BBA8" w:rsidR="00522E67" w:rsidRPr="004C7B06" w:rsidRDefault="00522E67">
      <w:pPr>
        <w:rPr>
          <w:rFonts w:ascii="Times New Roman" w:hAnsi="Times New Roman" w:cs="Times New Roman"/>
          <w:sz w:val="22"/>
          <w:szCs w:val="22"/>
          <w:lang w:val="en-CA"/>
        </w:rPr>
      </w:pPr>
    </w:p>
    <w:p w14:paraId="1C45E730" w14:textId="77AE48F7" w:rsidR="004C7B06" w:rsidRPr="008E7E04" w:rsidRDefault="004C7B06">
      <w:pPr>
        <w:rPr>
          <w:rFonts w:ascii="Times New Roman" w:hAnsi="Times New Roman" w:cs="Times New Roman"/>
          <w:b/>
          <w:bCs/>
          <w:sz w:val="22"/>
          <w:szCs w:val="22"/>
          <w:lang w:val="en-CA"/>
        </w:rPr>
      </w:pPr>
      <w:r w:rsidRPr="008E7E04">
        <w:rPr>
          <w:rFonts w:ascii="Times New Roman" w:hAnsi="Times New Roman" w:cs="Times New Roman"/>
          <w:b/>
          <w:bCs/>
          <w:sz w:val="22"/>
          <w:szCs w:val="22"/>
          <w:lang w:val="en-CA"/>
        </w:rPr>
        <w:t>Descriptive statistics</w:t>
      </w:r>
    </w:p>
    <w:p w14:paraId="09B2803B" w14:textId="77777777" w:rsidR="00807350" w:rsidRPr="004C7B06" w:rsidRDefault="00807350">
      <w:pPr>
        <w:rPr>
          <w:rFonts w:ascii="Times New Roman" w:hAnsi="Times New Roman" w:cs="Times New Roman"/>
          <w:sz w:val="22"/>
          <w:szCs w:val="22"/>
          <w:lang w:val="en-CA"/>
        </w:rPr>
      </w:pPr>
    </w:p>
    <w:p w14:paraId="4137C124" w14:textId="12F95BD8" w:rsidR="00F6076E" w:rsidRPr="004C7B06" w:rsidRDefault="00F6076E">
      <w:pPr>
        <w:rPr>
          <w:rFonts w:ascii="Times New Roman" w:hAnsi="Times New Roman" w:cs="Times New Roman"/>
          <w:sz w:val="22"/>
          <w:szCs w:val="22"/>
          <w:lang w:val="en-CA"/>
        </w:rPr>
      </w:pPr>
    </w:p>
    <w:tbl>
      <w:tblPr>
        <w:tblW w:w="9408" w:type="dxa"/>
        <w:tblLayout w:type="fixed"/>
        <w:tblLook w:val="0000" w:firstRow="0" w:lastRow="0" w:firstColumn="0" w:lastColumn="0" w:noHBand="0" w:noVBand="0"/>
      </w:tblPr>
      <w:tblGrid>
        <w:gridCol w:w="1608"/>
        <w:gridCol w:w="800"/>
        <w:gridCol w:w="1400"/>
        <w:gridCol w:w="1400"/>
        <w:gridCol w:w="1400"/>
        <w:gridCol w:w="1400"/>
        <w:gridCol w:w="1400"/>
      </w:tblGrid>
      <w:tr w:rsidR="002865DB" w:rsidRPr="002865DB" w14:paraId="3FA5FB3E" w14:textId="55158EDF" w:rsidTr="002865DB">
        <w:tc>
          <w:tcPr>
            <w:tcW w:w="1608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56AF4777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Variable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1D558889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 xml:space="preserve"> Obs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7563ABA2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 xml:space="preserve"> Mean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0BBC6B14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 xml:space="preserve"> Std.Dev.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5664903E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 xml:space="preserve"> Min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6AFE7A48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 xml:space="preserve"> Max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3716DC20" w14:textId="5A51BFB4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Source</w:t>
            </w:r>
          </w:p>
        </w:tc>
      </w:tr>
      <w:tr w:rsidR="002865DB" w:rsidRPr="002865DB" w14:paraId="096A5E72" w14:textId="03078CAC" w:rsidTr="002865DB"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DA44054" w14:textId="36DBB1C8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Approval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144C94F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6EB99AA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42.014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772F0EA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9.689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F91245C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17.878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E2CD815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69.983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3AC5C2E" w14:textId="41C40458" w:rsidR="002865DB" w:rsidRPr="002865DB" w:rsidRDefault="00654CBF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xecutive Approval project (E</w:t>
            </w:r>
            <w:r w:rsidR="002865DB" w:rsidRPr="002865DB">
              <w:rPr>
                <w:rFonts w:ascii="Times New Roman" w:hAnsi="Times New Roman" w:cs="Times New Roman"/>
                <w:sz w:val="20"/>
                <w:szCs w:val="20"/>
              </w:rPr>
              <w:t>AP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865DB" w:rsidRPr="002865DB" w14:paraId="74F8502C" w14:textId="1659254F" w:rsidTr="002865DB"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0B5F376" w14:textId="2641E81E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Total consolidation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F49CA9C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CEEAD37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.638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B782292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1.275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AD32429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-.309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11F331B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9.748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4F914F3" w14:textId="2AD15BEA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Alesina et al. 2019</w:t>
            </w:r>
          </w:p>
        </w:tc>
      </w:tr>
      <w:tr w:rsidR="002865DB" w:rsidRPr="002865DB" w14:paraId="3100FF6D" w14:textId="12A59289" w:rsidTr="002865DB"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5289F1E" w14:textId="4B59DDAE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Spending-based consolidation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326D3AE9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379BD9C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.379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06BCFA8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.793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30A2C89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-.36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85B48B5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6.244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4F346BE" w14:textId="3CBFD7AE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Alesina et al. 2019</w:t>
            </w:r>
          </w:p>
        </w:tc>
      </w:tr>
      <w:tr w:rsidR="002865DB" w:rsidRPr="002865DB" w14:paraId="2879D1F1" w14:textId="33EDD0F9" w:rsidTr="002865DB"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E53D0DE" w14:textId="24579F8D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Tax-based consolidation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0808713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DCAC71C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.259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7454389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.611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73C8164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-.802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73C89A8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3.871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576B44D" w14:textId="26C2067A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Alesina et al. 2019</w:t>
            </w:r>
          </w:p>
        </w:tc>
      </w:tr>
      <w:tr w:rsidR="002865DB" w:rsidRPr="002865DB" w14:paraId="284D6E79" w14:textId="75EFD1A0" w:rsidTr="002865DB"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477D135" w14:textId="59B05650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Per capita growth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3A1C31B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FC6CF61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1.763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90E9DA6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2.316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0C2A1E0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-6.4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5C8ED89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C49D74C" w14:textId="714435E4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OECD</w:t>
            </w:r>
            <w:r w:rsidR="00654CBF">
              <w:rPr>
                <w:rFonts w:ascii="Times New Roman" w:hAnsi="Times New Roman" w:cs="Times New Roman"/>
                <w:sz w:val="20"/>
                <w:szCs w:val="20"/>
              </w:rPr>
              <w:t>, national accounts</w:t>
            </w: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865DB" w:rsidRPr="002865DB" w14:paraId="5014FCF5" w14:textId="07D52EF1" w:rsidTr="002865DB"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D93D94C" w14:textId="6B714AFB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Right/left index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C03FB12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FC3BFCC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3.169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3A1E26E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16.792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4787067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-46.414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B7CDC1D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48.458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8768D19" w14:textId="3B0AC861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Seki and Williams</w:t>
            </w:r>
          </w:p>
        </w:tc>
      </w:tr>
      <w:tr w:rsidR="00CF36F9" w:rsidRPr="002865DB" w14:paraId="61925413" w14:textId="77777777" w:rsidTr="002865DB"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9782AF8" w14:textId="5A3BA6EE" w:rsidR="00CF36F9" w:rsidRPr="002865DB" w:rsidRDefault="00CF36F9" w:rsidP="002865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Cabinet share of right parties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21541AA" w14:textId="47463B20" w:rsidR="00CF36F9" w:rsidRPr="002865DB" w:rsidRDefault="00CF36F9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484DADF" w14:textId="37AE87DE" w:rsidR="00CF36F9" w:rsidRPr="002865DB" w:rsidRDefault="00CF36F9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7CD54C2" w14:textId="122293B7" w:rsidR="00CF36F9" w:rsidRPr="002865DB" w:rsidRDefault="00CF36F9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B398CB5" w14:textId="5389963E" w:rsidR="00CF36F9" w:rsidRPr="002865DB" w:rsidRDefault="00CF36F9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9D7B83A" w14:textId="420B2FC0" w:rsidR="00CF36F9" w:rsidRPr="002865DB" w:rsidRDefault="00CF36F9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3C32C96" w14:textId="0D723D43" w:rsidR="00CF36F9" w:rsidRPr="002865DB" w:rsidRDefault="00CF36F9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Comparative political Dataset (</w:t>
            </w: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CPDS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F36F9" w:rsidRPr="002865DB" w14:paraId="48ECCA77" w14:textId="77777777" w:rsidTr="002865DB"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B0905D7" w14:textId="3C090876" w:rsidR="00CF36F9" w:rsidRPr="002865DB" w:rsidRDefault="00CF36F9" w:rsidP="002865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Cabinet share of left parties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431DF5A" w14:textId="7FBA65AD" w:rsidR="00CF36F9" w:rsidRPr="002865DB" w:rsidRDefault="00CF36F9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85235CC" w14:textId="23DA0BF3" w:rsidR="00CF36F9" w:rsidRPr="002865DB" w:rsidRDefault="00CF36F9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30.47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4E68C21" w14:textId="4B5A1339" w:rsidR="00CF36F9" w:rsidRPr="002865DB" w:rsidRDefault="00CF36F9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39.86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B9AB098" w14:textId="59A04AB8" w:rsidR="00CF36F9" w:rsidRPr="002865DB" w:rsidRDefault="00CF36F9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875928E" w14:textId="0170A342" w:rsidR="00CF36F9" w:rsidRPr="002865DB" w:rsidRDefault="00CF36F9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1843B8A" w14:textId="32B3A0B0" w:rsidR="00CF36F9" w:rsidDel="00CF36F9" w:rsidRDefault="00CF36F9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CPDS</w:t>
            </w:r>
          </w:p>
        </w:tc>
      </w:tr>
      <w:tr w:rsidR="002865DB" w:rsidRPr="002865DB" w14:paraId="3ABC0794" w14:textId="170FBEBE" w:rsidTr="002865DB"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039143A" w14:textId="311D7BDB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Avoidance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38C9CB04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07E190B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3.582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0938480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1.547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64F039B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04A3ABD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2153D83" w14:textId="76F16E59" w:rsidR="002865DB" w:rsidRPr="002865DB" w:rsidRDefault="00CF36F9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CPDS</w:t>
            </w:r>
          </w:p>
        </w:tc>
      </w:tr>
      <w:tr w:rsidR="002865DB" w:rsidRPr="002865DB" w14:paraId="637ADB4E" w14:textId="13E5B72A" w:rsidTr="002865DB"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A7B84F8" w14:textId="5AFE4D3E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Unemployment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FA8FBE7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0D4B6A5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7.738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B6F96BC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3.721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2F66604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1.952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1B47860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26.094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EB0814C" w14:textId="0AE87191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CPDS</w:t>
            </w:r>
          </w:p>
        </w:tc>
      </w:tr>
      <w:tr w:rsidR="002865DB" w:rsidRPr="002865DB" w14:paraId="692C6204" w14:textId="045D45E9" w:rsidTr="002865DB"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B3C36C5" w14:textId="61686EC8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Inflation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00E11EF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6D2ED18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3.467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4DE8172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3.258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718B015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-4.48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927DBE9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20.37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94FB485" w14:textId="12597802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CPDS</w:t>
            </w:r>
          </w:p>
        </w:tc>
      </w:tr>
      <w:tr w:rsidR="002865DB" w:rsidRPr="002865DB" w14:paraId="243755A9" w14:textId="51CD009F" w:rsidTr="002865DB"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6B934A1" w14:textId="7B0E81CE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Change in public debt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A24E405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44C845C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1.664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67E9085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4.983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07B02A6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-14.224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A218D51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24.623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09DB757" w14:textId="0D5D9E46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CPDS</w:t>
            </w:r>
          </w:p>
        </w:tc>
      </w:tr>
      <w:tr w:rsidR="002865DB" w:rsidRPr="002865DB" w14:paraId="196B778C" w14:textId="7D8F6DCD" w:rsidTr="002865DB"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9DE0A2F" w14:textId="0FAD1DE6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Log trade openness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639AC74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D99AFE2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3.962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BFD77D3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.51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5EAA3E9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2.768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59ED558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5.343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2745294" w14:textId="5B8DAA16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CPDS</w:t>
            </w:r>
          </w:p>
        </w:tc>
      </w:tr>
      <w:tr w:rsidR="002865DB" w:rsidRPr="002865DB" w14:paraId="4EDD58DA" w14:textId="45B33F4E" w:rsidTr="002865DB"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D5F323C" w14:textId="1A253DF4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Election dummy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8172CA4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C1891BB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59B7A0A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.459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8A5B9EE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8DAD9AC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89078DE" w14:textId="25EB350B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CPDS</w:t>
            </w:r>
          </w:p>
        </w:tc>
      </w:tr>
      <w:tr w:rsidR="002865DB" w:rsidRPr="002865DB" w14:paraId="328ABB70" w14:textId="297994D9" w:rsidTr="002865DB"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CA673F8" w14:textId="5529A000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Government composition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38BBC397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64B512C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1.191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275CC3D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.906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C293665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418B2A9" w14:textId="77777777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8500526" w14:textId="4B5EA20A" w:rsidR="002865DB" w:rsidRPr="002865DB" w:rsidRDefault="002865DB" w:rsidP="002865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CPDS</w:t>
            </w:r>
          </w:p>
        </w:tc>
      </w:tr>
      <w:tr w:rsidR="00E93135" w:rsidRPr="002865DB" w14:paraId="6CCEFC59" w14:textId="77777777" w:rsidTr="002865DB"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3AD8CA6" w14:textId="07F7A75B" w:rsidR="00E93135" w:rsidRPr="002865DB" w:rsidRDefault="00E93135" w:rsidP="00E931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Years in office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3F98402" w14:textId="42DC014F" w:rsidR="00E93135" w:rsidRPr="002865DB" w:rsidRDefault="00E93135" w:rsidP="00E931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64A3A69" w14:textId="0D2B16D5" w:rsidR="00E93135" w:rsidRPr="002865DB" w:rsidRDefault="00E93135" w:rsidP="00E931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3.97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8AFA763" w14:textId="4917A8C5" w:rsidR="00E93135" w:rsidRPr="002865DB" w:rsidRDefault="00E93135" w:rsidP="00E931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2.869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5B54140" w14:textId="2BB25AAB" w:rsidR="00E93135" w:rsidRPr="002865DB" w:rsidRDefault="00E93135" w:rsidP="00E931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5952E9C" w14:textId="744D2870" w:rsidR="00E93135" w:rsidRPr="002865DB" w:rsidRDefault="00E93135" w:rsidP="00E931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729E1FB" w14:textId="4F15341E" w:rsidR="00E93135" w:rsidRPr="002865DB" w:rsidRDefault="00E93135" w:rsidP="00E931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Database of political institutions (DPI)</w:t>
            </w:r>
          </w:p>
        </w:tc>
      </w:tr>
      <w:tr w:rsidR="00E93135" w:rsidRPr="002865DB" w14:paraId="4D540F0F" w14:textId="70E2651C" w:rsidTr="002865DB"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F457A74" w14:textId="5015FC31" w:rsidR="00E93135" w:rsidRPr="002865DB" w:rsidRDefault="00E93135" w:rsidP="00E931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Government turnover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777618B" w14:textId="77777777" w:rsidR="00E93135" w:rsidRPr="002865DB" w:rsidRDefault="00E93135" w:rsidP="00E931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9E6148C" w14:textId="77777777" w:rsidR="00E93135" w:rsidRPr="002865DB" w:rsidRDefault="00E93135" w:rsidP="00E931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.122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AAF0CDC" w14:textId="77777777" w:rsidR="00E93135" w:rsidRPr="002865DB" w:rsidRDefault="00E93135" w:rsidP="00E931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.327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88D3122" w14:textId="77777777" w:rsidR="00E93135" w:rsidRPr="002865DB" w:rsidRDefault="00E93135" w:rsidP="00E931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BA2BDB2" w14:textId="77777777" w:rsidR="00E93135" w:rsidRPr="002865DB" w:rsidRDefault="00E93135" w:rsidP="00E931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84DC900" w14:textId="087B3892" w:rsidR="00E93135" w:rsidRPr="002865DB" w:rsidRDefault="00E93135" w:rsidP="00E931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DB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</w:p>
        </w:tc>
      </w:tr>
      <w:tr w:rsidR="00E93135" w:rsidRPr="002865DB" w14:paraId="401741C4" w14:textId="77777777" w:rsidTr="002865DB"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C1EF4EB" w14:textId="7B00FE75" w:rsidR="00E93135" w:rsidRPr="002865DB" w:rsidRDefault="00E93135" w:rsidP="00E931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Changes in vote shares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1AA68BDA" w14:textId="50365B6A" w:rsidR="00E93135" w:rsidRPr="002865DB" w:rsidRDefault="00E93135" w:rsidP="00E931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24FF1AE" w14:textId="52F76683" w:rsidR="00E93135" w:rsidRPr="002865DB" w:rsidRDefault="00E93135" w:rsidP="00E931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-2.923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FF75EA0" w14:textId="00CD6C9F" w:rsidR="00E93135" w:rsidRPr="002865DB" w:rsidRDefault="00E93135" w:rsidP="00E931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FF605BA" w14:textId="5D4438AF" w:rsidR="00E93135" w:rsidRPr="002865DB" w:rsidRDefault="00E93135" w:rsidP="00E931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-29.49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C46AD19" w14:textId="41FC76DD" w:rsidR="00E93135" w:rsidRPr="002865DB" w:rsidRDefault="00E93135" w:rsidP="00E931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E6B93F0" w14:textId="1EF1EC44" w:rsidR="00E93135" w:rsidRPr="002865DB" w:rsidRDefault="00E93135" w:rsidP="00E931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</w:p>
        </w:tc>
      </w:tr>
      <w:tr w:rsidR="00E93135" w:rsidRPr="002865DB" w14:paraId="2525FB81" w14:textId="1B24D926" w:rsidTr="002865DB">
        <w:tc>
          <w:tcPr>
            <w:tcW w:w="8008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D29189" w14:textId="77777777" w:rsidR="00E93135" w:rsidRPr="002865DB" w:rsidRDefault="00E93135" w:rsidP="00E931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AB399A" w14:textId="77777777" w:rsidR="00E93135" w:rsidRPr="002865DB" w:rsidRDefault="00E93135" w:rsidP="00E931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45382D" w14:textId="00641533" w:rsidR="00F6076E" w:rsidRDefault="00F6076E">
      <w:pPr>
        <w:rPr>
          <w:rFonts w:ascii="Times New Roman" w:hAnsi="Times New Roman" w:cs="Times New Roman"/>
          <w:sz w:val="22"/>
          <w:szCs w:val="22"/>
          <w:lang w:val="en-CA"/>
        </w:rPr>
      </w:pPr>
    </w:p>
    <w:p w14:paraId="3913E508" w14:textId="77777777" w:rsidR="00DC4236" w:rsidRDefault="00DC4236">
      <w:pPr>
        <w:rPr>
          <w:rFonts w:ascii="Times New Roman" w:hAnsi="Times New Roman" w:cs="Times New Roman"/>
          <w:b/>
          <w:bCs/>
          <w:sz w:val="22"/>
          <w:szCs w:val="22"/>
          <w:lang w:val="en-CA"/>
        </w:rPr>
      </w:pPr>
    </w:p>
    <w:p w14:paraId="5F73E8CD" w14:textId="77777777" w:rsidR="00DC4236" w:rsidRDefault="00DC4236">
      <w:pPr>
        <w:rPr>
          <w:rFonts w:ascii="Times New Roman" w:hAnsi="Times New Roman" w:cs="Times New Roman"/>
          <w:b/>
          <w:bCs/>
          <w:sz w:val="22"/>
          <w:szCs w:val="22"/>
          <w:lang w:val="en-CA"/>
        </w:rPr>
      </w:pPr>
    </w:p>
    <w:p w14:paraId="0F3AF138" w14:textId="77777777" w:rsidR="00DC4236" w:rsidRDefault="00DC4236">
      <w:pPr>
        <w:rPr>
          <w:rFonts w:ascii="Times New Roman" w:hAnsi="Times New Roman" w:cs="Times New Roman"/>
          <w:b/>
          <w:bCs/>
          <w:sz w:val="22"/>
          <w:szCs w:val="22"/>
          <w:lang w:val="en-CA"/>
        </w:rPr>
      </w:pPr>
    </w:p>
    <w:p w14:paraId="5C09573C" w14:textId="77777777" w:rsidR="00DC4236" w:rsidRDefault="00DC4236">
      <w:pPr>
        <w:rPr>
          <w:rFonts w:ascii="Times New Roman" w:hAnsi="Times New Roman" w:cs="Times New Roman"/>
          <w:b/>
          <w:bCs/>
          <w:sz w:val="22"/>
          <w:szCs w:val="22"/>
          <w:lang w:val="en-CA"/>
        </w:rPr>
      </w:pPr>
    </w:p>
    <w:p w14:paraId="43DECE3F" w14:textId="77777777" w:rsidR="00DC4236" w:rsidRDefault="00DC4236">
      <w:pPr>
        <w:rPr>
          <w:rFonts w:ascii="Times New Roman" w:hAnsi="Times New Roman" w:cs="Times New Roman"/>
          <w:b/>
          <w:bCs/>
          <w:sz w:val="22"/>
          <w:szCs w:val="22"/>
          <w:lang w:val="en-CA"/>
        </w:rPr>
      </w:pPr>
    </w:p>
    <w:p w14:paraId="37A3E9F6" w14:textId="7B7D3E3C" w:rsidR="00DC4236" w:rsidRDefault="00DC4236">
      <w:pPr>
        <w:rPr>
          <w:rFonts w:ascii="Times New Roman" w:hAnsi="Times New Roman" w:cs="Times New Roman"/>
          <w:b/>
          <w:bCs/>
          <w:sz w:val="22"/>
          <w:szCs w:val="22"/>
          <w:lang w:val="en-CA"/>
        </w:rPr>
      </w:pPr>
    </w:p>
    <w:p w14:paraId="0EC96DC0" w14:textId="77777777" w:rsidR="00E93135" w:rsidRDefault="00E93135">
      <w:pPr>
        <w:rPr>
          <w:rFonts w:ascii="Times New Roman" w:hAnsi="Times New Roman" w:cs="Times New Roman"/>
          <w:b/>
          <w:bCs/>
          <w:sz w:val="22"/>
          <w:szCs w:val="22"/>
          <w:lang w:val="en-CA"/>
        </w:rPr>
      </w:pPr>
    </w:p>
    <w:p w14:paraId="04A541F8" w14:textId="2D5F2F3C" w:rsidR="001C57E1" w:rsidRPr="00E237CD" w:rsidRDefault="001C57E1">
      <w:pPr>
        <w:rPr>
          <w:rFonts w:ascii="Times New Roman" w:hAnsi="Times New Roman" w:cs="Times New Roman"/>
          <w:b/>
          <w:bCs/>
          <w:sz w:val="22"/>
          <w:szCs w:val="22"/>
          <w:lang w:val="en-CA"/>
        </w:rPr>
      </w:pPr>
      <w:r w:rsidRPr="00E237CD">
        <w:rPr>
          <w:rFonts w:ascii="Times New Roman" w:hAnsi="Times New Roman" w:cs="Times New Roman"/>
          <w:b/>
          <w:bCs/>
          <w:sz w:val="22"/>
          <w:szCs w:val="22"/>
          <w:lang w:val="en-CA"/>
        </w:rPr>
        <w:lastRenderedPageBreak/>
        <w:t>Descriptive statistics on fiscal consolidations</w:t>
      </w:r>
    </w:p>
    <w:p w14:paraId="09FE96E0" w14:textId="77777777" w:rsidR="001C57E1" w:rsidRDefault="001C57E1">
      <w:pPr>
        <w:rPr>
          <w:rFonts w:ascii="Times New Roman" w:hAnsi="Times New Roman" w:cs="Times New Roman"/>
          <w:sz w:val="22"/>
          <w:szCs w:val="22"/>
          <w:lang w:val="en-CA"/>
        </w:rPr>
      </w:pPr>
    </w:p>
    <w:p w14:paraId="15615C00" w14:textId="70AB4AB9" w:rsidR="00096837" w:rsidRPr="00584FD8" w:rsidRDefault="00096837" w:rsidP="00584FD8">
      <w:pPr>
        <w:jc w:val="both"/>
        <w:rPr>
          <w:rFonts w:ascii="Times New Roman" w:hAnsi="Times New Roman" w:cs="Times New Roman"/>
          <w:sz w:val="22"/>
          <w:szCs w:val="22"/>
          <w:lang w:val="en-CA"/>
        </w:rPr>
      </w:pPr>
      <w:r w:rsidRPr="00584FD8">
        <w:rPr>
          <w:rFonts w:ascii="Times New Roman" w:hAnsi="Times New Roman" w:cs="Times New Roman"/>
          <w:sz w:val="22"/>
          <w:szCs w:val="22"/>
          <w:lang w:val="en-CA"/>
        </w:rPr>
        <w:t xml:space="preserve">In our dataset, there are </w:t>
      </w:r>
      <w:r w:rsidR="001C57E1" w:rsidRPr="00584FD8">
        <w:rPr>
          <w:rFonts w:ascii="Times New Roman" w:hAnsi="Times New Roman" w:cs="Times New Roman"/>
          <w:sz w:val="22"/>
          <w:szCs w:val="22"/>
          <w:lang w:val="en-CA"/>
        </w:rPr>
        <w:t xml:space="preserve">185 country/years in consolidation, which </w:t>
      </w:r>
      <w:r w:rsidR="00584FD8" w:rsidRPr="00584FD8">
        <w:rPr>
          <w:rFonts w:ascii="Times New Roman" w:hAnsi="Times New Roman" w:cs="Times New Roman"/>
          <w:sz w:val="22"/>
          <w:szCs w:val="22"/>
          <w:lang w:val="en-CA"/>
        </w:rPr>
        <w:t>represents</w:t>
      </w:r>
      <w:r w:rsidR="001C57E1" w:rsidRPr="00584FD8">
        <w:rPr>
          <w:rFonts w:ascii="Times New Roman" w:hAnsi="Times New Roman" w:cs="Times New Roman"/>
          <w:sz w:val="22"/>
          <w:szCs w:val="22"/>
          <w:lang w:val="en-CA"/>
        </w:rPr>
        <w:t xml:space="preserve"> 39% of the dataset. 46% of the consolidations/years are between 0 and 1% of GDP, 25% between 1 and 2%, and 30% are above 2%. </w:t>
      </w:r>
      <w:r w:rsidR="00EF2CE0" w:rsidRPr="00584FD8">
        <w:rPr>
          <w:rFonts w:ascii="Times New Roman" w:hAnsi="Times New Roman" w:cs="Times New Roman"/>
          <w:sz w:val="22"/>
          <w:szCs w:val="22"/>
          <w:lang w:val="en-CA"/>
        </w:rPr>
        <w:t xml:space="preserve">There are </w:t>
      </w:r>
      <w:r w:rsidR="00963C9E">
        <w:rPr>
          <w:rFonts w:ascii="Times New Roman" w:hAnsi="Times New Roman" w:cs="Times New Roman"/>
          <w:sz w:val="22"/>
          <w:szCs w:val="22"/>
          <w:lang w:val="en-CA"/>
        </w:rPr>
        <w:t xml:space="preserve">51 different episodes of consolidations that last </w:t>
      </w:r>
      <w:r w:rsidR="00963C9E" w:rsidRPr="00584FD8">
        <w:rPr>
          <w:rFonts w:ascii="Times New Roman" w:hAnsi="Times New Roman" w:cs="Times New Roman"/>
          <w:sz w:val="22"/>
          <w:szCs w:val="22"/>
          <w:lang w:val="en-CA"/>
        </w:rPr>
        <w:t>on average 4.6 years</w:t>
      </w:r>
      <w:r w:rsidR="00963C9E">
        <w:rPr>
          <w:rFonts w:ascii="Times New Roman" w:hAnsi="Times New Roman" w:cs="Times New Roman"/>
          <w:sz w:val="22"/>
          <w:szCs w:val="22"/>
          <w:lang w:val="en-CA"/>
        </w:rPr>
        <w:t xml:space="preserve">. </w:t>
      </w:r>
      <w:r w:rsidR="000804EE">
        <w:rPr>
          <w:rFonts w:ascii="Times New Roman" w:hAnsi="Times New Roman" w:cs="Times New Roman"/>
          <w:sz w:val="22"/>
          <w:szCs w:val="22"/>
          <w:lang w:val="en-CA"/>
        </w:rPr>
        <w:t xml:space="preserve">For each consolidation year, the average is a combination </w:t>
      </w:r>
      <w:r w:rsidR="003B3F5F">
        <w:rPr>
          <w:rFonts w:ascii="Times New Roman" w:hAnsi="Times New Roman" w:cs="Times New Roman"/>
          <w:sz w:val="22"/>
          <w:szCs w:val="22"/>
          <w:lang w:val="en-CA"/>
        </w:rPr>
        <w:t>of</w:t>
      </w:r>
      <w:r w:rsidR="000804EE">
        <w:rPr>
          <w:rFonts w:ascii="Times New Roman" w:hAnsi="Times New Roman" w:cs="Times New Roman"/>
          <w:sz w:val="22"/>
          <w:szCs w:val="22"/>
          <w:lang w:val="en-CA"/>
        </w:rPr>
        <w:t xml:space="preserve"> spending cuts and tax increases amounting to 1.6% of GDP. </w:t>
      </w:r>
      <w:r w:rsidR="00963C9E">
        <w:rPr>
          <w:rFonts w:ascii="Times New Roman" w:hAnsi="Times New Roman" w:cs="Times New Roman"/>
          <w:sz w:val="22"/>
          <w:szCs w:val="22"/>
          <w:lang w:val="en-CA"/>
        </w:rPr>
        <w:t xml:space="preserve">There are on average </w:t>
      </w:r>
      <w:r w:rsidR="00EF2CE0" w:rsidRPr="00584FD8">
        <w:rPr>
          <w:rFonts w:ascii="Times New Roman" w:hAnsi="Times New Roman" w:cs="Times New Roman"/>
          <w:sz w:val="22"/>
          <w:szCs w:val="22"/>
          <w:lang w:val="en-CA"/>
        </w:rPr>
        <w:t xml:space="preserve">3.2 </w:t>
      </w:r>
      <w:r w:rsidR="003F3E09" w:rsidRPr="00584FD8">
        <w:rPr>
          <w:rFonts w:ascii="Times New Roman" w:hAnsi="Times New Roman" w:cs="Times New Roman"/>
          <w:sz w:val="22"/>
          <w:szCs w:val="22"/>
          <w:lang w:val="en-CA"/>
        </w:rPr>
        <w:t>consolidation</w:t>
      </w:r>
      <w:r w:rsidR="003F3E09">
        <w:rPr>
          <w:rFonts w:ascii="Times New Roman" w:hAnsi="Times New Roman" w:cs="Times New Roman"/>
          <w:sz w:val="22"/>
          <w:szCs w:val="22"/>
          <w:lang w:val="en-CA"/>
        </w:rPr>
        <w:t xml:space="preserve"> </w:t>
      </w:r>
      <w:r w:rsidR="00EF2CE0" w:rsidRPr="00584FD8">
        <w:rPr>
          <w:rFonts w:ascii="Times New Roman" w:hAnsi="Times New Roman" w:cs="Times New Roman"/>
          <w:sz w:val="22"/>
          <w:szCs w:val="22"/>
          <w:lang w:val="en-CA"/>
        </w:rPr>
        <w:t>episodes per country in our data</w:t>
      </w:r>
      <w:r w:rsidR="00584FD8" w:rsidRPr="00584FD8">
        <w:rPr>
          <w:rFonts w:ascii="Times New Roman" w:hAnsi="Times New Roman" w:cs="Times New Roman"/>
          <w:sz w:val="22"/>
          <w:szCs w:val="22"/>
          <w:lang w:val="en-CA"/>
        </w:rPr>
        <w:t xml:space="preserve">.  All countries except Australia, Japan and Sweden consolidate after the 2008 recession. </w:t>
      </w:r>
      <w:r w:rsidRPr="00584FD8">
        <w:rPr>
          <w:rFonts w:ascii="Times New Roman" w:hAnsi="Times New Roman" w:cs="Times New Roman"/>
          <w:sz w:val="22"/>
          <w:szCs w:val="22"/>
        </w:rPr>
        <w:t xml:space="preserve">Seven country-years of consolidations included in our dataset did not reduce government </w:t>
      </w:r>
      <w:proofErr w:type="gramStart"/>
      <w:r w:rsidRPr="00584FD8">
        <w:rPr>
          <w:rFonts w:ascii="Times New Roman" w:hAnsi="Times New Roman" w:cs="Times New Roman"/>
          <w:sz w:val="22"/>
          <w:szCs w:val="22"/>
        </w:rPr>
        <w:t>deficits,</w:t>
      </w:r>
      <w:r w:rsidR="00584FD8" w:rsidRPr="00584FD8">
        <w:rPr>
          <w:rFonts w:ascii="Times New Roman" w:hAnsi="Times New Roman" w:cs="Times New Roman"/>
          <w:sz w:val="22"/>
          <w:szCs w:val="22"/>
        </w:rPr>
        <w:t xml:space="preserve"> but</w:t>
      </w:r>
      <w:proofErr w:type="gramEnd"/>
      <w:r w:rsidR="00584FD8" w:rsidRPr="00584FD8">
        <w:rPr>
          <w:rFonts w:ascii="Times New Roman" w:hAnsi="Times New Roman" w:cs="Times New Roman"/>
          <w:sz w:val="22"/>
          <w:szCs w:val="22"/>
        </w:rPr>
        <w:t xml:space="preserve"> excluding these countries do</w:t>
      </w:r>
      <w:r w:rsidR="003F3E09">
        <w:rPr>
          <w:rFonts w:ascii="Times New Roman" w:hAnsi="Times New Roman" w:cs="Times New Roman"/>
          <w:sz w:val="22"/>
          <w:szCs w:val="22"/>
        </w:rPr>
        <w:t>es</w:t>
      </w:r>
      <w:r w:rsidR="00584FD8" w:rsidRPr="00584FD8">
        <w:rPr>
          <w:rFonts w:ascii="Times New Roman" w:hAnsi="Times New Roman" w:cs="Times New Roman"/>
          <w:sz w:val="22"/>
          <w:szCs w:val="22"/>
        </w:rPr>
        <w:t xml:space="preserve"> not alter the results. </w:t>
      </w:r>
      <w:r w:rsidR="00584FD8">
        <w:rPr>
          <w:rFonts w:ascii="Times New Roman" w:hAnsi="Times New Roman" w:cs="Times New Roman"/>
          <w:sz w:val="22"/>
          <w:szCs w:val="22"/>
        </w:rPr>
        <w:t xml:space="preserve">We present the average distribution of consolidations in the histograms below. </w:t>
      </w:r>
    </w:p>
    <w:p w14:paraId="76BA9027" w14:textId="6E39169C" w:rsidR="001C57E1" w:rsidRDefault="001C57E1">
      <w:pPr>
        <w:rPr>
          <w:rFonts w:ascii="Times New Roman" w:hAnsi="Times New Roman" w:cs="Times New Roman"/>
        </w:rPr>
      </w:pPr>
    </w:p>
    <w:p w14:paraId="1F2554FC" w14:textId="2367151C" w:rsidR="001C57E1" w:rsidRDefault="001C57E1">
      <w:pPr>
        <w:rPr>
          <w:rFonts w:ascii="Times New Roman" w:hAnsi="Times New Roman" w:cs="Times New Roman"/>
          <w:sz w:val="22"/>
          <w:szCs w:val="22"/>
          <w:lang w:val="en-CA"/>
        </w:rPr>
      </w:pPr>
    </w:p>
    <w:p w14:paraId="5B9F1B09" w14:textId="0F33AD5B" w:rsidR="008E7E04" w:rsidRDefault="00584FD8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584FD8">
        <w:rPr>
          <w:rFonts w:ascii="Times New Roman" w:hAnsi="Times New Roman" w:cs="Times New Roman"/>
          <w:noProof/>
          <w:sz w:val="22"/>
          <w:szCs w:val="22"/>
          <w:lang w:val="en-CA"/>
        </w:rPr>
        <w:drawing>
          <wp:inline distT="0" distB="0" distL="0" distR="0" wp14:anchorId="6830312B" wp14:editId="79736EC8">
            <wp:extent cx="1960939" cy="142613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3803" cy="144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4FD8">
        <w:rPr>
          <w:rFonts w:ascii="Times New Roman" w:hAnsi="Times New Roman" w:cs="Times New Roman"/>
          <w:noProof/>
          <w:sz w:val="22"/>
          <w:szCs w:val="22"/>
          <w:lang w:val="en-CA"/>
        </w:rPr>
        <w:drawing>
          <wp:inline distT="0" distB="0" distL="0" distR="0" wp14:anchorId="187AC22A" wp14:editId="184DF356">
            <wp:extent cx="1960939" cy="142613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0843" cy="144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4FD8">
        <w:rPr>
          <w:rFonts w:ascii="Times New Roman" w:hAnsi="Times New Roman" w:cs="Times New Roman"/>
          <w:noProof/>
          <w:sz w:val="22"/>
          <w:szCs w:val="22"/>
          <w:lang w:val="en-CA"/>
        </w:rPr>
        <w:drawing>
          <wp:inline distT="0" distB="0" distL="0" distR="0" wp14:anchorId="7019BA67" wp14:editId="2F1EBCC5">
            <wp:extent cx="1960939" cy="142613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3026" cy="143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0965D" w14:textId="2C3E8F54" w:rsidR="008E7E04" w:rsidRDefault="008E7E04">
      <w:pPr>
        <w:rPr>
          <w:rFonts w:ascii="Times New Roman" w:hAnsi="Times New Roman" w:cs="Times New Roman"/>
          <w:sz w:val="22"/>
          <w:szCs w:val="22"/>
          <w:lang w:val="en-CA"/>
        </w:rPr>
      </w:pPr>
    </w:p>
    <w:p w14:paraId="770D64DA" w14:textId="7769B320" w:rsidR="008E7E04" w:rsidRPr="008E7E04" w:rsidRDefault="008E7E04">
      <w:pPr>
        <w:rPr>
          <w:rFonts w:ascii="Times New Roman" w:hAnsi="Times New Roman" w:cs="Times New Roman"/>
          <w:b/>
          <w:bCs/>
          <w:sz w:val="22"/>
          <w:szCs w:val="22"/>
          <w:lang w:val="en-CA"/>
        </w:rPr>
      </w:pPr>
      <w:r w:rsidRPr="008E7E04">
        <w:rPr>
          <w:rFonts w:ascii="Times New Roman" w:hAnsi="Times New Roman" w:cs="Times New Roman"/>
          <w:b/>
          <w:bCs/>
          <w:sz w:val="22"/>
          <w:szCs w:val="22"/>
          <w:lang w:val="en-CA"/>
        </w:rPr>
        <w:t>Distribution of consolidations</w:t>
      </w:r>
      <w:r w:rsidR="00584FD8">
        <w:rPr>
          <w:rFonts w:ascii="Times New Roman" w:hAnsi="Times New Roman" w:cs="Times New Roman"/>
          <w:b/>
          <w:bCs/>
          <w:sz w:val="22"/>
          <w:szCs w:val="22"/>
          <w:lang w:val="en-CA"/>
        </w:rPr>
        <w:t xml:space="preserve"> by countries</w:t>
      </w:r>
      <w:r w:rsidRPr="008E7E04">
        <w:rPr>
          <w:rFonts w:ascii="Times New Roman" w:hAnsi="Times New Roman" w:cs="Times New Roman"/>
          <w:b/>
          <w:bCs/>
          <w:sz w:val="22"/>
          <w:szCs w:val="22"/>
          <w:lang w:val="en-CA"/>
        </w:rPr>
        <w:t>, as percentage of GDP</w:t>
      </w:r>
    </w:p>
    <w:p w14:paraId="6B0DA211" w14:textId="42960F2F" w:rsidR="008E7E04" w:rsidRDefault="008E7E04">
      <w:pPr>
        <w:rPr>
          <w:rFonts w:ascii="Times New Roman" w:hAnsi="Times New Roman" w:cs="Times New Roman"/>
          <w:sz w:val="22"/>
          <w:szCs w:val="22"/>
          <w:lang w:val="en-CA"/>
        </w:rPr>
      </w:pPr>
    </w:p>
    <w:p w14:paraId="4CB95D7B" w14:textId="6C0FAB42" w:rsidR="00703683" w:rsidRDefault="003F2724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3F2724">
        <w:rPr>
          <w:rFonts w:ascii="Times New Roman" w:hAnsi="Times New Roman" w:cs="Times New Roman"/>
          <w:noProof/>
          <w:sz w:val="22"/>
          <w:szCs w:val="22"/>
          <w:lang w:val="en-CA"/>
        </w:rPr>
        <w:drawing>
          <wp:inline distT="0" distB="0" distL="0" distR="0" wp14:anchorId="302A00C8" wp14:editId="566CD198">
            <wp:extent cx="5029200" cy="3657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55E9E" w14:textId="0188DA0D" w:rsidR="001C57E1" w:rsidRDefault="001C57E1" w:rsidP="001C57E1">
      <w:pPr>
        <w:rPr>
          <w:rFonts w:ascii="Times New Roman" w:hAnsi="Times New Roman" w:cs="Times New Roman"/>
          <w:sz w:val="22"/>
          <w:szCs w:val="22"/>
          <w:lang w:val="en-CA"/>
        </w:rPr>
      </w:pPr>
    </w:p>
    <w:p w14:paraId="7A21CA55" w14:textId="77777777" w:rsidR="00A6724E" w:rsidRDefault="00A6724E" w:rsidP="001C57E1">
      <w:pPr>
        <w:rPr>
          <w:rFonts w:ascii="Times New Roman" w:hAnsi="Times New Roman" w:cs="Times New Roman"/>
          <w:sz w:val="22"/>
          <w:szCs w:val="22"/>
          <w:lang w:val="en-CA"/>
        </w:rPr>
      </w:pPr>
    </w:p>
    <w:p w14:paraId="67E564D6" w14:textId="77777777" w:rsidR="00DC4236" w:rsidRDefault="00DC4236" w:rsidP="001C57E1">
      <w:pPr>
        <w:rPr>
          <w:rFonts w:ascii="Times New Roman" w:hAnsi="Times New Roman" w:cs="Times New Roman"/>
          <w:sz w:val="22"/>
          <w:szCs w:val="22"/>
          <w:lang w:val="en-CA"/>
        </w:rPr>
      </w:pPr>
    </w:p>
    <w:p w14:paraId="327BBABA" w14:textId="665A56F5" w:rsidR="001C57E1" w:rsidRDefault="001C57E1" w:rsidP="001C57E1">
      <w:pPr>
        <w:rPr>
          <w:rFonts w:ascii="Times New Roman" w:hAnsi="Times New Roman" w:cs="Times New Roman"/>
          <w:b/>
          <w:bCs/>
          <w:sz w:val="22"/>
          <w:szCs w:val="22"/>
          <w:lang w:val="en-CA"/>
        </w:rPr>
      </w:pPr>
      <w:r w:rsidRPr="008E7E04">
        <w:rPr>
          <w:rFonts w:ascii="Times New Roman" w:hAnsi="Times New Roman" w:cs="Times New Roman"/>
          <w:b/>
          <w:bCs/>
          <w:sz w:val="22"/>
          <w:szCs w:val="22"/>
          <w:lang w:val="en-CA"/>
        </w:rPr>
        <w:t>Distribution of approval in percentages.</w:t>
      </w:r>
    </w:p>
    <w:p w14:paraId="32C6E074" w14:textId="77777777" w:rsidR="00DC4236" w:rsidRPr="008E7E04" w:rsidRDefault="00DC4236" w:rsidP="001C57E1">
      <w:pPr>
        <w:rPr>
          <w:rFonts w:ascii="Times New Roman" w:hAnsi="Times New Roman" w:cs="Times New Roman"/>
          <w:b/>
          <w:bCs/>
          <w:sz w:val="22"/>
          <w:szCs w:val="22"/>
          <w:lang w:val="en-CA"/>
        </w:rPr>
      </w:pPr>
    </w:p>
    <w:p w14:paraId="77AE0AEF" w14:textId="04E288BA" w:rsidR="00C7531D" w:rsidRDefault="003F2724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3F2724">
        <w:rPr>
          <w:rFonts w:ascii="Times New Roman" w:hAnsi="Times New Roman" w:cs="Times New Roman"/>
          <w:noProof/>
          <w:sz w:val="22"/>
          <w:szCs w:val="22"/>
          <w:lang w:val="en-CA"/>
        </w:rPr>
        <w:drawing>
          <wp:inline distT="0" distB="0" distL="0" distR="0" wp14:anchorId="01A3EEFD" wp14:editId="091401DB">
            <wp:extent cx="5029200" cy="3657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17380" w14:textId="77777777" w:rsidR="00C7531D" w:rsidRDefault="00C7531D">
      <w:pPr>
        <w:rPr>
          <w:rFonts w:ascii="Times New Roman" w:hAnsi="Times New Roman" w:cs="Times New Roman"/>
          <w:sz w:val="22"/>
          <w:szCs w:val="22"/>
          <w:lang w:val="en-CA"/>
        </w:rPr>
      </w:pPr>
    </w:p>
    <w:p w14:paraId="5D29BE63" w14:textId="77777777" w:rsidR="00C7531D" w:rsidRDefault="00C7531D">
      <w:pPr>
        <w:rPr>
          <w:rFonts w:ascii="Times New Roman" w:hAnsi="Times New Roman" w:cs="Times New Roman"/>
          <w:sz w:val="22"/>
          <w:szCs w:val="22"/>
          <w:lang w:val="en-CA"/>
        </w:rPr>
      </w:pPr>
    </w:p>
    <w:p w14:paraId="50B3CF08" w14:textId="77777777" w:rsidR="003B3F5F" w:rsidRDefault="003B3F5F">
      <w:pPr>
        <w:rPr>
          <w:rFonts w:ascii="Times New Roman" w:hAnsi="Times New Roman" w:cs="Times New Roman"/>
          <w:b/>
          <w:bCs/>
          <w:sz w:val="22"/>
          <w:szCs w:val="22"/>
          <w:lang w:val="en-CA"/>
        </w:rPr>
      </w:pPr>
    </w:p>
    <w:p w14:paraId="08204843" w14:textId="77777777" w:rsidR="00BF102D" w:rsidRDefault="00BF102D">
      <w:pPr>
        <w:rPr>
          <w:rFonts w:ascii="Times New Roman" w:hAnsi="Times New Roman" w:cs="Times New Roman"/>
          <w:b/>
          <w:bCs/>
          <w:sz w:val="22"/>
          <w:szCs w:val="22"/>
          <w:lang w:val="en-CA"/>
        </w:rPr>
      </w:pPr>
    </w:p>
    <w:p w14:paraId="7541BE48" w14:textId="09F5D809" w:rsidR="00C7531D" w:rsidRDefault="00DA473C">
      <w:pPr>
        <w:rPr>
          <w:rFonts w:ascii="Times New Roman" w:hAnsi="Times New Roman" w:cs="Times New Roman"/>
          <w:b/>
          <w:bCs/>
          <w:sz w:val="22"/>
          <w:szCs w:val="22"/>
          <w:lang w:val="en-C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CA"/>
        </w:rPr>
        <w:t>Explanation of the measurement strategy for table 1</w:t>
      </w:r>
    </w:p>
    <w:p w14:paraId="2F99BD4A" w14:textId="77777777" w:rsidR="00C7531D" w:rsidRDefault="00C7531D">
      <w:pPr>
        <w:rPr>
          <w:rFonts w:ascii="Times New Roman" w:hAnsi="Times New Roman" w:cs="Times New Roman"/>
          <w:sz w:val="22"/>
          <w:szCs w:val="22"/>
          <w:lang w:val="en-CA"/>
        </w:rPr>
      </w:pPr>
    </w:p>
    <w:p w14:paraId="32F19FA2" w14:textId="765E9869" w:rsidR="00BF102D" w:rsidRPr="00C7531D" w:rsidRDefault="00C7531D" w:rsidP="00DA473C">
      <w:pPr>
        <w:jc w:val="both"/>
        <w:rPr>
          <w:rFonts w:ascii="Times New Roman" w:hAnsi="Times New Roman" w:cs="Times New Roman"/>
          <w:sz w:val="22"/>
          <w:szCs w:val="22"/>
          <w:lang w:val="en-CA"/>
        </w:rPr>
        <w:sectPr w:rsidR="00BF102D" w:rsidRPr="00C7531D" w:rsidSect="00EB3619">
          <w:footerReference w:type="even" r:id="rId11"/>
          <w:footerReference w:type="default" r:id="rId12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1371F1">
        <w:rPr>
          <w:rFonts w:ascii="Times New Roman" w:hAnsi="Times New Roman" w:cs="Times New Roman"/>
          <w:sz w:val="22"/>
          <w:szCs w:val="22"/>
          <w:lang w:val="en-CA"/>
        </w:rPr>
        <w:t xml:space="preserve">In addition </w:t>
      </w:r>
      <w:r w:rsidR="0082039A">
        <w:rPr>
          <w:rFonts w:ascii="Times New Roman" w:hAnsi="Times New Roman" w:cs="Times New Roman"/>
          <w:sz w:val="22"/>
          <w:szCs w:val="22"/>
          <w:lang w:val="en-CA"/>
        </w:rPr>
        <w:t xml:space="preserve">to </w:t>
      </w:r>
      <w:r w:rsidRPr="001371F1">
        <w:rPr>
          <w:rFonts w:ascii="Times New Roman" w:hAnsi="Times New Roman" w:cs="Times New Roman"/>
          <w:sz w:val="22"/>
          <w:szCs w:val="22"/>
          <w:lang w:val="en-CA"/>
        </w:rPr>
        <w:t xml:space="preserve">replicating studies on the impact of fiscal consolidations on the probability of government turnover, we use the </w:t>
      </w:r>
      <w:r w:rsidR="00AD2EF7" w:rsidRPr="001371F1">
        <w:rPr>
          <w:rFonts w:ascii="Times New Roman" w:hAnsi="Times New Roman" w:cs="Times New Roman"/>
          <w:sz w:val="22"/>
          <w:szCs w:val="22"/>
          <w:lang w:val="en-CA"/>
        </w:rPr>
        <w:t xml:space="preserve">changes in </w:t>
      </w:r>
      <w:r w:rsidRPr="001371F1">
        <w:rPr>
          <w:rFonts w:ascii="Times New Roman" w:hAnsi="Times New Roman" w:cs="Times New Roman"/>
          <w:sz w:val="22"/>
          <w:szCs w:val="22"/>
          <w:lang w:val="en-CA"/>
        </w:rPr>
        <w:t xml:space="preserve">vote shares of the governing party(ies) </w:t>
      </w:r>
      <w:r w:rsidR="00AD2EF7" w:rsidRPr="001371F1">
        <w:rPr>
          <w:rFonts w:ascii="Times New Roman" w:hAnsi="Times New Roman" w:cs="Times New Roman"/>
          <w:sz w:val="22"/>
          <w:szCs w:val="22"/>
          <w:lang w:val="en-CA"/>
        </w:rPr>
        <w:t xml:space="preserve">from one election to the next </w:t>
      </w:r>
      <w:r w:rsidRPr="001371F1">
        <w:rPr>
          <w:rFonts w:ascii="Times New Roman" w:hAnsi="Times New Roman" w:cs="Times New Roman"/>
          <w:sz w:val="22"/>
          <w:szCs w:val="22"/>
          <w:lang w:val="en-CA"/>
        </w:rPr>
        <w:t>as a dependent variable</w:t>
      </w:r>
      <w:r w:rsidR="00AD2EF7" w:rsidRPr="001371F1">
        <w:rPr>
          <w:rFonts w:ascii="Times New Roman" w:hAnsi="Times New Roman" w:cs="Times New Roman"/>
          <w:sz w:val="22"/>
          <w:szCs w:val="22"/>
          <w:lang w:val="en-CA"/>
        </w:rPr>
        <w:t xml:space="preserve"> measuring a government’s electoral performance. Following the modelling strategy of two other papers using this dependent variable (Armingeon and Giger 2008; Grittersova et al. 2016), we move to a cabinet-level analysis because vote share changes are only observed once every election. </w:t>
      </w:r>
      <w:r w:rsidR="001371F1">
        <w:rPr>
          <w:rFonts w:ascii="Times New Roman" w:hAnsi="Times New Roman" w:cs="Times New Roman"/>
          <w:sz w:val="22"/>
          <w:szCs w:val="22"/>
          <w:lang w:val="en-CA"/>
        </w:rPr>
        <w:t>We follow the</w:t>
      </w:r>
      <w:r w:rsidR="00A51E9D" w:rsidRPr="001371F1">
        <w:rPr>
          <w:rFonts w:ascii="Times New Roman" w:hAnsi="Times New Roman" w:cs="Times New Roman"/>
          <w:sz w:val="22"/>
          <w:szCs w:val="22"/>
          <w:lang w:val="en-CA"/>
        </w:rPr>
        <w:t xml:space="preserve"> measurement strategy outlined in Grittersova et al. (2016)</w:t>
      </w:r>
      <w:r w:rsidR="001371F1">
        <w:rPr>
          <w:rFonts w:ascii="Times New Roman" w:hAnsi="Times New Roman" w:cs="Times New Roman"/>
          <w:sz w:val="22"/>
          <w:szCs w:val="22"/>
          <w:lang w:val="en-CA"/>
        </w:rPr>
        <w:t xml:space="preserve">. We </w:t>
      </w:r>
      <w:r w:rsidR="001371F1" w:rsidRPr="001371F1">
        <w:rPr>
          <w:rFonts w:ascii="Times New Roman" w:hAnsi="Times New Roman" w:cs="Times New Roman"/>
          <w:sz w:val="22"/>
          <w:szCs w:val="22"/>
          <w:lang w:val="en-CA"/>
        </w:rPr>
        <w:t>include the total amount of consolidation implement</w:t>
      </w:r>
      <w:r w:rsidR="00AC3610">
        <w:rPr>
          <w:rFonts w:ascii="Times New Roman" w:hAnsi="Times New Roman" w:cs="Times New Roman"/>
          <w:sz w:val="22"/>
          <w:szCs w:val="22"/>
          <w:lang w:val="en-CA"/>
        </w:rPr>
        <w:t>ed</w:t>
      </w:r>
      <w:r w:rsidR="001371F1" w:rsidRPr="001371F1">
        <w:rPr>
          <w:rFonts w:ascii="Times New Roman" w:hAnsi="Times New Roman" w:cs="Times New Roman"/>
          <w:sz w:val="22"/>
          <w:szCs w:val="22"/>
          <w:lang w:val="en-CA"/>
        </w:rPr>
        <w:t xml:space="preserve"> two years before the election, assuming that voters would not punish governments for </w:t>
      </w:r>
      <w:r w:rsidR="003B3F5F">
        <w:rPr>
          <w:rFonts w:ascii="Times New Roman" w:hAnsi="Times New Roman" w:cs="Times New Roman"/>
          <w:sz w:val="22"/>
          <w:szCs w:val="22"/>
          <w:lang w:val="en-CA"/>
        </w:rPr>
        <w:t xml:space="preserve">earlier </w:t>
      </w:r>
      <w:r w:rsidR="001371F1" w:rsidRPr="001371F1">
        <w:rPr>
          <w:rFonts w:ascii="Times New Roman" w:hAnsi="Times New Roman" w:cs="Times New Roman"/>
          <w:sz w:val="22"/>
          <w:szCs w:val="22"/>
          <w:lang w:val="en-CA"/>
        </w:rPr>
        <w:t>consolidations episodes. We use the average change in each of the control variables during a government mandate</w:t>
      </w:r>
      <w:r w:rsidR="001371F1">
        <w:rPr>
          <w:rFonts w:ascii="Times New Roman" w:hAnsi="Times New Roman" w:cs="Times New Roman"/>
          <w:sz w:val="22"/>
          <w:szCs w:val="22"/>
          <w:lang w:val="en-CA"/>
        </w:rPr>
        <w:t xml:space="preserve"> and control for the </w:t>
      </w:r>
      <w:r w:rsidR="001371F1" w:rsidRPr="001371F1">
        <w:rPr>
          <w:rFonts w:ascii="Times New Roman" w:hAnsi="Times New Roman" w:cs="Times New Roman"/>
          <w:sz w:val="22"/>
          <w:szCs w:val="22"/>
          <w:lang w:val="en-CA"/>
        </w:rPr>
        <w:t xml:space="preserve">government </w:t>
      </w:r>
      <w:r w:rsidR="003F3E09">
        <w:rPr>
          <w:rFonts w:ascii="Times New Roman" w:hAnsi="Times New Roman" w:cs="Times New Roman"/>
          <w:sz w:val="22"/>
          <w:szCs w:val="22"/>
          <w:lang w:val="en-CA"/>
        </w:rPr>
        <w:t xml:space="preserve">vote share </w:t>
      </w:r>
      <w:r w:rsidR="001371F1" w:rsidRPr="001371F1">
        <w:rPr>
          <w:rFonts w:ascii="Times New Roman" w:hAnsi="Times New Roman" w:cs="Times New Roman"/>
          <w:sz w:val="22"/>
          <w:szCs w:val="22"/>
          <w:lang w:val="en-CA"/>
        </w:rPr>
        <w:t>at the previous election.</w:t>
      </w:r>
      <w:r w:rsidR="001371F1">
        <w:rPr>
          <w:rFonts w:ascii="Times New Roman" w:hAnsi="Times New Roman" w:cs="Times New Roman"/>
          <w:sz w:val="22"/>
          <w:szCs w:val="22"/>
          <w:lang w:val="en-CA"/>
        </w:rPr>
        <w:t xml:space="preserve"> </w:t>
      </w:r>
    </w:p>
    <w:p w14:paraId="03DC333B" w14:textId="5A6590AC" w:rsidR="0093187A" w:rsidRDefault="0093187A">
      <w:pPr>
        <w:rPr>
          <w:rFonts w:ascii="Times New Roman" w:hAnsi="Times New Roman" w:cs="Times New Roman"/>
          <w:b/>
          <w:bCs/>
          <w:sz w:val="22"/>
          <w:szCs w:val="22"/>
          <w:lang w:val="en-CA"/>
        </w:rPr>
      </w:pPr>
      <w:r w:rsidRPr="00200E36">
        <w:rPr>
          <w:rFonts w:ascii="Times New Roman" w:hAnsi="Times New Roman" w:cs="Times New Roman"/>
          <w:b/>
          <w:bCs/>
          <w:sz w:val="22"/>
          <w:szCs w:val="22"/>
          <w:lang w:val="en-CA"/>
        </w:rPr>
        <w:lastRenderedPageBreak/>
        <w:t xml:space="preserve">Fixed effects models </w:t>
      </w:r>
      <w:r w:rsidR="000B3132" w:rsidRPr="00200E36">
        <w:rPr>
          <w:rFonts w:ascii="Times New Roman" w:hAnsi="Times New Roman" w:cs="Times New Roman"/>
          <w:b/>
          <w:bCs/>
          <w:sz w:val="22"/>
          <w:szCs w:val="22"/>
          <w:lang w:val="en-CA"/>
        </w:rPr>
        <w:t>replicating table 2.</w:t>
      </w:r>
    </w:p>
    <w:p w14:paraId="056BEFA7" w14:textId="1FC3F366" w:rsidR="00A36874" w:rsidRDefault="00A36874">
      <w:pPr>
        <w:rPr>
          <w:rFonts w:ascii="Times New Roman" w:hAnsi="Times New Roman" w:cs="Times New Roman"/>
          <w:b/>
          <w:bCs/>
          <w:sz w:val="22"/>
          <w:szCs w:val="22"/>
          <w:lang w:val="en-CA"/>
        </w:rPr>
      </w:pPr>
    </w:p>
    <w:p w14:paraId="3B5D5524" w14:textId="5D283D12" w:rsidR="00A36874" w:rsidRPr="00A36874" w:rsidRDefault="00A36874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A36874">
        <w:rPr>
          <w:rFonts w:ascii="Times New Roman" w:hAnsi="Times New Roman" w:cs="Times New Roman"/>
          <w:sz w:val="22"/>
          <w:szCs w:val="22"/>
          <w:lang w:val="en-CA"/>
        </w:rPr>
        <w:t>This table replicates table 2 from the paper but uses fixed effects instead of random effects.</w:t>
      </w:r>
      <w:r>
        <w:rPr>
          <w:rFonts w:ascii="Times New Roman" w:hAnsi="Times New Roman" w:cs="Times New Roman"/>
          <w:sz w:val="22"/>
          <w:szCs w:val="22"/>
          <w:lang w:val="en-CA"/>
        </w:rPr>
        <w:t xml:space="preserve"> The results remain qualitatively the same.</w:t>
      </w:r>
    </w:p>
    <w:p w14:paraId="5474CC06" w14:textId="77777777" w:rsidR="00A36874" w:rsidRPr="00200E36" w:rsidRDefault="00A36874">
      <w:pPr>
        <w:rPr>
          <w:rFonts w:ascii="Times New Roman" w:hAnsi="Times New Roman" w:cs="Times New Roman"/>
          <w:b/>
          <w:bCs/>
          <w:sz w:val="22"/>
          <w:szCs w:val="22"/>
          <w:lang w:val="en-CA"/>
        </w:rPr>
      </w:pPr>
    </w:p>
    <w:tbl>
      <w:tblPr>
        <w:tblW w:w="11666" w:type="dxa"/>
        <w:tblLook w:val="04A0" w:firstRow="1" w:lastRow="0" w:firstColumn="1" w:lastColumn="0" w:noHBand="0" w:noVBand="1"/>
      </w:tblPr>
      <w:tblGrid>
        <w:gridCol w:w="2386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0B3132" w:rsidRPr="00703683" w14:paraId="6B0C95EF" w14:textId="77777777" w:rsidTr="000B3132">
        <w:trPr>
          <w:trHeight w:val="280"/>
        </w:trPr>
        <w:tc>
          <w:tcPr>
            <w:tcW w:w="23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B705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0BD0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(1)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11F7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(2)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FDAF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(3)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EAF4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(4)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7E51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(5)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9D93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(6)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FA6D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(7)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0243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(8)</w:t>
            </w:r>
          </w:p>
        </w:tc>
      </w:tr>
      <w:tr w:rsidR="000B3132" w:rsidRPr="00703683" w14:paraId="34359707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EA9B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3505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CC31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69A9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6DE2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49BF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0BA3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5197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04D8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0B3132" w:rsidRPr="00703683" w14:paraId="077386C7" w14:textId="77777777" w:rsidTr="000B3132">
        <w:trPr>
          <w:trHeight w:val="280"/>
        </w:trPr>
        <w:tc>
          <w:tcPr>
            <w:tcW w:w="23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C91A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B0F4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578E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D767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44B6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E018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DACD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BB64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F21F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 </w:t>
            </w:r>
          </w:p>
        </w:tc>
      </w:tr>
      <w:tr w:rsidR="000B3132" w:rsidRPr="00703683" w14:paraId="6A48D000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28E7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Lagged dependent variable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10FD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0.752***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A97B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0.758***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98EC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0.751***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42EA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0.751***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F927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0.730***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279B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0.732***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485E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0.729***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F6B8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0.731***</w:t>
            </w:r>
          </w:p>
        </w:tc>
      </w:tr>
      <w:tr w:rsidR="000B3132" w:rsidRPr="00703683" w14:paraId="746D5F44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8411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4183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(0.0297)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2769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(0.0285)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EBC5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(0.0303)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AB85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(0.0306)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0E0C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(0.0324)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983C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(0.0316)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0047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(0.0328)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6C66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(0.0331)</w:t>
            </w:r>
          </w:p>
        </w:tc>
      </w:tr>
      <w:tr w:rsidR="000B3132" w:rsidRPr="00703683" w14:paraId="4C11B8E6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A838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Total consolidation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3133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-0.494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6EF6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898B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597D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C887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-0.0677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E51F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9654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D39B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0B3132" w:rsidRPr="00703683" w14:paraId="151C911D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365B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22FE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(0.292)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2D42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25A7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47FE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AA53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(0.289)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FDD4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9964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500C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0B3132" w:rsidRPr="00703683" w14:paraId="62049762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B439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total consolidation t-1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990A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-0.335*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0686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201D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E5C8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FD33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-0.498**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7BAC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4FC6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340D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0B3132" w:rsidRPr="00703683" w14:paraId="564393D6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8170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82AD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(0.187)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EA48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B847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59C1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1268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(0.204)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230F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B2EA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AB40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0B3132" w:rsidRPr="00703683" w14:paraId="4CF308A8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4D8F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Spending cuts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5877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AE43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-0.469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22DF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9962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0.0264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0C4F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0605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0.104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C70F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4ABE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0.392</w:t>
            </w:r>
          </w:p>
        </w:tc>
      </w:tr>
      <w:tr w:rsidR="000B3132" w:rsidRPr="00703683" w14:paraId="4D729EDB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E043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2BE6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1449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(0.398)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066A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FECD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(0.384)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E6B3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2DE8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(0.474)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DEB3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1C19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(0.481)</w:t>
            </w:r>
          </w:p>
        </w:tc>
      </w:tr>
      <w:tr w:rsidR="000B3132" w:rsidRPr="00703683" w14:paraId="6B29C4B7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251B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Spending cuts t-1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45B7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4D34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-0.655**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A7EC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CF04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-0.449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B4D5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03E7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-0.798***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9B6C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444B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-0.591*</w:t>
            </w:r>
          </w:p>
        </w:tc>
      </w:tr>
      <w:tr w:rsidR="000B3132" w:rsidRPr="00703683" w14:paraId="5FF0B101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87A8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1684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A1AA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(0.293)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DD30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3987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(0.388)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C7A2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78A6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(0.222)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8099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5702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(0.298)</w:t>
            </w:r>
          </w:p>
        </w:tc>
      </w:tr>
      <w:tr w:rsidR="000B3132" w:rsidRPr="00703683" w14:paraId="76F83C1A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65EE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Tax increases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2AE2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0E9F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C09B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-1.190**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C1CA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-1.122**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4729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D57F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4EAA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-0.509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AE52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-0.630</w:t>
            </w:r>
          </w:p>
        </w:tc>
      </w:tr>
      <w:tr w:rsidR="000B3132" w:rsidRPr="00703683" w14:paraId="60DCB0BD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BA1E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D05C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53DC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CAC2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(0.468)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31EB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(0.451)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DC1E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12E9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4E55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(0.432)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0870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(0.430)</w:t>
            </w:r>
          </w:p>
        </w:tc>
      </w:tr>
      <w:tr w:rsidR="000B3132" w:rsidRPr="00703683" w14:paraId="6BE55ED0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2CD6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Tax increases t-1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CFFA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998B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164D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-0.604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79A4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-0.293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511C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726B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4524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-0.758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60D9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-0.486</w:t>
            </w:r>
          </w:p>
        </w:tc>
      </w:tr>
      <w:tr w:rsidR="000B3132" w:rsidRPr="00703683" w14:paraId="2BB050D1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46AD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3117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1BD1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004F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(0.434)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B94E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(0.511)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C0AC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706E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2605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(0.568)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6388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(0.610)</w:t>
            </w:r>
          </w:p>
        </w:tc>
      </w:tr>
      <w:tr w:rsidR="000B3132" w:rsidRPr="00703683" w14:paraId="283DD118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37CC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Unemployment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46BB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418E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EBAF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5F3B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3F4A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-0.470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C018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-0.495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13C4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-0.444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FEC7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-0.481</w:t>
            </w:r>
          </w:p>
        </w:tc>
      </w:tr>
      <w:tr w:rsidR="000B3132" w:rsidRPr="00703683" w14:paraId="3633C306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440F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D216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5947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D6FA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1B07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85BB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(0.325)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1487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(0.325)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3E5B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(0.300)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158F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(0.321)</w:t>
            </w:r>
          </w:p>
        </w:tc>
      </w:tr>
      <w:tr w:rsidR="000B3132" w:rsidRPr="00703683" w14:paraId="19CDF585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A03B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Unemployment t-1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FC95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B16D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7F83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810F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E654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0.498*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021A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0.500*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7445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0.455*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1FDB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0.512*</w:t>
            </w:r>
          </w:p>
        </w:tc>
      </w:tr>
      <w:tr w:rsidR="000B3132" w:rsidRPr="00703683" w14:paraId="35BA8535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A498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1450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2AA4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866F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1448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04B1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(0.252)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E1C6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(0.250)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6336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(0.238)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F93D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(0.246)</w:t>
            </w:r>
          </w:p>
        </w:tc>
      </w:tr>
      <w:tr w:rsidR="000B3132" w:rsidRPr="00703683" w14:paraId="5E15E208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193F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GDP growth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5B4F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9BDF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A05E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EE6B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6884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0.470***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9480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0.474***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D8C7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0.471***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21CF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0.450***</w:t>
            </w:r>
          </w:p>
        </w:tc>
      </w:tr>
      <w:tr w:rsidR="000B3132" w:rsidRPr="00703683" w14:paraId="3F73D96E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32F6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C9FB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6805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4662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EAC7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B194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(0.0981)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5A13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(0.101)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668A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(0.0998)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9B98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(0.0952)</w:t>
            </w:r>
          </w:p>
        </w:tc>
      </w:tr>
      <w:tr w:rsidR="000B3132" w:rsidRPr="00703683" w14:paraId="7363FE22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282D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GDP growth t-1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30AD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06A8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4282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4925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FB11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-0.0116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80DC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-0.00894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4EEA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-0.0170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3C6D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-0.0110</w:t>
            </w:r>
          </w:p>
        </w:tc>
      </w:tr>
      <w:tr w:rsidR="000B3132" w:rsidRPr="00703683" w14:paraId="20021265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44B4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8C07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ABD5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C234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04BB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4A7B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(0.180)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4305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(0.182)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1E10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(0.179)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2069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(0.178)</w:t>
            </w:r>
          </w:p>
        </w:tc>
      </w:tr>
      <w:tr w:rsidR="000B3132" w:rsidRPr="00703683" w14:paraId="12BC1DB0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73A7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Inflation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81AB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5935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2929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DABD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847E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-0.168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84C1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-0.168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B5B0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-0.185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BEAF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-0.205</w:t>
            </w:r>
          </w:p>
        </w:tc>
      </w:tr>
      <w:tr w:rsidR="000B3132" w:rsidRPr="00703683" w14:paraId="704797AD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AD45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2316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AF80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974B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0844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E163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(0.156)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4DC9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(0.168)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E20C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(0.137)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D1E2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(0.156)</w:t>
            </w:r>
          </w:p>
        </w:tc>
      </w:tr>
      <w:tr w:rsidR="000B3132" w:rsidRPr="00703683" w14:paraId="67F1534D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BA1E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Inflation t-1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C486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2849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7008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B1F5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CFAF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0.151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3196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0.153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0622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0.173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1A80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0.197</w:t>
            </w:r>
          </w:p>
        </w:tc>
      </w:tr>
      <w:tr w:rsidR="000B3132" w:rsidRPr="00703683" w14:paraId="313D5336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90A8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5526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5DA9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E17A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F14B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9A44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(0.178)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229B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(0.199)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708D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(0.150)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7557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(0.181)</w:t>
            </w:r>
          </w:p>
        </w:tc>
      </w:tr>
      <w:tr w:rsidR="000B3132" w:rsidRPr="00703683" w14:paraId="071DFF18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18D5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lastRenderedPageBreak/>
              <w:t>Δ debt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7187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3330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AEE7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8E23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B3B9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0.0972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A655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0.0913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FAD3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0.0968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325E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0.0888</w:t>
            </w:r>
          </w:p>
        </w:tc>
      </w:tr>
      <w:tr w:rsidR="000B3132" w:rsidRPr="00703683" w14:paraId="317BA98D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DF03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3EC5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ECC0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4BC8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FCD0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AA80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(0.0704)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E2EA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(0.0680)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12DC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(0.0674)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5279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(0.0667)</w:t>
            </w:r>
          </w:p>
        </w:tc>
      </w:tr>
      <w:tr w:rsidR="000B3132" w:rsidRPr="00703683" w14:paraId="2FA9FC32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4589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Δ debt t-1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8544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5C24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B422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5B23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1EF0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-0.117**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B322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-0.124**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DFF1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-0.114**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EA0E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-0.112**</w:t>
            </w:r>
          </w:p>
        </w:tc>
      </w:tr>
      <w:tr w:rsidR="000B3132" w:rsidRPr="00703683" w14:paraId="6F0270A3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CD3A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F359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8FE6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39FB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1A56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5260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(0.0467)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ED64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(0.0474)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D7DD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(0.0500)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1E83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(0.0430)</w:t>
            </w:r>
          </w:p>
        </w:tc>
      </w:tr>
      <w:tr w:rsidR="000B3132" w:rsidRPr="00703683" w14:paraId="56A5BA62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1087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Log trade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F9DE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-2.159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5F90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-2.584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EDB5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-2.696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FCCB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-2.591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A886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-6.755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0009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-7.162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4491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-6.427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4CB5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-6.707</w:t>
            </w:r>
          </w:p>
        </w:tc>
      </w:tr>
      <w:tr w:rsidR="000B3132" w:rsidRPr="00703683" w14:paraId="0862A358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1A8B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1147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(4.931)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8EEA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(4.976)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4A5F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(4.804)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1486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(4.837)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415B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(5.939)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1062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(5.838)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4EA7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(5.989)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2859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(6.035)</w:t>
            </w:r>
          </w:p>
        </w:tc>
      </w:tr>
      <w:tr w:rsidR="000B3132" w:rsidRPr="00703683" w14:paraId="3E4FF12D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259C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Log trade t-1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A5D1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4.861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1C17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5.367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7E0A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5.073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1DBF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5.176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199A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9.571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1465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9.933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2C4C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9.098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55FF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9.518</w:t>
            </w:r>
          </w:p>
        </w:tc>
      </w:tr>
      <w:tr w:rsidR="000B3132" w:rsidRPr="00703683" w14:paraId="3115425F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2783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901A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(4.746)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022C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(4.739)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2BD2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(4.688)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0F53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(4.728)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BCB0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(5.741)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AE77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(5.661)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CEE4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(5.859)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DB7E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(5.906)</w:t>
            </w:r>
          </w:p>
        </w:tc>
      </w:tr>
      <w:tr w:rsidR="000B3132" w:rsidRPr="00703683" w14:paraId="5A832DDD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08F0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Years in office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8B2B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E25C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D96F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5462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-0.184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245F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1227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1A24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A4DB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-0.184</w:t>
            </w:r>
          </w:p>
        </w:tc>
      </w:tr>
      <w:tr w:rsidR="000B3132" w:rsidRPr="00703683" w14:paraId="1CF746AE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5BFC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D78B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(0.138)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D939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(0.143)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1E7E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(0.135)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D038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(0.135)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C557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(0.164)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8202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(0.164)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53AD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(0.163)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0299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(0.163)</w:t>
            </w:r>
          </w:p>
        </w:tc>
      </w:tr>
      <w:tr w:rsidR="000B3132" w:rsidRPr="00703683" w14:paraId="2E1BEFBF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434C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Years in office t-1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A7E4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0.0340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BFED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0.0325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C8BB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0.0347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7B6A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0.0251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3DF1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0.0902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1561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0.0896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E102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0.0972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0177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0.0817</w:t>
            </w:r>
          </w:p>
        </w:tc>
      </w:tr>
      <w:tr w:rsidR="000B3132" w:rsidRPr="00703683" w14:paraId="227F96E7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511A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F656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(0.140)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1B4F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(0.146)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7160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(0.139)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5B40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(0.138)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64F7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(0.148)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32D8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(0.147)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5D83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(0.149)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4AA6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(0.148)</w:t>
            </w:r>
          </w:p>
        </w:tc>
      </w:tr>
      <w:tr w:rsidR="000B3132" w:rsidRPr="00703683" w14:paraId="151F1E96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D22B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Election year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8294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2.704***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4221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2.767***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C813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2.682***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63CF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2.708***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CD0C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2.702***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1ED4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2.757***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59D8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2.674***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A178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2.708***</w:t>
            </w:r>
          </w:p>
        </w:tc>
      </w:tr>
      <w:tr w:rsidR="000B3132" w:rsidRPr="00703683" w14:paraId="682A4997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177D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FCB1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(0.735)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C373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(0.736)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18F8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(0.746)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EE95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(0.738)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BA26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(0.700)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0C8F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(0.710)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B219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(0.703)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555B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(0.699)</w:t>
            </w:r>
          </w:p>
        </w:tc>
      </w:tr>
      <w:tr w:rsidR="000B3132" w:rsidRPr="00703683" w14:paraId="02470F15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1546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Election year t-1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FC17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-0.0892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DA25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-0.0962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8478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-0.0209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F749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-0.0214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A9ED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AD0F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E89F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033D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-0.0950</w:t>
            </w:r>
          </w:p>
        </w:tc>
      </w:tr>
      <w:tr w:rsidR="000B3132" w:rsidRPr="00703683" w14:paraId="72BD7CAA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5CE3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5C84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(0.977)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FBA9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(1.006)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55B7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(0.959)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26B8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(0.970)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4780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(1.038)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A722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(1.049)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8E95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(1.011)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ABB1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(1.020)</w:t>
            </w:r>
          </w:p>
        </w:tc>
      </w:tr>
      <w:tr w:rsidR="000B3132" w:rsidRPr="00703683" w14:paraId="20B80824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7E04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Government composition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4DD3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0.592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607C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0.567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3DCD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0.600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C99F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0.583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C52F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0.883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6F9F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0.836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EE8B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0.877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24C9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0.868</w:t>
            </w:r>
          </w:p>
        </w:tc>
      </w:tr>
      <w:tr w:rsidR="000B3132" w:rsidRPr="00703683" w14:paraId="43F3550E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0DBE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0280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(0.841)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9F1F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(0.851)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520F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(0.833)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F593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(0.851)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C014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(0.866)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712C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(0.891)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5769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(0.859)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3A59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(0.881)</w:t>
            </w:r>
          </w:p>
        </w:tc>
      </w:tr>
      <w:tr w:rsidR="000B3132" w:rsidRPr="00703683" w14:paraId="05267F2C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C310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Government composition t-1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39DF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-0.522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D98F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-0.520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099A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-0.553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6429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-0.531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659E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-0.397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2762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-0.361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8AEF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-0.415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AC5E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-0.403</w:t>
            </w:r>
          </w:p>
        </w:tc>
      </w:tr>
      <w:tr w:rsidR="000B3132" w:rsidRPr="00703683" w14:paraId="1E77BE2E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797A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0388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(0.609)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3374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(0.610)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A1B7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(0.643)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A246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(0.635)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4B7F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(0.699)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087A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(0.705)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F2C9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(0.705)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C0EA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(0.724)</w:t>
            </w:r>
          </w:p>
        </w:tc>
      </w:tr>
      <w:tr w:rsidR="000B3132" w:rsidRPr="00703683" w14:paraId="57E2283D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B723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Right-left index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9E0B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0.0518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EE3A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0.0489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0600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0.0507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3387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0.0500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6989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0.0327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55AF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0.0305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D4CA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0.0348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4EC1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0.0318</w:t>
            </w:r>
          </w:p>
        </w:tc>
      </w:tr>
      <w:tr w:rsidR="000B3132" w:rsidRPr="00703683" w14:paraId="37F2F188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9C1B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7986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(0.0311)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C89F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(0.0303)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456A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(0.0318)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E28E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(0.0326)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1C8E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(0.0260)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4B8C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(0.0266)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4381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(0.0246)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7943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(0.0265)</w:t>
            </w:r>
          </w:p>
        </w:tc>
      </w:tr>
      <w:tr w:rsidR="000B3132" w:rsidRPr="00703683" w14:paraId="76BAA88B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C159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Right-left index t-1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7674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0.00684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3B8D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0.01000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49FD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0.00598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70D7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0.00866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A89F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0.00387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9E4D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0.00505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AED6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0.001000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30CA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0.00496</w:t>
            </w:r>
          </w:p>
        </w:tc>
      </w:tr>
      <w:tr w:rsidR="000B3132" w:rsidRPr="00703683" w14:paraId="0B9ADB08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E3AA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E4AC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(0.0346)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7452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(0.0343)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65D3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(0.0355)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2932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(0.0368)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18F7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(0.0292)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7F3D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(0.0300)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3A40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(0.0276)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8318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(0.0293)</w:t>
            </w:r>
          </w:p>
        </w:tc>
      </w:tr>
      <w:tr w:rsidR="000B3132" w:rsidRPr="00703683" w14:paraId="17A60AAD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74EF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Government turnover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C30C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2.375**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957A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2.363**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354C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2.303**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857E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2.331**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074B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2.285**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9DE4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2.312**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FEE9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2.266**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E445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2.267**</w:t>
            </w:r>
          </w:p>
        </w:tc>
      </w:tr>
      <w:tr w:rsidR="000B3132" w:rsidRPr="00703683" w14:paraId="32954B78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5FFE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889C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(0.998)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B3BE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(0.975)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6F85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(1.005)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FF95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(0.988)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CECB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(0.968)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2F84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(0.939)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B8C4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(1.019)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FA91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(0.988)</w:t>
            </w:r>
          </w:p>
        </w:tc>
      </w:tr>
      <w:tr w:rsidR="000B3132" w:rsidRPr="00703683" w14:paraId="593D2639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0D51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Government turnover t-1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A448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3.568**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3F6A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3.515**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96A8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3.485**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7A01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3.560**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6370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3.294*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88E4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3.263*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7E6D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3.242*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EF24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3.255*</w:t>
            </w:r>
          </w:p>
        </w:tc>
      </w:tr>
      <w:tr w:rsidR="000B3132" w:rsidRPr="00703683" w14:paraId="0E94EDE4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3300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35C2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(1.302)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1425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(1.346)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798D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(1.232)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F335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(1.285)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220D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(1.548)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38D9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(1.551)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946F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(1.514)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1143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(1.533)</w:t>
            </w:r>
          </w:p>
        </w:tc>
      </w:tr>
      <w:tr w:rsidR="000B3132" w:rsidRPr="00703683" w14:paraId="33FB2855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004D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Constant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38FE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-1.068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2E25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-1.754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2DAC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0.191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1B1E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-0.561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1CA7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-2.143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E278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-1.975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1172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-1.457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4C5B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-2.165</w:t>
            </w:r>
          </w:p>
        </w:tc>
      </w:tr>
      <w:tr w:rsidR="000B3132" w:rsidRPr="00703683" w14:paraId="0D8AB559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2696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1CEF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(8.129)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F1DC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(7.804)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7A7D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(8.448)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C0BC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(8.222)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D666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(10.27)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C253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(10.10)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B7A1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(10.31)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6E48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(10.19)</w:t>
            </w:r>
          </w:p>
        </w:tc>
      </w:tr>
      <w:tr w:rsidR="000B3132" w:rsidRPr="00703683" w14:paraId="174768AC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CE1B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B32E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CF96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B291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2EEE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3A86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0D42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6A02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77B7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0B3132" w:rsidRPr="00703683" w14:paraId="4E6AC886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4303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Observations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8A3A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452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BF7E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452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183E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452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E9B4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452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566F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433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DB6F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433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F581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433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614E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433</w:t>
            </w:r>
          </w:p>
        </w:tc>
      </w:tr>
      <w:tr w:rsidR="000B3132" w:rsidRPr="00703683" w14:paraId="56F7627B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98B0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R-squared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9A3C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0.615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EB34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0.612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0A06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0.616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63BE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0.617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4885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0.638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B749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0.637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425D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0.638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B145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0.639</w:t>
            </w:r>
          </w:p>
        </w:tc>
      </w:tr>
      <w:tr w:rsidR="000B3132" w:rsidRPr="00703683" w14:paraId="4E0F93AB" w14:textId="77777777" w:rsidTr="000B3132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89EE49" w14:textId="2DD05F4C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lastRenderedPageBreak/>
              <w:t xml:space="preserve">Number of </w:t>
            </w:r>
            <w:r w:rsidR="00654C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countries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874C0D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7D46FE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1967ED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B4A6EC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746B94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4FB6F4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2A6C3B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86F91C" w14:textId="77777777" w:rsidR="000B3132" w:rsidRPr="00703683" w:rsidRDefault="000B3132" w:rsidP="000B3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14</w:t>
            </w:r>
          </w:p>
        </w:tc>
      </w:tr>
      <w:tr w:rsidR="000B3132" w:rsidRPr="00703683" w14:paraId="5CC14DB8" w14:textId="77777777" w:rsidTr="000B3132">
        <w:trPr>
          <w:trHeight w:val="280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E18F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Robust standard errors in parentheses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0E02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1B26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5206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AC7C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F814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C161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5CDC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0B3132" w:rsidRPr="00703683" w14:paraId="34CFC9C6" w14:textId="77777777" w:rsidTr="000B3132">
        <w:trPr>
          <w:trHeight w:val="280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77F6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703683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*** p&lt;0.01, ** p&lt;0.05, * p&lt;0.1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1CB0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83BF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214E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B542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6BA3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0AB5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87F7" w14:textId="77777777" w:rsidR="000B3132" w:rsidRPr="00703683" w:rsidRDefault="000B3132" w:rsidP="000B313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7E568A" w:rsidRPr="007E568A" w14:paraId="7B655C06" w14:textId="77777777" w:rsidTr="007D07FC">
        <w:trPr>
          <w:trHeight w:val="280"/>
        </w:trPr>
        <w:tc>
          <w:tcPr>
            <w:tcW w:w="116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9C07" w14:textId="77777777" w:rsidR="00A36874" w:rsidRDefault="00A36874" w:rsidP="007E568A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CA"/>
              </w:rPr>
            </w:pPr>
          </w:p>
          <w:p w14:paraId="1E0681DB" w14:textId="77777777" w:rsidR="00A36874" w:rsidRDefault="00A36874" w:rsidP="007E568A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CA"/>
              </w:rPr>
            </w:pPr>
          </w:p>
          <w:p w14:paraId="00CCB66A" w14:textId="2E7372C3" w:rsidR="007E568A" w:rsidRPr="003B3F5F" w:rsidRDefault="007E568A" w:rsidP="007E568A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CA"/>
              </w:rPr>
            </w:pPr>
            <w:r w:rsidRPr="003B3F5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CA"/>
              </w:rPr>
              <w:t>Models replicating table 2, but without consolidations at T-0</w:t>
            </w:r>
          </w:p>
          <w:p w14:paraId="5B37EA3E" w14:textId="77777777" w:rsidR="007E568A" w:rsidRDefault="007E568A" w:rsidP="007E568A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  <w:p w14:paraId="3A6B3555" w14:textId="4D82A0D8" w:rsidR="00A36874" w:rsidRDefault="00A6724E" w:rsidP="007E568A">
            <w:pPr>
              <w:rPr>
                <w:rFonts w:ascii="Times New Roman" w:eastAsia="Times New Roman" w:hAnsi="Times New Roman" w:cs="Times New Roman"/>
                <w:lang w:val="en-CA"/>
              </w:rPr>
            </w:pPr>
            <w:r>
              <w:rPr>
                <w:rFonts w:ascii="Times New Roman" w:eastAsia="Times New Roman" w:hAnsi="Times New Roman" w:cs="Times New Roman"/>
                <w:lang w:val="en-CA"/>
              </w:rPr>
              <w:t xml:space="preserve">This table replicates table 2, but do not include consolidations at time T-0, to show that the effect of consolidation </w:t>
            </w:r>
            <w:proofErr w:type="gramStart"/>
            <w:r>
              <w:rPr>
                <w:rFonts w:ascii="Times New Roman" w:eastAsia="Times New Roman" w:hAnsi="Times New Roman" w:cs="Times New Roman"/>
                <w:lang w:val="en-CA"/>
              </w:rPr>
              <w:t>are</w:t>
            </w:r>
            <w:proofErr w:type="gramEnd"/>
            <w:r>
              <w:rPr>
                <w:rFonts w:ascii="Times New Roman" w:eastAsia="Times New Roman" w:hAnsi="Times New Roman" w:cs="Times New Roman"/>
                <w:lang w:val="en-CA"/>
              </w:rPr>
              <w:t xml:space="preserve"> significant also in a dead start model and do not depend on the choice of the lag structure.</w:t>
            </w:r>
          </w:p>
          <w:p w14:paraId="7D889266" w14:textId="0B223580" w:rsidR="00A36874" w:rsidRPr="007E568A" w:rsidRDefault="00A36874" w:rsidP="007E568A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7E568A" w:rsidRPr="007E568A" w14:paraId="656E1C84" w14:textId="77777777" w:rsidTr="007E568A">
        <w:trPr>
          <w:trHeight w:val="280"/>
        </w:trPr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3BE6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F225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(1)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5E91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(2)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B472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(3)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5619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(4)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F15E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(5)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9FC1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(6)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8BA7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(7)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45A8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(8)</w:t>
            </w:r>
          </w:p>
        </w:tc>
      </w:tr>
      <w:tr w:rsidR="007E568A" w:rsidRPr="007E568A" w14:paraId="7CE0EAA5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CFAA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9330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5787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ADA3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06A6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1699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D501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7715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33E0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7E568A" w:rsidRPr="007E568A" w14:paraId="2C9ABAD9" w14:textId="77777777" w:rsidTr="007E568A">
        <w:trPr>
          <w:trHeight w:val="280"/>
        </w:trPr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A6B6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8E2D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2A10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A038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80A7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4755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585B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1AE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6A03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 </w:t>
            </w:r>
          </w:p>
        </w:tc>
      </w:tr>
      <w:tr w:rsidR="007E568A" w:rsidRPr="007E568A" w14:paraId="101CE6D0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F4CB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Lagged dependent variable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E10B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0.754***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3FE8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0.760***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8A1E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0.754***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446B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0.753***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7418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0.731***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918A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0.734***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2649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0.729***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9F79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0.731***</w:t>
            </w:r>
          </w:p>
        </w:tc>
      </w:tr>
      <w:tr w:rsidR="007E568A" w:rsidRPr="007E568A" w14:paraId="47A0A657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64CC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B889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(0.0292)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0BC1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(0.0283)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B67F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(0.0291)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CF45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(0.0291)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7F8E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(0.0332)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3D3C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(0.0327)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E7AF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(0.0329)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09F4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(0.0333)</w:t>
            </w:r>
          </w:p>
        </w:tc>
      </w:tr>
      <w:tr w:rsidR="007E568A" w:rsidRPr="007E568A" w14:paraId="79D1079C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2321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Total consolidation t-1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ACC9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-0.648***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8858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4C0B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250E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4282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-0.535**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4674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7FB9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9CCC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7E568A" w:rsidRPr="007E568A" w14:paraId="58AFFB2A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F324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9581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(0.232)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3F24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3AA5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9B5F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2D4E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(0.260)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E01A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2C52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2EB0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7E568A" w:rsidRPr="007E568A" w14:paraId="6E1B0E50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634E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Spending cuts t-1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9A81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0161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-0.938**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E11F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37E8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-0.574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8A5D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C569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-0.734**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2CC0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B943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-0.449</w:t>
            </w:r>
          </w:p>
        </w:tc>
      </w:tr>
      <w:tr w:rsidR="007E568A" w:rsidRPr="007E568A" w14:paraId="69D45E93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FE23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4DEC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1BF8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(0.365)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CCA4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775B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(0.395)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DEB5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C14F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(0.345)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E1C6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15F7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(0.308)</w:t>
            </w:r>
          </w:p>
        </w:tc>
      </w:tr>
      <w:tr w:rsidR="007E568A" w:rsidRPr="007E568A" w14:paraId="0940BEFE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0FF0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Tax increases t-1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1832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FDE0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2755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-1.213**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C11F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-0.749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828C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2F38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42A5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-0.979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A2D7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-0.654</w:t>
            </w:r>
          </w:p>
        </w:tc>
      </w:tr>
      <w:tr w:rsidR="007E568A" w:rsidRPr="007E568A" w14:paraId="0AD6BA06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C22F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497C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EDAB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87DE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(0.486)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4C2E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(0.540)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565B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AC22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94B5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(0.601)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9D13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(0.619)</w:t>
            </w:r>
          </w:p>
        </w:tc>
      </w:tr>
      <w:tr w:rsidR="007E568A" w:rsidRPr="007E568A" w14:paraId="720BCE45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1CAB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Unemployment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B792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21A6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AD53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490D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7A53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-0.520*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8CB6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-0.516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CB53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-0.527*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2B9B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-0.522*</w:t>
            </w:r>
          </w:p>
        </w:tc>
      </w:tr>
      <w:tr w:rsidR="007E568A" w:rsidRPr="007E568A" w14:paraId="35A8B3A6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1BA9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0021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D4BE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664C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5351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1EDF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(0.311)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1FB0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(0.316)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7223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(0.313)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8255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(0.311)</w:t>
            </w:r>
          </w:p>
        </w:tc>
      </w:tr>
      <w:tr w:rsidR="007E568A" w:rsidRPr="007E568A" w14:paraId="65571913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A6B2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Unemployment t-1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C7C4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8085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51C0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E7B9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8E29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0.534**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7F3A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0.508**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C717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0.518**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69DE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0.536**</w:t>
            </w:r>
          </w:p>
        </w:tc>
      </w:tr>
      <w:tr w:rsidR="007E568A" w:rsidRPr="007E568A" w14:paraId="1EC415B7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ED48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CBE8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5A93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8454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7CEE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9E62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(0.244)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1355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(0.248)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75EE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(0.250)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DAF8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(0.246)</w:t>
            </w:r>
          </w:p>
        </w:tc>
      </w:tr>
      <w:tr w:rsidR="007E568A" w:rsidRPr="007E568A" w14:paraId="40F7C639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DB1B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GDP growth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7B8B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4A14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BF27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0580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BA2B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0.439***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E614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0.445***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5AAB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0.452***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1DF2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0.440***</w:t>
            </w:r>
          </w:p>
        </w:tc>
      </w:tr>
      <w:tr w:rsidR="007E568A" w:rsidRPr="007E568A" w14:paraId="0DD53E27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558A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915C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4492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8031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8189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4547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(0.107)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A3D7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(0.112)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29EC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(0.106)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3320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(0.107)</w:t>
            </w:r>
          </w:p>
        </w:tc>
      </w:tr>
      <w:tr w:rsidR="007E568A" w:rsidRPr="007E568A" w14:paraId="7D458A17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0462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GDP growth t-1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EF81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01C6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07EF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3117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3452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-0.0422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F605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-0.0321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FB8D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-0.0620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32FA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-0.0457</w:t>
            </w:r>
          </w:p>
        </w:tc>
      </w:tr>
      <w:tr w:rsidR="007E568A" w:rsidRPr="007E568A" w14:paraId="2B4A5158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9C6C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D60C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32BF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9F8E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E014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42C5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(0.187)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61CC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(0.191)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ADF8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(0.188)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DB49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(0.185)</w:t>
            </w:r>
          </w:p>
        </w:tc>
      </w:tr>
      <w:tr w:rsidR="007E568A" w:rsidRPr="007E568A" w14:paraId="211E11EA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5DEE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Inflation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5FCF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54B3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4254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4830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31B5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-0.189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9F2E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-0.184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8AEA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-0.193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1FBA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-0.191</w:t>
            </w:r>
          </w:p>
        </w:tc>
      </w:tr>
      <w:tr w:rsidR="007E568A" w:rsidRPr="007E568A" w14:paraId="3517CB61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14B4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F6EF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1BD9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1266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A03A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D4B7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(0.175)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763B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(0.178)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71C0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(0.170)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B50F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(0.176)</w:t>
            </w:r>
          </w:p>
        </w:tc>
      </w:tr>
      <w:tr w:rsidR="007E568A" w:rsidRPr="007E568A" w14:paraId="550BA4DA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144A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Inflation t-1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42BC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F6D8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A06C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34E9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BB23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0.118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2E84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0.112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6115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0.125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4861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0.120</w:t>
            </w:r>
          </w:p>
        </w:tc>
      </w:tr>
      <w:tr w:rsidR="007E568A" w:rsidRPr="007E568A" w14:paraId="3186E356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2386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ADD5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C2A1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9D3C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05A6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9F14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(0.173)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79C9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(0.178)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04B6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(0.164)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9B26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(0.174)</w:t>
            </w:r>
          </w:p>
        </w:tc>
      </w:tr>
      <w:tr w:rsidR="007E568A" w:rsidRPr="007E568A" w14:paraId="20886EBF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2E9D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lastRenderedPageBreak/>
              <w:t>Δ debt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04BF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C059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C935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DCE9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846C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0.101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22C3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0.0976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72AC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0.103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1689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0.101</w:t>
            </w:r>
          </w:p>
        </w:tc>
      </w:tr>
      <w:tr w:rsidR="007E568A" w:rsidRPr="007E568A" w14:paraId="54A1515F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5B39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5845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429B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11BF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9345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9177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(0.0703)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3C14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(0.0700)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876F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(0.0676)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81B1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(0.0702)</w:t>
            </w:r>
          </w:p>
        </w:tc>
      </w:tr>
      <w:tr w:rsidR="007E568A" w:rsidRPr="007E568A" w14:paraId="56F6838F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7CE8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Δ debt t-1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B07D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8DF0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2AFF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4763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7721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-0.120**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28D7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-0.120**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CA0C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-0.132**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17A1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-0.122**</w:t>
            </w:r>
          </w:p>
        </w:tc>
      </w:tr>
      <w:tr w:rsidR="007E568A" w:rsidRPr="007E568A" w14:paraId="0B4C8B15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D965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C65F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D359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D6F2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E50C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BCC0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(0.0562)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DEDB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(0.0522)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2784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(0.0617)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B005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(0.0549)</w:t>
            </w:r>
          </w:p>
        </w:tc>
      </w:tr>
      <w:tr w:rsidR="007E568A" w:rsidRPr="007E568A" w14:paraId="563C04D2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6140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Log trade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85B3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-2.407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1FBB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-2.486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44DD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-2.606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BCE9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-2.414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FC66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-6.174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D962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-6.265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2FB0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-6.282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376B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-6.174</w:t>
            </w:r>
          </w:p>
        </w:tc>
      </w:tr>
      <w:tr w:rsidR="007E568A" w:rsidRPr="007E568A" w14:paraId="5F4A05E8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DD5B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C992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(4.940)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B3E4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(4.951)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011A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(4.878)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2307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(4.921)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A28E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(5.461)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E159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(5.415)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0346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(5.485)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7CA7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(5.470)</w:t>
            </w:r>
          </w:p>
        </w:tc>
      </w:tr>
      <w:tr w:rsidR="007E568A" w:rsidRPr="007E568A" w14:paraId="1D16B17D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7D0F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Log trade t-1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71E1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6.678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9EE0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6.887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E4EB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6.691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FAA5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6.660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3560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10.18*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8EDF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10.30*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F7EC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10.02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FCC4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10.14*</w:t>
            </w:r>
          </w:p>
        </w:tc>
      </w:tr>
      <w:tr w:rsidR="007E568A" w:rsidRPr="007E568A" w14:paraId="561EF651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CA6D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6C0C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(4.780)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E7E5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(4.779)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065E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(4.793)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3D9B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(4.808)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4E15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(5.995)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4F54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(5.982)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F8DE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(6.131)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550E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(6.037)</w:t>
            </w:r>
          </w:p>
        </w:tc>
      </w:tr>
      <w:tr w:rsidR="007E568A" w:rsidRPr="007E568A" w14:paraId="5FB56DE6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618E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Years in office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8683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-0.176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283B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-0.176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34B3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-0.174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ABFE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-0.176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F794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-0.179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CD77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-0.182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533B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-0.178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C1CB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-0.178</w:t>
            </w:r>
          </w:p>
        </w:tc>
      </w:tr>
      <w:tr w:rsidR="007E568A" w:rsidRPr="007E568A" w14:paraId="2B57ACB9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F2A3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2823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(0.148)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A726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(0.149)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2DF3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(0.149)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B89D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(0.148)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4A1C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(0.166)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DD60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(0.166)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9778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(0.166)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D081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(0.167)</w:t>
            </w:r>
          </w:p>
        </w:tc>
      </w:tr>
      <w:tr w:rsidR="007E568A" w:rsidRPr="007E568A" w14:paraId="1461ED58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F019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Years in office t-1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E672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0.0272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6474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0.0304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8318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0.0397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F819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0.0278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C2C1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0.0839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40A0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0.0878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2425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0.0911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A078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0.0842</w:t>
            </w:r>
          </w:p>
        </w:tc>
      </w:tr>
      <w:tr w:rsidR="007E568A" w:rsidRPr="007E568A" w14:paraId="3E07C5B3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02F7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87D5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(0.161)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E8DE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(0.159)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7B78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(0.161)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76DF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(0.161)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1F67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(0.152)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9CD2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(0.150)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D511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(0.153)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D089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(0.152)</w:t>
            </w:r>
          </w:p>
        </w:tc>
      </w:tr>
      <w:tr w:rsidR="007E568A" w:rsidRPr="007E568A" w14:paraId="24D8114B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4B21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Election year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13E5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2.684***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090A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2.759***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9E19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2.636***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FA47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2.673***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3D6D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2.693***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4AF4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2.747***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29A3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2.650***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387E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2.681***</w:t>
            </w:r>
          </w:p>
        </w:tc>
      </w:tr>
      <w:tr w:rsidR="007E568A" w:rsidRPr="007E568A" w14:paraId="34E1960B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23B8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0989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(0.752)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8F61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(0.760)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686F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(0.767)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4F41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(0.760)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3DCA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(0.711)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4BAB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(0.725)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BE6E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(0.716)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5D9A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(0.713)</w:t>
            </w:r>
          </w:p>
        </w:tc>
      </w:tr>
      <w:tr w:rsidR="007E568A" w:rsidRPr="007E568A" w14:paraId="19691EAC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E735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Election year t-1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B379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-0.156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ECEB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-0.111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C38B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-0.171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92F9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-0.161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2E60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-0.182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037F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-0.137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0B2E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-0.193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E112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-0.188</w:t>
            </w:r>
          </w:p>
        </w:tc>
      </w:tr>
      <w:tr w:rsidR="007E568A" w:rsidRPr="007E568A" w14:paraId="260E564A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69A0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0CDC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(1.001)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1B2E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(1.015)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8397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(0.983)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DD18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(0.987)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C61F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(1.063)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7C62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(1.070)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B5BB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(1.047)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CA23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(1.053)</w:t>
            </w:r>
          </w:p>
        </w:tc>
      </w:tr>
      <w:tr w:rsidR="007E568A" w:rsidRPr="007E568A" w14:paraId="6024121B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29DB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Government composition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694A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0.752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EE3C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0.686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5008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0.799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33C0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0.761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155B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0.934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1E47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0.874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3194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0.964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E5E9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0.945</w:t>
            </w:r>
          </w:p>
        </w:tc>
      </w:tr>
      <w:tr w:rsidR="007E568A" w:rsidRPr="007E568A" w14:paraId="47D2DF4C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7650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D977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(0.863)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947A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(0.873)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FC0B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(0.852)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DECE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(0.870)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5024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(0.891)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3D9B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(0.906)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5CEA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(0.884)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75B7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(0.891)</w:t>
            </w:r>
          </w:p>
        </w:tc>
      </w:tr>
      <w:tr w:rsidR="007E568A" w:rsidRPr="007E568A" w14:paraId="22507076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3D13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Government composition t-1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F344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-0.533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712A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-0.498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1CAB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-0.573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9FBD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-0.539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0AC6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-0.389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2418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-0.345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A893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-0.425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F2FB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-0.399</w:t>
            </w:r>
          </w:p>
        </w:tc>
      </w:tr>
      <w:tr w:rsidR="007E568A" w:rsidRPr="007E568A" w14:paraId="4677D6FB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1A37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5E0F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(0.636)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5A7E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(0.636)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539E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(0.650)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7E95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(0.642)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FE15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(0.718)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514E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(0.718)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09D5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(0.712)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0AD2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(0.718)</w:t>
            </w:r>
          </w:p>
        </w:tc>
      </w:tr>
      <w:tr w:rsidR="007E568A" w:rsidRPr="007E568A" w14:paraId="18849058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39F7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Right-left index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B050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0.0429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E95F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0.0417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A22E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0.0432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68D1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0.0431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1D47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0.0308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F04D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0.0303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AD10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0.0314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18A6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0.0310</w:t>
            </w:r>
          </w:p>
        </w:tc>
      </w:tr>
      <w:tr w:rsidR="007E568A" w:rsidRPr="007E568A" w14:paraId="59D3F170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3325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EE9A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(0.0311)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73D2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(0.0307)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0C04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(0.0316)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CF4B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(0.0315)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41EB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(0.0253)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ADC2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(0.0252)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E011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(0.0251)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B7EE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(0.0255)</w:t>
            </w:r>
          </w:p>
        </w:tc>
      </w:tr>
      <w:tr w:rsidR="007E568A" w:rsidRPr="007E568A" w14:paraId="3C89C648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3692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Right-left index t-1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538F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0.0130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6A97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0.0141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144C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0.00978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8198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0.0127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AA31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0.00379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EAF2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0.00348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3B40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0.00187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F153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0.00361</w:t>
            </w:r>
          </w:p>
        </w:tc>
      </w:tr>
      <w:tr w:rsidR="007E568A" w:rsidRPr="007E568A" w14:paraId="6570E513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9CCA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A2AF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(0.0349)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0157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(0.0347)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6ADA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(0.0353)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1DF7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(0.0361)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4E71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(0.0291)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2A5B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(0.0292)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AEB7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(0.0283)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6B29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(0.0293)</w:t>
            </w:r>
          </w:p>
        </w:tc>
      </w:tr>
      <w:tr w:rsidR="007E568A" w:rsidRPr="007E568A" w14:paraId="27AFC38D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FA4C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Government turnover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FAC5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2.228**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2424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2.259**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6B59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2.168**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E8E2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2.220**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FEBD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2.287**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944B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2.332**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CFD9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2.244**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8011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2.276**</w:t>
            </w:r>
          </w:p>
        </w:tc>
      </w:tr>
      <w:tr w:rsidR="007E568A" w:rsidRPr="007E568A" w14:paraId="193A7FCE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B49E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D44F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(1.008)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BC67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(0.998)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B63B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(1.029)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9DC0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(1.028)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7795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(0.991)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8F1C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(0.973)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E1EF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(1.030)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99F0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(1.014)</w:t>
            </w:r>
          </w:p>
        </w:tc>
      </w:tr>
      <w:tr w:rsidR="007E568A" w:rsidRPr="007E568A" w14:paraId="38456FE4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BFB9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Government turnover t-1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1DC2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3.423**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7790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3.438**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B239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3.294***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DF30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3.413**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3445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3.346**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EA0B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3.347**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A3ED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3.264**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A5B9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3.336**</w:t>
            </w:r>
          </w:p>
        </w:tc>
      </w:tr>
      <w:tr w:rsidR="007E568A" w:rsidRPr="007E568A" w14:paraId="25F29ADF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54D2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D1B5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(1.333)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E94B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(1.360)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A23C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(1.277)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B648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(1.351)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C3DD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(1.571)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0212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(1.576)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786E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(1.556)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F299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(1.582)</w:t>
            </w:r>
          </w:p>
        </w:tc>
      </w:tr>
      <w:tr w:rsidR="007E568A" w:rsidRPr="007E568A" w14:paraId="46F8C4A7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14D5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Constant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1595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72.63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C5AE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74.51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61CD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79.30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DB27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72.94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2D61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76.73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9D49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78.14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B218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76.25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FB83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76.50</w:t>
            </w:r>
          </w:p>
        </w:tc>
      </w:tr>
      <w:tr w:rsidR="007E568A" w:rsidRPr="007E568A" w14:paraId="626F7A5A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225E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58F9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(57.69)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26B8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(58.85)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27A8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(56.20)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FE18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(57.95)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C30D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(100.6)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9C84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(102.3)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6924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(99.77)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6736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(100.3)</w:t>
            </w:r>
          </w:p>
        </w:tc>
      </w:tr>
      <w:tr w:rsidR="007E568A" w:rsidRPr="007E568A" w14:paraId="0DA7BF6F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B293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901C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72CB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8985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A0DD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0731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B286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A2B6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E666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7E568A" w:rsidRPr="007E568A" w14:paraId="4C8BC1EB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B9C5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Observations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C076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452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5F7D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452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F21C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452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02BF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452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4CC6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433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3DA4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433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A433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433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40BF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433</w:t>
            </w:r>
          </w:p>
        </w:tc>
      </w:tr>
      <w:tr w:rsidR="007E568A" w:rsidRPr="007E568A" w14:paraId="1678A67E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28BE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lastRenderedPageBreak/>
              <w:t>R-squared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C8BA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8141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73DB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58D9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50D3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A03F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5272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DD26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7E568A" w:rsidRPr="007E568A" w14:paraId="1BF923FB" w14:textId="77777777" w:rsidTr="007E568A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7DF48" w14:textId="6863EBD0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Number of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countries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D86C7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84DEB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2111C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6FF65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07D37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08851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A3D07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418D3" w14:textId="77777777" w:rsidR="007E568A" w:rsidRPr="007E568A" w:rsidRDefault="007E568A" w:rsidP="007E5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14</w:t>
            </w:r>
          </w:p>
        </w:tc>
      </w:tr>
      <w:tr w:rsidR="007E568A" w:rsidRPr="007E568A" w14:paraId="1FCA1B9B" w14:textId="77777777" w:rsidTr="007E568A">
        <w:trPr>
          <w:trHeight w:val="280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190B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Robust standard errors in parentheses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920F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4C33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1906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9C25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34A6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8BDD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62AC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7E568A" w:rsidRPr="007E568A" w14:paraId="13499C4A" w14:textId="77777777" w:rsidTr="007E568A">
        <w:trPr>
          <w:trHeight w:val="280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C8D9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E568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*** p&lt;0.01, ** p&lt;0.05, * p&lt;0.1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07DF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C417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642D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C035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6B06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A0BF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7183" w14:textId="77777777" w:rsidR="007E568A" w:rsidRPr="007E568A" w:rsidRDefault="007E568A" w:rsidP="007E56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</w:tbl>
    <w:p w14:paraId="667FE349" w14:textId="77777777" w:rsidR="007E568A" w:rsidRPr="007E568A" w:rsidRDefault="007E568A">
      <w:pPr>
        <w:rPr>
          <w:rFonts w:ascii="Times New Roman" w:hAnsi="Times New Roman" w:cs="Times New Roman"/>
          <w:b/>
          <w:bCs/>
          <w:sz w:val="20"/>
          <w:szCs w:val="20"/>
          <w:lang w:val="en-CA"/>
        </w:rPr>
      </w:pPr>
    </w:p>
    <w:p w14:paraId="3E7BA3EB" w14:textId="77777777" w:rsidR="007E568A" w:rsidRDefault="007E568A">
      <w:pPr>
        <w:rPr>
          <w:rFonts w:ascii="Times New Roman" w:hAnsi="Times New Roman" w:cs="Times New Roman"/>
          <w:b/>
          <w:bCs/>
          <w:sz w:val="22"/>
          <w:szCs w:val="22"/>
          <w:lang w:val="en-CA"/>
        </w:rPr>
      </w:pPr>
    </w:p>
    <w:p w14:paraId="12CE4208" w14:textId="77777777" w:rsidR="007E568A" w:rsidRDefault="007E568A">
      <w:pPr>
        <w:rPr>
          <w:rFonts w:ascii="Times New Roman" w:hAnsi="Times New Roman" w:cs="Times New Roman"/>
          <w:b/>
          <w:bCs/>
          <w:sz w:val="22"/>
          <w:szCs w:val="22"/>
          <w:lang w:val="en-CA"/>
        </w:rPr>
      </w:pPr>
    </w:p>
    <w:p w14:paraId="49C3CC95" w14:textId="77777777" w:rsidR="007E568A" w:rsidRDefault="007E568A">
      <w:pPr>
        <w:rPr>
          <w:rFonts w:ascii="Times New Roman" w:hAnsi="Times New Roman" w:cs="Times New Roman"/>
          <w:b/>
          <w:bCs/>
          <w:sz w:val="22"/>
          <w:szCs w:val="22"/>
          <w:lang w:val="en-CA"/>
        </w:rPr>
      </w:pPr>
    </w:p>
    <w:p w14:paraId="17879DD3" w14:textId="77777777" w:rsidR="003B3F5F" w:rsidRDefault="003B3F5F">
      <w:pPr>
        <w:rPr>
          <w:rFonts w:ascii="Times New Roman" w:hAnsi="Times New Roman" w:cs="Times New Roman"/>
          <w:b/>
          <w:bCs/>
          <w:sz w:val="22"/>
          <w:szCs w:val="22"/>
          <w:lang w:val="en-CA"/>
        </w:rPr>
      </w:pPr>
    </w:p>
    <w:p w14:paraId="1B90AFBA" w14:textId="7F36B743" w:rsidR="0093187A" w:rsidRDefault="001A651F">
      <w:pPr>
        <w:rPr>
          <w:rFonts w:ascii="Times New Roman" w:hAnsi="Times New Roman" w:cs="Times New Roman"/>
          <w:b/>
          <w:bCs/>
          <w:sz w:val="22"/>
          <w:szCs w:val="22"/>
          <w:lang w:val="en-CA"/>
        </w:rPr>
      </w:pPr>
      <w:r w:rsidRPr="00200E36">
        <w:rPr>
          <w:rFonts w:ascii="Times New Roman" w:hAnsi="Times New Roman" w:cs="Times New Roman"/>
          <w:b/>
          <w:bCs/>
          <w:sz w:val="22"/>
          <w:szCs w:val="22"/>
          <w:lang w:val="en-CA"/>
        </w:rPr>
        <w:t>Table 3 with controls.</w:t>
      </w:r>
    </w:p>
    <w:p w14:paraId="2D71D528" w14:textId="2F9D097D" w:rsidR="00A36874" w:rsidRPr="00A36874" w:rsidRDefault="00A36874" w:rsidP="00A36874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A36874">
        <w:rPr>
          <w:rFonts w:ascii="Times New Roman" w:hAnsi="Times New Roman" w:cs="Times New Roman"/>
          <w:sz w:val="22"/>
          <w:szCs w:val="22"/>
          <w:lang w:val="en-CA"/>
        </w:rPr>
        <w:t xml:space="preserve">This table </w:t>
      </w:r>
      <w:r>
        <w:rPr>
          <w:rFonts w:ascii="Times New Roman" w:hAnsi="Times New Roman" w:cs="Times New Roman"/>
          <w:sz w:val="22"/>
          <w:szCs w:val="22"/>
          <w:lang w:val="en-CA"/>
        </w:rPr>
        <w:t>reports the full results of</w:t>
      </w:r>
      <w:r w:rsidRPr="00A36874">
        <w:rPr>
          <w:rFonts w:ascii="Times New Roman" w:hAnsi="Times New Roman" w:cs="Times New Roman"/>
          <w:sz w:val="22"/>
          <w:szCs w:val="22"/>
          <w:lang w:val="en-CA"/>
        </w:rPr>
        <w:t xml:space="preserve"> table </w:t>
      </w:r>
      <w:r>
        <w:rPr>
          <w:rFonts w:ascii="Times New Roman" w:hAnsi="Times New Roman" w:cs="Times New Roman"/>
          <w:sz w:val="22"/>
          <w:szCs w:val="22"/>
          <w:lang w:val="en-CA"/>
        </w:rPr>
        <w:t>3</w:t>
      </w:r>
      <w:r w:rsidRPr="00A36874">
        <w:rPr>
          <w:rFonts w:ascii="Times New Roman" w:hAnsi="Times New Roman" w:cs="Times New Roman"/>
          <w:sz w:val="22"/>
          <w:szCs w:val="22"/>
          <w:lang w:val="en-CA"/>
        </w:rPr>
        <w:t xml:space="preserve"> from the paper</w:t>
      </w:r>
      <w:r>
        <w:rPr>
          <w:rFonts w:ascii="Times New Roman" w:hAnsi="Times New Roman" w:cs="Times New Roman"/>
          <w:sz w:val="22"/>
          <w:szCs w:val="22"/>
          <w:lang w:val="en-CA"/>
        </w:rPr>
        <w:t>, including the regression coefficients for the control variables.</w:t>
      </w:r>
    </w:p>
    <w:p w14:paraId="7121817F" w14:textId="77777777" w:rsidR="00A36874" w:rsidRPr="00A36874" w:rsidRDefault="00A36874">
      <w:pPr>
        <w:rPr>
          <w:rFonts w:ascii="Times New Roman" w:hAnsi="Times New Roman" w:cs="Times New Roman"/>
          <w:sz w:val="22"/>
          <w:szCs w:val="22"/>
          <w:lang w:val="en-CA"/>
        </w:rPr>
      </w:pPr>
    </w:p>
    <w:tbl>
      <w:tblPr>
        <w:tblW w:w="12960" w:type="dxa"/>
        <w:tblLook w:val="04A0" w:firstRow="1" w:lastRow="0" w:firstColumn="1" w:lastColumn="0" w:noHBand="0" w:noVBand="1"/>
      </w:tblPr>
      <w:tblGrid>
        <w:gridCol w:w="3204"/>
        <w:gridCol w:w="1900"/>
        <w:gridCol w:w="1051"/>
        <w:gridCol w:w="1051"/>
        <w:gridCol w:w="1051"/>
        <w:gridCol w:w="1051"/>
        <w:gridCol w:w="1550"/>
        <w:gridCol w:w="1051"/>
        <w:gridCol w:w="1051"/>
      </w:tblGrid>
      <w:tr w:rsidR="00B73BBF" w:rsidRPr="00B73BBF" w14:paraId="6120363B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5A4B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C963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A226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54B6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99D7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B122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51FF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8C2A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E9A5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B73BBF" w:rsidRPr="00B73BBF" w14:paraId="1550D6F0" w14:textId="77777777" w:rsidTr="00B73BBF">
        <w:trPr>
          <w:trHeight w:val="280"/>
        </w:trPr>
        <w:tc>
          <w:tcPr>
            <w:tcW w:w="32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66BA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B9A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(1)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F09D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(2)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877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(3)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9A5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(4)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06D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(5)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92DB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(6)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E35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(7)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EC7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(8)</w:t>
            </w:r>
          </w:p>
        </w:tc>
      </w:tr>
      <w:tr w:rsidR="00B73BBF" w:rsidRPr="00B73BBF" w14:paraId="4ED0D0CA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830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E5E8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Government partisanship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D5DD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5E4B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496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B17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9737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Economic conditions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FE5B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E01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B73BBF" w:rsidRPr="00B73BBF" w14:paraId="4C27F9A4" w14:textId="77777777" w:rsidTr="00B73BBF">
        <w:trPr>
          <w:trHeight w:val="280"/>
        </w:trPr>
        <w:tc>
          <w:tcPr>
            <w:tcW w:w="32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B2D2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E92C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 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1061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 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397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 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ACF1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 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945B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 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5C2B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 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DA27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 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DFD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 </w:t>
            </w:r>
          </w:p>
        </w:tc>
      </w:tr>
      <w:tr w:rsidR="00B73BBF" w:rsidRPr="00B73BBF" w14:paraId="0CAD03E0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E291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Lagged dependent variable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B44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0.731***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25AB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0.732***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E01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0.730***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E3CA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0.738***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ABE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0.740***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950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0.733***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1F08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0.733***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3D51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0.732***</w:t>
            </w:r>
          </w:p>
        </w:tc>
      </w:tr>
      <w:tr w:rsidR="00B73BBF" w:rsidRPr="00B73BBF" w14:paraId="64905CCC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6BBC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F073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(0.0335)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4DDC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(0.0327)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C1D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(0.0341)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5BE7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(0.0310)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7DFD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(0.0325)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4148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(0.0331)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300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(0.0324)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A58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(0.0334)</w:t>
            </w:r>
          </w:p>
        </w:tc>
      </w:tr>
      <w:tr w:rsidR="00B73BBF" w:rsidRPr="00B73BBF" w14:paraId="7E2689A7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EAC2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Total consolidations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D67E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-0.113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543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EE3E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8AB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EE7C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F5B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-0.103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6D0B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EB81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B73BBF" w:rsidRPr="00B73BBF" w14:paraId="5D907A8A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D8A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85B8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(0.327)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BD0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D56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F54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D631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015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(0.279)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99C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46B5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B73BBF" w:rsidRPr="00B73BBF" w14:paraId="231FAFD3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E72A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Total consolidations t-1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E05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-0.464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532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292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82ED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9C0E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BCC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-0.496**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C86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CE5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B73BBF" w:rsidRPr="00B73BBF" w14:paraId="070173B7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068D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FAFC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(0.287)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4C0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37AE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DC3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E0D3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FD5B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(0.204)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6BE5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EFE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B73BBF" w:rsidRPr="00B73BBF" w14:paraId="49789CB1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F950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Spending cuts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56FE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1B7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0.00336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E81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8D3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0.894*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99C5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F5E8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88DE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-0.0129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8058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B73BBF" w:rsidRPr="00B73BBF" w14:paraId="6E93C81E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FB5B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AFB7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01A1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(0.480)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6AF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214D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(0.484)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812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A57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B0D3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(0.439)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6127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B73BBF" w:rsidRPr="00B73BBF" w14:paraId="68ACA669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1485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Spending cuts t-1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0244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BD45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-0.679***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06B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5DB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-1.173**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2697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6025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5DDC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-0.862***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827D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B73BBF" w:rsidRPr="00B73BBF" w14:paraId="1C33F9A2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0268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17B7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8958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(0.249)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C1D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633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(0.530)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315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CA9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E3F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(0.232)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17B3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B73BBF" w:rsidRPr="00B73BBF" w14:paraId="19E6EAA0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8566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Tax increases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451A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CAA1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4BEC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-0.470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5083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78C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0.0679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0CD7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3D77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E24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-0.506</w:t>
            </w:r>
          </w:p>
        </w:tc>
      </w:tr>
      <w:tr w:rsidR="00B73BBF" w:rsidRPr="00B73BBF" w14:paraId="159D771B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BE23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1F87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5D9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C0F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(0.455)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D703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526D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(0.894)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EC4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261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490E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(0.432)</w:t>
            </w:r>
          </w:p>
        </w:tc>
      </w:tr>
      <w:tr w:rsidR="00B73BBF" w:rsidRPr="00B73BBF" w14:paraId="1EAA3F01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F231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Tax increases t-1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2228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490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5135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-0.740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0751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769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-0.499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08E5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2011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152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-0.782</w:t>
            </w:r>
          </w:p>
        </w:tc>
      </w:tr>
      <w:tr w:rsidR="00B73BBF" w:rsidRPr="00B73BBF" w14:paraId="71EC6804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C7E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C2A4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C481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41C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(0.642)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7DD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5A33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(0.819)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401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FCAA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C9B8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(0.572)</w:t>
            </w:r>
          </w:p>
        </w:tc>
      </w:tr>
      <w:tr w:rsidR="00B73BBF" w:rsidRPr="00B73BBF" w14:paraId="76EEF490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48EF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 xml:space="preserve">Comnstitutive term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A67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0.0279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A1BC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0.0231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6ADC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0.0352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514A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0.0215*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55C7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-0.00745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A19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0.423***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DFB7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0.424***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62CD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0.433***</w:t>
            </w:r>
          </w:p>
        </w:tc>
      </w:tr>
      <w:tr w:rsidR="00B73BBF" w:rsidRPr="00B73BBF" w14:paraId="64F506FB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2AF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A92E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(0.0260)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420C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(0.0255)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956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(0.0250)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A8D3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(0.0120)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6BAA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(0.0130)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176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(0.100)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7833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(0.102)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15B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(0.103)</w:t>
            </w:r>
          </w:p>
        </w:tc>
      </w:tr>
      <w:tr w:rsidR="00B73BBF" w:rsidRPr="00B73BBF" w14:paraId="303DECF4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C9AA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Comnstitutive term t-1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499D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0.00567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D11E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0.00884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57D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0.000247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D60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-0.0257*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F0C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-0.00151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115C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-0.0763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E04B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-0.0823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906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-0.0584</w:t>
            </w:r>
          </w:p>
        </w:tc>
      </w:tr>
      <w:tr w:rsidR="00B73BBF" w:rsidRPr="00B73BBF" w14:paraId="51B0E8EC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1A31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A39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(0.0325)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BC61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(0.0325)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B2D3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(0.0304)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1D7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(0.0138)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761D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(0.0112)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F12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(0.187)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5A7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(0.187)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CBD8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(0.196)</w:t>
            </w:r>
          </w:p>
        </w:tc>
      </w:tr>
      <w:tr w:rsidR="00B73BBF" w:rsidRPr="00B73BBF" w14:paraId="425DF60F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7C35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Total consolidation * left/right index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A1E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0.00812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A13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785A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BF1B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414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26A7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9BEC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A2F8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B73BBF" w:rsidRPr="00B73BBF" w14:paraId="4026EF51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81EE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5131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(0.0181)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9473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DCD8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EE8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D93A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6467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B78E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B141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B73BBF" w:rsidRPr="00B73BBF" w14:paraId="5C66844E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D510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Total consolidation t-1 * left/right index t-1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8A1A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-0.00538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BF45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79E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89D5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6DF8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A8C5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7A1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924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B73BBF" w:rsidRPr="00B73BBF" w14:paraId="65D66006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831E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0D7C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(0.0168)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23FD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87DD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F2C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107D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74D5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FF0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556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B73BBF" w:rsidRPr="00B73BBF" w14:paraId="6FF9FBEA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B4B2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Spending cuts * left right index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0DCB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0BC7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0.0183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7B68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FB68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8837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921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CD67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E03A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B73BBF" w:rsidRPr="00B73BBF" w14:paraId="685CA198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40F5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E812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D80D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(0.0269)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389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2EAE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836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F1F8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9D3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5D48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B73BBF" w:rsidRPr="00B73BBF" w14:paraId="0913EB4B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2999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Spending cuts t-1* left right index t-1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A335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ECD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-0.0158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C91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70C5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0C7C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BF8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4BCB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90BA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B73BBF" w:rsidRPr="00B73BBF" w14:paraId="3182ED4E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46CE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2D45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812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(0.0191)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0A15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B6D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856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CEEE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6CBB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2DE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B73BBF" w:rsidRPr="00B73BBF" w14:paraId="27B2FB8E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A2E1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 xml:space="preserve">Tax increases * left-right index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4789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3CA5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52BE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-0.00660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23D5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6FED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D73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96EC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C741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B73BBF" w:rsidRPr="00B73BBF" w14:paraId="1F07C18D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427E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8F54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3BCB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B00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(0.0301)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580E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D95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D62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C5A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5A95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B73BBF" w:rsidRPr="00B73BBF" w14:paraId="284A46EF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F347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Tax increases t-1* left-right index t-1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8EFD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292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605A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-0.00240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5195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A8C1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D5F7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6D7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A7D3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B73BBF" w:rsidRPr="00B73BBF" w14:paraId="5C0487E6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0D4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1716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8CF8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E81A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(0.0478)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F765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E89C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7985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BCC7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19DA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B73BBF" w:rsidRPr="00B73BBF" w14:paraId="20DE4A86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7C3D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Spending cuts * left gvt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0966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74B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17B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EC0D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-0.0158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9DB1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6997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9AF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297D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B73BBF" w:rsidRPr="00B73BBF" w14:paraId="4C3E767A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AD4E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4CC5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0DB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F6F8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86B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(0.0123)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3FF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FCD7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B0D3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7E0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B73BBF" w:rsidRPr="00B73BBF" w14:paraId="5CA8B06D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142B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Spending cuts t-1* left gvt t-1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740A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62D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EA8A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8EC5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0.0110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DED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2F61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828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D978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B73BBF" w:rsidRPr="00B73BBF" w14:paraId="6822D86A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2BB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4826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C1E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BA0B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01A7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(0.00801)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2C5A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3383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18FC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4C3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B73BBF" w:rsidRPr="00B73BBF" w14:paraId="5DF61D66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37F2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 xml:space="preserve">Tax increases * right gvt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05CB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368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D31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3C11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52E8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-0.00734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7C8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1BD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9258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B73BBF" w:rsidRPr="00B73BBF" w14:paraId="5E351743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AD51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DF68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709A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72EC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C3AA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3B6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(0.0120)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E44A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9B83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C601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B73BBF" w:rsidRPr="00B73BBF" w14:paraId="671AB978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4BC5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Tax increases t-1* right gvt t-1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83A8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9B9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099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BB3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22D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0.0182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ADB1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094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1E63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B73BBF" w:rsidRPr="00B73BBF" w14:paraId="0CABDB7E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1407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0571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A308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41B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2B8E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95CA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(0.0132)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50DA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BFBE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C24D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B73BBF" w:rsidRPr="00B73BBF" w14:paraId="5D96C553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2A3F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 xml:space="preserve">Total consolidation * GDP growth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7293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5A61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011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F478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6CD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7EBA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0.0451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5A65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B0B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B73BBF" w:rsidRPr="00B73BBF" w14:paraId="519BA2B6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FC7B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FA22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E98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DD2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A1D8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A75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C16D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(0.0717)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4B3C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386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B73BBF" w:rsidRPr="00B73BBF" w14:paraId="2167BC09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F649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Total consolidation t-1 * GDP growth t-1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2403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6A9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2B73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B9A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916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31E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0.0791**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2CB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E1D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B73BBF" w:rsidRPr="00B73BBF" w14:paraId="061BA89B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661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120B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DE61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F36D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5B5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E72C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7E6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(0.0371)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A275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646E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B73BBF" w:rsidRPr="00B73BBF" w14:paraId="54BBA3BE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F136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 xml:space="preserve">Spending </w:t>
            </w:r>
            <w:proofErr w:type="gramStart"/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cuts  *</w:t>
            </w:r>
            <w:proofErr w:type="gramEnd"/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 xml:space="preserve"> GDP growth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9994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B16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D408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EF2E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7B0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66D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6C7E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0.0682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EE53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B73BBF" w:rsidRPr="00B73BBF" w14:paraId="3BE19684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95B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E086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4F1D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14F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B39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ED8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7B03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09CA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(0.125)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733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B73BBF" w:rsidRPr="00B73BBF" w14:paraId="78EA820A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0CC2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Spending cuts t-1 * GDP growth t-1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6144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520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DF1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40B5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15B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6BD7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DB97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0.208***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0A71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B73BBF" w:rsidRPr="00B73BBF" w14:paraId="54F9C2FE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B68A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9E2E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2095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ADC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6C6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7F9C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4A4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7D7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(0.0751)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61E8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B73BBF" w:rsidRPr="00B73BBF" w14:paraId="0E563783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6F95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 xml:space="preserve">Tax increases * GDP growth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616C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5237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C3A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9B1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32D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72FC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1F71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E92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0.0809</w:t>
            </w:r>
          </w:p>
        </w:tc>
      </w:tr>
      <w:tr w:rsidR="00B73BBF" w:rsidRPr="00B73BBF" w14:paraId="309FD42B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49A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38F9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64A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227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29D8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16CB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1C9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E66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448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(0.128)</w:t>
            </w:r>
          </w:p>
        </w:tc>
      </w:tr>
      <w:tr w:rsidR="00B73BBF" w:rsidRPr="00B73BBF" w14:paraId="003AE237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3E26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Tax increases t-1 * GDP growth t-1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316A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81DA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79F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BBD7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DDCE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F23D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F62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613C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0.0667</w:t>
            </w:r>
          </w:p>
        </w:tc>
      </w:tr>
      <w:tr w:rsidR="00B73BBF" w:rsidRPr="00B73BBF" w14:paraId="1DCEB49C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F9EC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B770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30B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749B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4B08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3AE3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ED2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F771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70B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(0.0898)</w:t>
            </w:r>
          </w:p>
        </w:tc>
      </w:tr>
      <w:tr w:rsidR="00B73BBF" w:rsidRPr="00B73BBF" w14:paraId="1E1E3E16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8AE2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Right-left index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BB2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0.0279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5961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0.0231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970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0.0352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01F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6ECB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4A9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0.0329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A14C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0.0321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CDC7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0.0340</w:t>
            </w:r>
          </w:p>
        </w:tc>
      </w:tr>
      <w:tr w:rsidR="00B73BBF" w:rsidRPr="00B73BBF" w14:paraId="32D3333C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8FF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8C2A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(0.0260)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D8C8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(0.0255)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735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(0.0250)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5553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3C01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A6BD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(0.0266)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793B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(0.0275)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745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(0.0253)</w:t>
            </w:r>
          </w:p>
        </w:tc>
      </w:tr>
      <w:tr w:rsidR="00B73BBF" w:rsidRPr="00B73BBF" w14:paraId="4BF77FD3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4CA7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Right-left index t-1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83EE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EC3E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FBDD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122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EC83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139D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0.00148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4673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0.00121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908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0.000228</w:t>
            </w:r>
          </w:p>
        </w:tc>
      </w:tr>
      <w:tr w:rsidR="00B73BBF" w:rsidRPr="00B73BBF" w14:paraId="032448A2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AF45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E04E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DC17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2A55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DFC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105C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6F1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(0.0289)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AA4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(0.0299)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599B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(0.0276)</w:t>
            </w:r>
          </w:p>
        </w:tc>
      </w:tr>
      <w:tr w:rsidR="00B73BBF" w:rsidRPr="00B73BBF" w14:paraId="58C5B84E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209B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Unemployment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A52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-0.497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185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-0.532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CAF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-0.483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A418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-0.475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021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-0.332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F56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-0.440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74B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-0.450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483A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-0.436</w:t>
            </w:r>
          </w:p>
        </w:tc>
      </w:tr>
      <w:tr w:rsidR="00B73BBF" w:rsidRPr="00B73BBF" w14:paraId="3E55DFD8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5D0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D2F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(0.367)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50C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(0.360)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B07D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(0.338)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83F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(0.361)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DC1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(0.353)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63FD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(0.324)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8267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(0.320)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8AAD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(0.303)</w:t>
            </w:r>
          </w:p>
        </w:tc>
      </w:tr>
      <w:tr w:rsidR="00B73BBF" w:rsidRPr="00B73BBF" w14:paraId="33FCBFFD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48DE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Unemployment t-1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5FF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0.510*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4F3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0.518*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B0C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0.482*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12B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0.496*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E973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0.368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C63A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0.461*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9D0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0.453*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D60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0.441*</w:t>
            </w:r>
          </w:p>
        </w:tc>
      </w:tr>
      <w:tr w:rsidR="00B73BBF" w:rsidRPr="00B73BBF" w14:paraId="642424B2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0BC7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93FA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(0.284)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D0FD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(0.273)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4B5C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(0.268)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CCE8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(0.275)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BAD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(0.280)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C7A3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(0.266)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B51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(0.255)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383C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(0.251)</w:t>
            </w:r>
          </w:p>
        </w:tc>
      </w:tr>
      <w:tr w:rsidR="00B73BBF" w:rsidRPr="00B73BBF" w14:paraId="0DD40713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A4C4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GDP growth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E6D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0.442***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C42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0.452***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F3E7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0.445***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B19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0.458***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00E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0.485***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C071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61B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082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B73BBF" w:rsidRPr="00B73BBF" w14:paraId="7EAE146C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2E0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CEDA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(0.105)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7003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(0.107)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15BB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(0.107)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7D7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(0.109)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834C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(0.104)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A325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A68C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161D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B73BBF" w:rsidRPr="00B73BBF" w14:paraId="489C3407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74C8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GDP growth t-1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1F1C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-0.0463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31C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-0.0538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EA33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-0.0353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7BD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-0.00662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EF9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0.0236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B3E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6145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734D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B73BBF" w:rsidRPr="00B73BBF" w14:paraId="52800DE7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CF5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9ABD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(0.179)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1A9A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(0.188)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6CE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(0.180)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7D0E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(0.188)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898E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(0.172)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F603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9A5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FAB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B73BBF" w:rsidRPr="00B73BBF" w14:paraId="7E583081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4571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Inflation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B075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-0.190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3905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-0.195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375A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-0.206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5CEC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-0.201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B2C8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-0.215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95D3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-0.175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7A2D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-0.173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BE8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-0.202</w:t>
            </w:r>
          </w:p>
        </w:tc>
      </w:tr>
      <w:tr w:rsidR="00B73BBF" w:rsidRPr="00B73BBF" w14:paraId="7D3617EA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B64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A87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(0.187)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178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(0.201)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78C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(0.171)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ED4A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(0.203)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13EA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(0.166)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BE4A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(0.170)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0543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(0.182)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8FCA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(0.153)</w:t>
            </w:r>
          </w:p>
        </w:tc>
      </w:tr>
      <w:tr w:rsidR="00B73BBF" w:rsidRPr="00B73BBF" w14:paraId="428F538E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5C8D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Inflation t-1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607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0.116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ADDE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0.119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E21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0.146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441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0.126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529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0.147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1B7C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0.0980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3977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0.0982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66C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0.135</w:t>
            </w:r>
          </w:p>
        </w:tc>
      </w:tr>
      <w:tr w:rsidR="00B73BBF" w:rsidRPr="00B73BBF" w14:paraId="47DDEF60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4D13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8741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(0.187)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88AD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(0.208)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3A4D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(0.164)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7391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(0.203)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421E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(0.165)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3477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(0.179)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A295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(0.198)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F07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(0.149)</w:t>
            </w:r>
          </w:p>
        </w:tc>
      </w:tr>
      <w:tr w:rsidR="00B73BBF" w:rsidRPr="00B73BBF" w14:paraId="491EEE69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04ED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Δ debt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C3C7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0.100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6E4D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0.0952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64FA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0.100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9EF8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0.0923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42E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0.111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2AD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0.0981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AB9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0.0886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AB9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0.0999</w:t>
            </w:r>
          </w:p>
        </w:tc>
      </w:tr>
      <w:tr w:rsidR="00B73BBF" w:rsidRPr="00B73BBF" w14:paraId="32B05A46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FAFA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119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(0.0694)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1C8E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(0.0683)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397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(0.0673)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8E2A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(0.0680)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D7B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(0.0715)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D667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(0.0710)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083B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(0.0699)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9EF8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(0.0681)</w:t>
            </w:r>
          </w:p>
        </w:tc>
      </w:tr>
      <w:tr w:rsidR="00B73BBF" w:rsidRPr="00B73BBF" w14:paraId="5F3480B0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0287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Δ debt t-1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B96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-0.118**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8AE3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-0.129***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1FB3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-0.112**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EBF8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-0.141**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700B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-0.125**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460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-0.114**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D03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-0.116**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6968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-0.113**</w:t>
            </w:r>
          </w:p>
        </w:tc>
      </w:tr>
      <w:tr w:rsidR="00B73BBF" w:rsidRPr="00B73BBF" w14:paraId="49645E57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CBD5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99CC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(0.0472)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04D8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(0.0495)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B53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(0.0529)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34FB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(0.0560)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62E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(0.0519)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994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(0.0466)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E11C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(0.0480)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980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(0.0505)</w:t>
            </w:r>
          </w:p>
        </w:tc>
      </w:tr>
      <w:tr w:rsidR="00B73BBF" w:rsidRPr="00B73BBF" w14:paraId="140FAC5E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12BD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Log trade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9C0D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-5.972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6BD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-6.378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53F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-5.806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348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-6.847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D3F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-5.321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A787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-5.686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E438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-6.046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340C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-5.489</w:t>
            </w:r>
          </w:p>
        </w:tc>
      </w:tr>
      <w:tr w:rsidR="00B73BBF" w:rsidRPr="00B73BBF" w14:paraId="51CBBA08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5D4D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33E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(5.768)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0CF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(5.642)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97CD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(5.697)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5EED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(5.636)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8091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(5.871)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05AE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(5.951)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B73C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(5.822)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362A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(5.850)</w:t>
            </w:r>
          </w:p>
        </w:tc>
      </w:tr>
      <w:tr w:rsidR="00B73BBF" w:rsidRPr="00B73BBF" w14:paraId="005B09B5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9768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Log trade t-1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23BB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9.978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AA8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10.33*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D98A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9.500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2F5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10.91*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FCE3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9.309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7A0B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10.01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A8DA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10.41*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7728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9.442</w:t>
            </w:r>
          </w:p>
        </w:tc>
      </w:tr>
      <w:tr w:rsidR="00B73BBF" w:rsidRPr="00B73BBF" w14:paraId="57F1AB22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25DE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8993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(6.303)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78A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(6.238)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B8D3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(6.352)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5C08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(6.309)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6F87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(6.532)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78F8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(6.402)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7D5D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(6.248)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2643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(6.502)</w:t>
            </w:r>
          </w:p>
        </w:tc>
      </w:tr>
      <w:tr w:rsidR="00B73BBF" w:rsidRPr="00B73BBF" w14:paraId="6E6C080C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2C89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Years in office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8745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-0.185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338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-0.187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136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-0.181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8A4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-0.171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906C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-0.222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55C8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-0.187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8545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-0.182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509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-0.192</w:t>
            </w:r>
          </w:p>
        </w:tc>
      </w:tr>
      <w:tr w:rsidR="00B73BBF" w:rsidRPr="00B73BBF" w14:paraId="1A03B4EB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A7F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DFCA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(0.168)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042D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(0.167)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0A3E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(0.168)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A27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(0.184)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CD68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(0.171)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D34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(0.162)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B24B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(0.159)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B1E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(0.167)</w:t>
            </w:r>
          </w:p>
        </w:tc>
      </w:tr>
      <w:tr w:rsidR="00B73BBF" w:rsidRPr="00B73BBF" w14:paraId="795EF072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6D58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Years in office t-1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97D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0.0902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03C1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0.0889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D05E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0.0933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640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0.0486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AED3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0.0993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A14E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0.0967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003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0.0944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C70B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0.104</w:t>
            </w:r>
          </w:p>
        </w:tc>
      </w:tr>
      <w:tr w:rsidR="00B73BBF" w:rsidRPr="00B73BBF" w14:paraId="2306D9F8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4491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51F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(0.152)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F15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(0.150)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0EBD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(0.154)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3FBB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(0.179)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9EF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(0.163)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F56C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(0.150)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F09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(0.144)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F88B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(0.156)</w:t>
            </w:r>
          </w:p>
        </w:tc>
      </w:tr>
      <w:tr w:rsidR="00B73BBF" w:rsidRPr="00B73BBF" w14:paraId="166D9417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C11B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Election year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039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2.696***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CA4C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2.732***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8FCA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2.657***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0B7B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2.745***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320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2.666***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B67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2.693***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EC8A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2.736***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46E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2.669***</w:t>
            </w:r>
          </w:p>
        </w:tc>
      </w:tr>
      <w:tr w:rsidR="00B73BBF" w:rsidRPr="00B73BBF" w14:paraId="14AEC4A9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E21E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4F5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(0.720)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CB61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(0.726)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EFE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(0.720)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4195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(0.712)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EFD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(0.717)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9E3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(0.721)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63AB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(0.729)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804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(0.720)</w:t>
            </w:r>
          </w:p>
        </w:tc>
      </w:tr>
      <w:tr w:rsidR="00B73BBF" w:rsidRPr="00B73BBF" w14:paraId="2FF3D5A1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3DB9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Election year t-1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89C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-0.172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20D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81A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-0.154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0FC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-0.167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27E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-0.312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7DE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-0.178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7DC7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-0.134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0EFC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-0.161</w:t>
            </w:r>
          </w:p>
        </w:tc>
      </w:tr>
      <w:tr w:rsidR="00B73BBF" w:rsidRPr="00B73BBF" w14:paraId="1D50BB40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538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84A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(1.079)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413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(1.089)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0F28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(1.058)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2BE7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(1.052)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0381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(1.036)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236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(1.067)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574C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(1.075)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B948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(1.041)</w:t>
            </w:r>
          </w:p>
        </w:tc>
      </w:tr>
      <w:tr w:rsidR="00B73BBF" w:rsidRPr="00B73BBF" w14:paraId="768D50FC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53A7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lastRenderedPageBreak/>
              <w:t>Government composition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F97E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0.895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5015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0.855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126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0.925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5B3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1.278*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6BD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1.132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80DB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0.934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070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0.909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9873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0.923</w:t>
            </w:r>
          </w:p>
        </w:tc>
      </w:tr>
      <w:tr w:rsidR="00B73BBF" w:rsidRPr="00B73BBF" w14:paraId="4E22AB0D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D241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C11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(0.888)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28A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(0.897)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843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(0.879)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EB45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(0.729)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A67E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(0.727)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3213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(0.890)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D7F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(0.903)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3EF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(0.894)</w:t>
            </w:r>
          </w:p>
        </w:tc>
      </w:tr>
      <w:tr w:rsidR="00B73BBF" w:rsidRPr="00B73BBF" w14:paraId="2C53C78A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EE56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Government composition t-1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2033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-0.369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1EE3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-0.319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ECEA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-0.393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AFFE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-0.540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54B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-0.423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38EB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-0.342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4A31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-0.278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03D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-0.399</w:t>
            </w:r>
          </w:p>
        </w:tc>
      </w:tr>
      <w:tr w:rsidR="00B73BBF" w:rsidRPr="00B73BBF" w14:paraId="2AF5D01D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C5B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A30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(0.765)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D0BB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(0.738)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6E93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(0.776)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D2AB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(0.709)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DF15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(0.661)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173A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(0.710)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C37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(0.699)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A8C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(0.731)</w:t>
            </w:r>
          </w:p>
        </w:tc>
      </w:tr>
      <w:tr w:rsidR="00B73BBF" w:rsidRPr="00B73BBF" w14:paraId="5E5D280F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A3E1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Government turnover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C32E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2.301**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B0C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2.330**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84F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2.272**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37E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2.334***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08F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2.278**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84C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2.258**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D39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2.301**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AB15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2.240**</w:t>
            </w:r>
          </w:p>
        </w:tc>
      </w:tr>
      <w:tr w:rsidR="00B73BBF" w:rsidRPr="00B73BBF" w14:paraId="70F9830B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A2B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0318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(0.986)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ADE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(0.954)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25E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(1.037)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BE1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(0.891)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95BD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(0.985)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2B7B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(0.967)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F3E3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(0.935)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1C03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(1.022)</w:t>
            </w:r>
          </w:p>
        </w:tc>
      </w:tr>
      <w:tr w:rsidR="00B73BBF" w:rsidRPr="00B73BBF" w14:paraId="2762EA5D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22AD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Government turnover t-1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0D0E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3.295**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B37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3.183**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C7B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3.290**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49E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3.316**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7AB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3.180*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76C1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3.306**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8D6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3.325**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603E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3.244**</w:t>
            </w:r>
          </w:p>
        </w:tc>
      </w:tr>
      <w:tr w:rsidR="00B73BBF" w:rsidRPr="00B73BBF" w14:paraId="65AF97FC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C257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31D5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(1.554)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BB5A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(1.552)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590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(1.538)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C8E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(1.603)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B5E1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(1.626)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7E0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(1.545)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FE81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(1.539)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6F8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(1.534)</w:t>
            </w:r>
          </w:p>
        </w:tc>
      </w:tr>
      <w:tr w:rsidR="00B73BBF" w:rsidRPr="00B73BBF" w14:paraId="1C25A27A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87C0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Constant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852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73.63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F53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77.60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2719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68.97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E32A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97.07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B07A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86.22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199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79.82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13C3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80.04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073E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72.28</w:t>
            </w:r>
          </w:p>
        </w:tc>
      </w:tr>
      <w:tr w:rsidR="00B73BBF" w:rsidRPr="00B73BBF" w14:paraId="2F3A8500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EAB3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C0B3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(102.8)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6D9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(103.4)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1107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(105.1)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1017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(103.4)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04F8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(106.1)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63EC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(103.7)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6007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(107.0)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B9CB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(102.4)</w:t>
            </w:r>
          </w:p>
        </w:tc>
      </w:tr>
      <w:tr w:rsidR="00B73BBF" w:rsidRPr="00B73BBF" w14:paraId="108E1F96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2C2F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0973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5CB7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AD7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EDDE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367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49E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9C8C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635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B73BBF" w:rsidRPr="00B73BBF" w14:paraId="6F827046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770A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Observations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814A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433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D8BD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433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90DD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433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760E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436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D60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436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5CFA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433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B08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433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C604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433</w:t>
            </w:r>
          </w:p>
        </w:tc>
      </w:tr>
      <w:tr w:rsidR="00B73BBF" w:rsidRPr="00B73BBF" w14:paraId="64654C05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1A3220" w14:textId="5AD063C1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 xml:space="preserve">Number of </w:t>
            </w:r>
            <w:r w:rsidR="00654C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countries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01E9D6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74AC75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08C5B2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94F231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1C01F0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83409C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527425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3E7041" w14:textId="77777777" w:rsidR="00B73BBF" w:rsidRPr="00B73BBF" w:rsidRDefault="00B73BBF" w:rsidP="00B73B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14</w:t>
            </w:r>
          </w:p>
        </w:tc>
      </w:tr>
      <w:tr w:rsidR="00B73BBF" w:rsidRPr="00B73BBF" w14:paraId="670A125C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56ED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Robust standard errors in parentheses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8648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5D3D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A1E8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3CAF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0C13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EA2E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9FCF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8B69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B73BBF" w:rsidRPr="00B73BBF" w14:paraId="2DBCF6E1" w14:textId="77777777" w:rsidTr="00B73BBF">
        <w:trPr>
          <w:trHeight w:val="2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3DC0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73B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*** p&lt;0.01, ** p&lt;0.05, * p&lt;0.1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9890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8D6C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6285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4C95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8F73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05C7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42FD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B761" w14:textId="77777777" w:rsidR="00B73BBF" w:rsidRPr="00B73BBF" w:rsidRDefault="00B73BBF" w:rsidP="00B73BB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</w:tbl>
    <w:p w14:paraId="38E6C39A" w14:textId="353C5B5E" w:rsidR="001A651F" w:rsidRPr="004C7B06" w:rsidRDefault="001A651F">
      <w:pPr>
        <w:rPr>
          <w:rFonts w:ascii="Times New Roman" w:hAnsi="Times New Roman" w:cs="Times New Roman"/>
          <w:sz w:val="22"/>
          <w:szCs w:val="22"/>
          <w:lang w:val="en-CA"/>
        </w:rPr>
      </w:pPr>
    </w:p>
    <w:p w14:paraId="6789FB17" w14:textId="06A6903F" w:rsidR="0036125A" w:rsidRPr="004C7B06" w:rsidRDefault="0036125A">
      <w:pPr>
        <w:rPr>
          <w:rFonts w:ascii="Times New Roman" w:hAnsi="Times New Roman" w:cs="Times New Roman"/>
          <w:sz w:val="22"/>
          <w:szCs w:val="22"/>
          <w:lang w:val="en-CA"/>
        </w:rPr>
      </w:pPr>
    </w:p>
    <w:p w14:paraId="3EF868C0" w14:textId="5AD75980" w:rsidR="00366FFD" w:rsidRPr="004C7B06" w:rsidRDefault="00366FFD">
      <w:pPr>
        <w:rPr>
          <w:rFonts w:ascii="Times New Roman" w:hAnsi="Times New Roman" w:cs="Times New Roman"/>
          <w:sz w:val="22"/>
          <w:szCs w:val="22"/>
          <w:lang w:val="en-CA"/>
        </w:rPr>
      </w:pPr>
    </w:p>
    <w:p w14:paraId="129175D8" w14:textId="716299FC" w:rsidR="00366FFD" w:rsidRPr="004C7B06" w:rsidRDefault="00366FFD">
      <w:pPr>
        <w:rPr>
          <w:rFonts w:ascii="Times New Roman" w:hAnsi="Times New Roman" w:cs="Times New Roman"/>
          <w:sz w:val="22"/>
          <w:szCs w:val="22"/>
          <w:lang w:val="en-CA"/>
        </w:rPr>
      </w:pPr>
    </w:p>
    <w:p w14:paraId="05E7CAFE" w14:textId="5DA51370" w:rsidR="00DA473C" w:rsidRPr="003F3E09" w:rsidRDefault="00B73BBF" w:rsidP="003F3E09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CA"/>
        </w:rPr>
      </w:pPr>
      <w:r w:rsidRPr="00B73BBF">
        <w:rPr>
          <w:rFonts w:ascii="Times New Roman" w:hAnsi="Times New Roman" w:cs="Times New Roman"/>
          <w:sz w:val="22"/>
          <w:szCs w:val="22"/>
        </w:rPr>
        <w:t>The next table presents interaction</w:t>
      </w:r>
      <w:r w:rsidR="003B3F5F">
        <w:rPr>
          <w:rFonts w:ascii="Times New Roman" w:hAnsi="Times New Roman" w:cs="Times New Roman"/>
          <w:sz w:val="22"/>
          <w:szCs w:val="22"/>
        </w:rPr>
        <w:t>s</w:t>
      </w:r>
      <w:r w:rsidRPr="00B73BBF">
        <w:rPr>
          <w:rFonts w:ascii="Times New Roman" w:hAnsi="Times New Roman" w:cs="Times New Roman"/>
          <w:sz w:val="22"/>
          <w:szCs w:val="22"/>
        </w:rPr>
        <w:t xml:space="preserve"> using an alternative measure of partisanship</w:t>
      </w:r>
      <w:r w:rsidR="002D24E7">
        <w:rPr>
          <w:rFonts w:ascii="Times New Roman" w:hAnsi="Times New Roman" w:cs="Times New Roman"/>
          <w:sz w:val="22"/>
          <w:szCs w:val="22"/>
        </w:rPr>
        <w:t xml:space="preserve"> </w:t>
      </w:r>
      <w:r w:rsidRPr="00B73BBF">
        <w:rPr>
          <w:rFonts w:ascii="Times New Roman" w:hAnsi="Times New Roman" w:cs="Times New Roman"/>
          <w:sz w:val="22"/>
          <w:szCs w:val="22"/>
        </w:rPr>
        <w:t xml:space="preserve">(the </w:t>
      </w:r>
      <w:r w:rsidR="00621349">
        <w:rPr>
          <w:rFonts w:ascii="Times New Roman" w:hAnsi="Times New Roman" w:cs="Times New Roman"/>
          <w:sz w:val="22"/>
          <w:szCs w:val="22"/>
        </w:rPr>
        <w:t>fiscal expansion pledges</w:t>
      </w:r>
      <w:r w:rsidRPr="00B73BBF">
        <w:rPr>
          <w:rFonts w:ascii="Times New Roman" w:hAnsi="Times New Roman" w:cs="Times New Roman"/>
          <w:sz w:val="22"/>
          <w:szCs w:val="22"/>
        </w:rPr>
        <w:t>)</w:t>
      </w:r>
      <w:r w:rsidR="0015378B">
        <w:rPr>
          <w:rFonts w:ascii="Times New Roman" w:hAnsi="Times New Roman" w:cs="Times New Roman"/>
          <w:sz w:val="22"/>
          <w:szCs w:val="22"/>
        </w:rPr>
        <w:t>,</w:t>
      </w:r>
      <w:r w:rsidRPr="00B73BBF">
        <w:rPr>
          <w:rFonts w:ascii="Times New Roman" w:hAnsi="Times New Roman" w:cs="Times New Roman"/>
          <w:sz w:val="22"/>
          <w:szCs w:val="22"/>
        </w:rPr>
        <w:t xml:space="preserve"> </w:t>
      </w:r>
      <w:r w:rsidR="00285EAF">
        <w:rPr>
          <w:rFonts w:ascii="Times New Roman" w:hAnsi="Times New Roman" w:cs="Times New Roman"/>
          <w:sz w:val="22"/>
          <w:szCs w:val="22"/>
        </w:rPr>
        <w:t xml:space="preserve">the misery index </w:t>
      </w:r>
      <w:r w:rsidRPr="00B73BBF">
        <w:rPr>
          <w:rFonts w:ascii="Times New Roman" w:hAnsi="Times New Roman" w:cs="Times New Roman"/>
          <w:sz w:val="22"/>
          <w:szCs w:val="22"/>
        </w:rPr>
        <w:t xml:space="preserve">and interactions with </w:t>
      </w:r>
      <w:r w:rsidR="00801FD4">
        <w:rPr>
          <w:rFonts w:ascii="Times New Roman" w:hAnsi="Times New Roman" w:cs="Times New Roman"/>
          <w:sz w:val="22"/>
          <w:szCs w:val="22"/>
        </w:rPr>
        <w:t xml:space="preserve">an index of blame avoidance and a measure </w:t>
      </w:r>
      <w:r w:rsidR="003F3E09">
        <w:rPr>
          <w:rFonts w:ascii="Times New Roman" w:hAnsi="Times New Roman" w:cs="Times New Roman"/>
          <w:sz w:val="22"/>
          <w:szCs w:val="22"/>
        </w:rPr>
        <w:t xml:space="preserve">of </w:t>
      </w:r>
      <w:r w:rsidR="00801FD4">
        <w:rPr>
          <w:rFonts w:ascii="Times New Roman" w:hAnsi="Times New Roman" w:cs="Times New Roman"/>
          <w:sz w:val="22"/>
          <w:szCs w:val="22"/>
        </w:rPr>
        <w:t>government composition</w:t>
      </w:r>
      <w:r w:rsidRPr="00B73BBF">
        <w:rPr>
          <w:rFonts w:ascii="Times New Roman" w:hAnsi="Times New Roman" w:cs="Times New Roman"/>
          <w:sz w:val="22"/>
          <w:szCs w:val="22"/>
        </w:rPr>
        <w:t>. We create an additive index of blame avoidance based on federalism, bicameralism, presidentialism, and the type of government (minority/majority). Governments are coded 0 for single party majority governments, 1 for single</w:t>
      </w:r>
      <w:r w:rsidR="00AB5DEC">
        <w:rPr>
          <w:rFonts w:ascii="Times New Roman" w:hAnsi="Times New Roman" w:cs="Times New Roman"/>
          <w:sz w:val="22"/>
          <w:szCs w:val="22"/>
        </w:rPr>
        <w:t>-</w:t>
      </w:r>
      <w:r w:rsidRPr="00B73BBF">
        <w:rPr>
          <w:rFonts w:ascii="Times New Roman" w:hAnsi="Times New Roman" w:cs="Times New Roman"/>
          <w:sz w:val="22"/>
          <w:szCs w:val="22"/>
        </w:rPr>
        <w:t>party minority and 2 for coalition governments. Federalism is coded from 0 (unitary) to 2 (decentralized federalism)</w:t>
      </w:r>
      <w:r w:rsidR="00654CBF">
        <w:rPr>
          <w:rFonts w:ascii="Times New Roman" w:hAnsi="Times New Roman" w:cs="Times New Roman"/>
          <w:sz w:val="22"/>
          <w:szCs w:val="22"/>
        </w:rPr>
        <w:t xml:space="preserve">, </w:t>
      </w:r>
      <w:r w:rsidRPr="00B73BBF">
        <w:rPr>
          <w:rFonts w:ascii="Times New Roman" w:hAnsi="Times New Roman" w:cs="Times New Roman"/>
          <w:sz w:val="22"/>
          <w:szCs w:val="22"/>
        </w:rPr>
        <w:t>parliamentary systems are coded 0, hybrid system</w:t>
      </w:r>
      <w:r w:rsidR="003F3E09">
        <w:rPr>
          <w:rFonts w:ascii="Times New Roman" w:hAnsi="Times New Roman" w:cs="Times New Roman"/>
          <w:sz w:val="22"/>
          <w:szCs w:val="22"/>
        </w:rPr>
        <w:t>s</w:t>
      </w:r>
      <w:r w:rsidRPr="00B73BBF">
        <w:rPr>
          <w:rFonts w:ascii="Times New Roman" w:hAnsi="Times New Roman" w:cs="Times New Roman"/>
          <w:sz w:val="22"/>
          <w:szCs w:val="22"/>
        </w:rPr>
        <w:t xml:space="preserve"> 1 and presidential system</w:t>
      </w:r>
      <w:r w:rsidR="003F3E09">
        <w:rPr>
          <w:rFonts w:ascii="Times New Roman" w:hAnsi="Times New Roman" w:cs="Times New Roman"/>
          <w:sz w:val="22"/>
          <w:szCs w:val="22"/>
        </w:rPr>
        <w:t>s</w:t>
      </w:r>
      <w:r w:rsidRPr="00B73BBF">
        <w:rPr>
          <w:rFonts w:ascii="Times New Roman" w:hAnsi="Times New Roman" w:cs="Times New Roman"/>
          <w:sz w:val="22"/>
          <w:szCs w:val="22"/>
        </w:rPr>
        <w:t xml:space="preserve"> 2. Bicameralism is coded from 0 to 2, depending on the strength of the second chamber. We sum these four measures into an additive index </w:t>
      </w:r>
      <w:r w:rsidR="00DC4236">
        <w:rPr>
          <w:rFonts w:ascii="Times New Roman" w:hAnsi="Times New Roman" w:cs="Times New Roman"/>
          <w:sz w:val="22"/>
          <w:szCs w:val="22"/>
        </w:rPr>
        <w:t>ranging</w:t>
      </w:r>
      <w:r w:rsidRPr="00B73BBF">
        <w:rPr>
          <w:rFonts w:ascii="Times New Roman" w:hAnsi="Times New Roman" w:cs="Times New Roman"/>
          <w:sz w:val="22"/>
          <w:szCs w:val="22"/>
        </w:rPr>
        <w:t xml:space="preserve"> from 1 to 6. </w:t>
      </w:r>
      <w:r w:rsidR="00801FD4">
        <w:rPr>
          <w:rFonts w:ascii="Times New Roman" w:hAnsi="Times New Roman" w:cs="Times New Roman"/>
          <w:sz w:val="22"/>
          <w:szCs w:val="22"/>
        </w:rPr>
        <w:t>The government composition measure represents an inverse of clarity of responsibility and is coded 0 for single party governments, 1 for single</w:t>
      </w:r>
      <w:r w:rsidR="00AB5DEC">
        <w:rPr>
          <w:rFonts w:ascii="Times New Roman" w:hAnsi="Times New Roman" w:cs="Times New Roman"/>
          <w:sz w:val="22"/>
          <w:szCs w:val="22"/>
        </w:rPr>
        <w:t>-</w:t>
      </w:r>
      <w:r w:rsidR="00801FD4">
        <w:rPr>
          <w:rFonts w:ascii="Times New Roman" w:hAnsi="Times New Roman" w:cs="Times New Roman"/>
          <w:sz w:val="22"/>
          <w:szCs w:val="22"/>
        </w:rPr>
        <w:t xml:space="preserve">party minority </w:t>
      </w:r>
      <w:r w:rsidR="002B2D85">
        <w:rPr>
          <w:rFonts w:ascii="Times New Roman" w:hAnsi="Times New Roman" w:cs="Times New Roman"/>
          <w:sz w:val="22"/>
          <w:szCs w:val="22"/>
        </w:rPr>
        <w:t>governments</w:t>
      </w:r>
      <w:r w:rsidR="00801FD4">
        <w:rPr>
          <w:rFonts w:ascii="Times New Roman" w:hAnsi="Times New Roman" w:cs="Times New Roman"/>
          <w:sz w:val="22"/>
          <w:szCs w:val="22"/>
        </w:rPr>
        <w:t xml:space="preserve"> and 2 for coalition governments). Interactions </w:t>
      </w:r>
      <w:r w:rsidR="00801FD4" w:rsidRPr="00634A21">
        <w:rPr>
          <w:rFonts w:ascii="Times New Roman" w:hAnsi="Times New Roman" w:cs="Times New Roman"/>
          <w:sz w:val="22"/>
          <w:szCs w:val="22"/>
        </w:rPr>
        <w:t xml:space="preserve">with single party/coalition governments and majority/minority governments are not significant either (results not shown). </w:t>
      </w:r>
      <w:r w:rsidR="00DA473C" w:rsidRPr="003F3E09">
        <w:rPr>
          <w:rFonts w:ascii="Times New Roman" w:hAnsi="Times New Roman" w:cs="Times New Roman"/>
          <w:sz w:val="22"/>
          <w:szCs w:val="22"/>
          <w:lang w:val="en-CA"/>
        </w:rPr>
        <w:t xml:space="preserve">The fiscal expansion pledge follows the measurement strategy of Horn and Jensen (2017). It uses the </w:t>
      </w:r>
      <w:r w:rsidR="00DA473C" w:rsidRPr="003F3E09">
        <w:rPr>
          <w:rFonts w:ascii="Times New Roman" w:hAnsi="Times New Roman" w:cs="Times New Roman"/>
          <w:sz w:val="22"/>
          <w:szCs w:val="22"/>
        </w:rPr>
        <w:t>Comparative Manifesto Project and divides the sum of positive statement</w:t>
      </w:r>
      <w:r w:rsidR="003F3E09">
        <w:rPr>
          <w:rFonts w:ascii="Times New Roman" w:hAnsi="Times New Roman" w:cs="Times New Roman"/>
          <w:sz w:val="22"/>
          <w:szCs w:val="22"/>
        </w:rPr>
        <w:t>s</w:t>
      </w:r>
      <w:r w:rsidR="00DA473C" w:rsidRPr="003F3E09">
        <w:rPr>
          <w:rFonts w:ascii="Times New Roman" w:hAnsi="Times New Roman" w:cs="Times New Roman"/>
          <w:sz w:val="22"/>
          <w:szCs w:val="22"/>
        </w:rPr>
        <w:t xml:space="preserve"> about welfare state expansion and economic intervention by those about austerity and welfare state limitation.</w:t>
      </w:r>
      <w:r w:rsidR="00DA473C" w:rsidRPr="003F3E09">
        <w:rPr>
          <w:rFonts w:ascii="Times New Roman" w:hAnsi="Times New Roman" w:cs="Times New Roman"/>
          <w:sz w:val="22"/>
          <w:szCs w:val="22"/>
          <w:lang w:val="en-CA"/>
        </w:rPr>
        <w:t xml:space="preserve"> More precisely, this variable is the sum of the share of manifesto statements about education and welfare expansion, equality, market regulation and economic planning </w:t>
      </w:r>
      <w:r w:rsidR="00A6724E">
        <w:rPr>
          <w:rFonts w:ascii="Times New Roman" w:hAnsi="Times New Roman" w:cs="Times New Roman"/>
          <w:sz w:val="22"/>
          <w:szCs w:val="22"/>
          <w:lang w:val="en-CA"/>
        </w:rPr>
        <w:t>divided by</w:t>
      </w:r>
      <w:r w:rsidR="00A6724E" w:rsidRPr="003F3E09">
        <w:rPr>
          <w:rFonts w:ascii="Times New Roman" w:hAnsi="Times New Roman" w:cs="Times New Roman"/>
          <w:sz w:val="22"/>
          <w:szCs w:val="22"/>
          <w:lang w:val="en-CA"/>
        </w:rPr>
        <w:t xml:space="preserve"> </w:t>
      </w:r>
      <w:r w:rsidR="00DA473C" w:rsidRPr="003F3E09">
        <w:rPr>
          <w:rFonts w:ascii="Times New Roman" w:hAnsi="Times New Roman" w:cs="Times New Roman"/>
          <w:sz w:val="22"/>
          <w:szCs w:val="22"/>
          <w:lang w:val="en-CA"/>
        </w:rPr>
        <w:t>the sum of statements about free market economy, economic orthodoxy, welfare state limitation and education limitation.</w:t>
      </w:r>
      <w:r w:rsidR="00634A21" w:rsidRPr="00634A21">
        <w:rPr>
          <w:rFonts w:ascii="Times New Roman" w:hAnsi="Times New Roman" w:cs="Times New Roman"/>
          <w:sz w:val="22"/>
          <w:szCs w:val="22"/>
          <w:lang w:val="en-CA"/>
        </w:rPr>
        <w:t xml:space="preserve"> The </w:t>
      </w:r>
      <w:r w:rsidR="00634A21" w:rsidRPr="003F3E09">
        <w:rPr>
          <w:rFonts w:ascii="Times New Roman" w:hAnsi="Times New Roman" w:cs="Times New Roman"/>
          <w:sz w:val="22"/>
          <w:szCs w:val="22"/>
        </w:rPr>
        <w:t>misery index is created with a principal component analysis, including economic growth, unemployment rates and long-term interest rates on government bonds</w:t>
      </w:r>
    </w:p>
    <w:p w14:paraId="6B116647" w14:textId="28633722" w:rsidR="0093187A" w:rsidRPr="00B73BBF" w:rsidRDefault="0093187A">
      <w:pPr>
        <w:rPr>
          <w:rFonts w:ascii="Times New Roman" w:hAnsi="Times New Roman" w:cs="Times New Roman"/>
          <w:b/>
          <w:bCs/>
          <w:sz w:val="22"/>
          <w:szCs w:val="22"/>
          <w:lang w:val="en-CA"/>
        </w:rPr>
      </w:pPr>
    </w:p>
    <w:p w14:paraId="75463429" w14:textId="214BFEFC" w:rsidR="0093187A" w:rsidRPr="004C7B06" w:rsidRDefault="0093187A">
      <w:pPr>
        <w:rPr>
          <w:rFonts w:ascii="Times New Roman" w:hAnsi="Times New Roman" w:cs="Times New Roman"/>
          <w:sz w:val="22"/>
          <w:szCs w:val="22"/>
          <w:lang w:val="en-CA"/>
        </w:rPr>
      </w:pPr>
    </w:p>
    <w:p w14:paraId="7B81C736" w14:textId="5296BFCB" w:rsidR="0093187A" w:rsidRDefault="00F904E2">
      <w:pPr>
        <w:rPr>
          <w:rFonts w:ascii="Times New Roman" w:hAnsi="Times New Roman" w:cs="Times New Roman"/>
          <w:b/>
          <w:bCs/>
          <w:sz w:val="22"/>
          <w:szCs w:val="22"/>
          <w:lang w:val="en-CA"/>
        </w:rPr>
      </w:pPr>
      <w:r w:rsidRPr="00200E36">
        <w:rPr>
          <w:rFonts w:ascii="Times New Roman" w:hAnsi="Times New Roman" w:cs="Times New Roman"/>
          <w:b/>
          <w:bCs/>
          <w:sz w:val="22"/>
          <w:szCs w:val="22"/>
          <w:lang w:val="en-CA"/>
        </w:rPr>
        <w:t xml:space="preserve">Table 3 with </w:t>
      </w:r>
      <w:r w:rsidR="00703683" w:rsidRPr="00200E36">
        <w:rPr>
          <w:rFonts w:ascii="Times New Roman" w:hAnsi="Times New Roman" w:cs="Times New Roman"/>
          <w:b/>
          <w:bCs/>
          <w:sz w:val="22"/>
          <w:szCs w:val="22"/>
          <w:lang w:val="en-CA"/>
        </w:rPr>
        <w:t>alternative</w:t>
      </w:r>
      <w:r w:rsidRPr="00200E36">
        <w:rPr>
          <w:rFonts w:ascii="Times New Roman" w:hAnsi="Times New Roman" w:cs="Times New Roman"/>
          <w:b/>
          <w:bCs/>
          <w:sz w:val="22"/>
          <w:szCs w:val="22"/>
          <w:lang w:val="en-CA"/>
        </w:rPr>
        <w:t xml:space="preserve"> </w:t>
      </w:r>
      <w:r w:rsidR="00200E36" w:rsidRPr="00200E36">
        <w:rPr>
          <w:rFonts w:ascii="Times New Roman" w:hAnsi="Times New Roman" w:cs="Times New Roman"/>
          <w:b/>
          <w:bCs/>
          <w:sz w:val="22"/>
          <w:szCs w:val="22"/>
          <w:lang w:val="en-CA"/>
        </w:rPr>
        <w:t>interactions</w:t>
      </w:r>
    </w:p>
    <w:p w14:paraId="7C48BB77" w14:textId="0D4CC137" w:rsidR="00B73BBF" w:rsidRDefault="00B73BBF">
      <w:pPr>
        <w:rPr>
          <w:rFonts w:ascii="Times New Roman" w:hAnsi="Times New Roman" w:cs="Times New Roman"/>
          <w:b/>
          <w:bCs/>
          <w:sz w:val="22"/>
          <w:szCs w:val="22"/>
          <w:lang w:val="en-CA"/>
        </w:rPr>
      </w:pPr>
    </w:p>
    <w:p w14:paraId="549D0D8E" w14:textId="77777777" w:rsidR="00B73BBF" w:rsidRPr="00200E36" w:rsidRDefault="00B73BBF">
      <w:pPr>
        <w:rPr>
          <w:rFonts w:ascii="Times New Roman" w:hAnsi="Times New Roman" w:cs="Times New Roman"/>
          <w:b/>
          <w:bCs/>
          <w:sz w:val="22"/>
          <w:szCs w:val="22"/>
          <w:lang w:val="en-CA"/>
        </w:rPr>
      </w:pPr>
    </w:p>
    <w:tbl>
      <w:tblPr>
        <w:tblW w:w="12960" w:type="dxa"/>
        <w:tblLook w:val="04A0" w:firstRow="1" w:lastRow="0" w:firstColumn="1" w:lastColumn="0" w:noHBand="0" w:noVBand="1"/>
      </w:tblPr>
      <w:tblGrid>
        <w:gridCol w:w="2851"/>
        <w:gridCol w:w="1086"/>
        <w:gridCol w:w="980"/>
        <w:gridCol w:w="981"/>
        <w:gridCol w:w="1259"/>
        <w:gridCol w:w="981"/>
        <w:gridCol w:w="981"/>
        <w:gridCol w:w="981"/>
        <w:gridCol w:w="1879"/>
        <w:gridCol w:w="981"/>
      </w:tblGrid>
      <w:tr w:rsidR="00285EAF" w:rsidRPr="00285EAF" w14:paraId="6B8AF935" w14:textId="77777777" w:rsidTr="00285EAF">
        <w:trPr>
          <w:trHeight w:val="280"/>
        </w:trPr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8206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CC8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91F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783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BA7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30B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C3A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BC5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7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7966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1A9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9</w:t>
            </w:r>
          </w:p>
        </w:tc>
      </w:tr>
      <w:tr w:rsidR="00285EAF" w:rsidRPr="00285EAF" w14:paraId="2CFA29B4" w14:textId="77777777" w:rsidTr="00C67051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44E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3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B2F0" w14:textId="73ECEA55" w:rsidR="00285EAF" w:rsidRPr="00285EAF" w:rsidRDefault="003914EC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Fiscal expansion pledge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5C7A" w14:textId="5303E3DB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Blame avoidance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22D0" w14:textId="264617B1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Misery index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2786" w14:textId="13BDE34F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Government composition</w:t>
            </w:r>
          </w:p>
        </w:tc>
      </w:tr>
      <w:tr w:rsidR="00285EAF" w:rsidRPr="00285EAF" w14:paraId="162634EB" w14:textId="77777777" w:rsidTr="00285EAF">
        <w:trPr>
          <w:trHeight w:val="280"/>
        </w:trPr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B90F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1FA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4EFF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5EF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B4E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B7BF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F77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C12F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E9B6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C975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 </w:t>
            </w:r>
          </w:p>
        </w:tc>
      </w:tr>
      <w:tr w:rsidR="00285EAF" w:rsidRPr="00285EAF" w14:paraId="2848DB5D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E3AD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 xml:space="preserve">Lagged dependent variable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488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0.739***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27D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0.740***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E64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0.738***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3D4F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0.737***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E1C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0.740***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869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0.736***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BC3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0.734***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C1A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0.726***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D8D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0.728***</w:t>
            </w:r>
          </w:p>
        </w:tc>
      </w:tr>
      <w:tr w:rsidR="00285EAF" w:rsidRPr="00285EAF" w14:paraId="5301D376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47E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C0A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(0.0336)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04E2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(0.0349)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1982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(0.0310)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6E0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(0.0305)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38FF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(0.0317)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4D8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(0.0319)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108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(0.0318)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BE06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(0.0379)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CCF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(0.0358)</w:t>
            </w:r>
          </w:p>
        </w:tc>
      </w:tr>
      <w:tr w:rsidR="00285EAF" w:rsidRPr="00285EAF" w14:paraId="19EE5212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2FA3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Spending cuts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248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0.416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391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41EF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0.894*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3D1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C8A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0.148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00C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-0.0738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4555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9776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0.679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4B95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285EAF" w:rsidRPr="00285EAF" w14:paraId="4DBF34D0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463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B4D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(0.651)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A3A6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07B2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(0.484)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232F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B50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(0.823)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268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(0.558)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0AB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DF0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(0.970)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F37F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285EAF" w:rsidRPr="00285EAF" w14:paraId="642A5DAF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FC0F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Spending cuts t-1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A5E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-0.892**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D885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451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-1.173**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C7A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C11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-0.738**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69C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-0.512*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4DB6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F9D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0.114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565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285EAF" w:rsidRPr="00285EAF" w14:paraId="7449BAEA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FC2F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695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(0.375)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3FB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2FA5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(0.530)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9BB2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AB7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(0.364)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F016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(0.297)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5F7F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6D5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(0.491)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8E0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285EAF" w:rsidRPr="00285EAF" w14:paraId="19C121B3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9B31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Tax increases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8E21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4DF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-0.356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15F6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434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0.0973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BF02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881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D3EF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-0.330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56E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EF6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-0.736</w:t>
            </w:r>
          </w:p>
        </w:tc>
      </w:tr>
      <w:tr w:rsidR="00285EAF" w:rsidRPr="00285EAF" w14:paraId="5A5DB823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921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4451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B2D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(0.833)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ACA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9EF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(0.559)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662F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0DF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951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(0.559)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B34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49D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(1.143)</w:t>
            </w:r>
          </w:p>
        </w:tc>
      </w:tr>
      <w:tr w:rsidR="00285EAF" w:rsidRPr="00285EAF" w14:paraId="3B74F1E1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FA4B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Tax increases t-1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F873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082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-0.241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98B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329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-0.602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EA4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7A3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8B0F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-0.785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8F7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EFD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0.484</w:t>
            </w:r>
          </w:p>
        </w:tc>
      </w:tr>
      <w:tr w:rsidR="00285EAF" w:rsidRPr="00285EAF" w14:paraId="3B7A810D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1896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EFC9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BBD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(0.776)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6445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8402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(0.769)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0B82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385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51B2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(0.710)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0FA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3CE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(1.029)</w:t>
            </w:r>
          </w:p>
        </w:tc>
      </w:tr>
      <w:tr w:rsidR="00285EAF" w:rsidRPr="00285EAF" w14:paraId="316091DB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915C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Constitutive term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54C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-0.0257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644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-0.0418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D9E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0.0215*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FCB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0.0141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D07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-0.0150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427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-1.742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E77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-1.086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5D7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1.102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24E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0.879</w:t>
            </w:r>
          </w:p>
        </w:tc>
      </w:tr>
      <w:tr w:rsidR="00285EAF" w:rsidRPr="00285EAF" w14:paraId="079D9E99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5EC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67B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(0.0634)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6BA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(0.0592)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46D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(0.0120)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1D5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(0.0113)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62D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(0.0143)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33A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(2.234)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EA6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(2.235)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4FDF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(1.085)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068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(1.115)</w:t>
            </w:r>
          </w:p>
        </w:tc>
      </w:tr>
      <w:tr w:rsidR="00285EAF" w:rsidRPr="00285EAF" w14:paraId="7A64CDA5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0B8E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Constitutive term t-1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145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-0.0408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FC1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-0.0227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E322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-0.0257*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74F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-0.0194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9A2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0.0213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4242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2.637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A14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1.373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6586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-0.162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ABE2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-0.102</w:t>
            </w:r>
          </w:p>
        </w:tc>
      </w:tr>
      <w:tr w:rsidR="00285EAF" w:rsidRPr="00285EAF" w14:paraId="2B2AC42A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3D4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F2CF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(0.0621)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9CE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(0.0604)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427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(0.0138)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261F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(0.0141)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715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(0.0140)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F19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(1.896)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5B3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(2.252)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192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(0.814)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35B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(0.856)</w:t>
            </w:r>
          </w:p>
        </w:tc>
      </w:tr>
      <w:tr w:rsidR="00285EAF" w:rsidRPr="00285EAF" w14:paraId="17F06D66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3D73" w14:textId="7109E883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 xml:space="preserve">Spending cuts * </w:t>
            </w:r>
            <w:r w:rsidR="003914E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fiscal expansion pledge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357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-0.0240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54D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E645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ABF2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5CA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12C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D2C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F38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AC8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285EAF" w:rsidRPr="00285EAF" w14:paraId="6C8141A4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A32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7C8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(0.0347)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A4C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6C2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37E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D4F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9E82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C375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3E5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4DF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285EAF" w:rsidRPr="00285EAF" w14:paraId="75F72E74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17E8" w14:textId="303312AA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 xml:space="preserve">Spending cuts t-1 * </w:t>
            </w:r>
            <w:r w:rsidR="003914E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fiscal expansion pledge</w:t>
            </w:r>
            <w:r w:rsidR="003914EC"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t-1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E55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0.0114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0E1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D61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9BA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109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5B7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435F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444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AE3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285EAF" w:rsidRPr="00285EAF" w14:paraId="485DF65A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FF3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C4F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(0.0256)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109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816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C1EF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90D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751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0B8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5D3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B82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285EAF" w:rsidRPr="00285EAF" w14:paraId="48CB064D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C564" w14:textId="68F4B378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 xml:space="preserve">Tax increases * </w:t>
            </w:r>
            <w:r w:rsidR="003914E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fiscal expansion pledge</w:t>
            </w:r>
            <w:r w:rsidR="003914EC"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t-1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8059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82D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-0.00275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47E6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1B92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81C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DC6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3F5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DF2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6A6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285EAF" w:rsidRPr="00285EAF" w14:paraId="676C96A9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8EB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CF8A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A3A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(0.0536)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BC5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8B7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DB4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E945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B19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D5A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2B2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285EAF" w:rsidRPr="00285EAF" w14:paraId="7ECDDFA9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AD08" w14:textId="2C11646A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 xml:space="preserve">Tax increases * </w:t>
            </w:r>
            <w:r w:rsidR="003914E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fiscal expansion pledge</w:t>
            </w:r>
            <w:r w:rsidR="003914EC"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t-1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EB5D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385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-0.0279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F8B6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4F6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3B3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D50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CB0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A2F5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507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285EAF" w:rsidRPr="00285EAF" w14:paraId="63368B99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4EF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CA86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2F06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(0.0579)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E9C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113F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8B7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EA3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A92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55F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0CC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285EAF" w:rsidRPr="00285EAF" w14:paraId="6FE951F8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690A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Spending cuts *left gvt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7329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AD2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B96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-0.0158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ED5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35C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702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5AB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E4F2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DB0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285EAF" w:rsidRPr="00285EAF" w14:paraId="6816E0B7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858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CF14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2B3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23F6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(0.0123)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657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680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D05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02C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96B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A43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285EAF" w:rsidRPr="00285EAF" w14:paraId="7C1A4A95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CDA8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Spending cuts t-1 *left gvt t-1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8591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D5D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05A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0.0110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C25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5CC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F75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C0C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D1E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702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285EAF" w:rsidRPr="00285EAF" w14:paraId="6DFE558B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26F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E736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EAC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4D7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(0.00801)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06E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A87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7696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34A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D48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A53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285EAF" w:rsidRPr="00285EAF" w14:paraId="7E3C93E1" w14:textId="77777777" w:rsidTr="00285EAF">
        <w:trPr>
          <w:trHeight w:val="280"/>
        </w:trPr>
        <w:tc>
          <w:tcPr>
            <w:tcW w:w="4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AD88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Spending cuts * blame avoidance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13F3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071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-0.0573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4DC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9805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D1A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EBB5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31C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285EAF" w:rsidRPr="00285EAF" w14:paraId="418BC0BA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10D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6D9C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E19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820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F90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(0.376)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052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2B3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F31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7FF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B1D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285EAF" w:rsidRPr="00285EAF" w14:paraId="43738D08" w14:textId="77777777" w:rsidTr="00285EAF">
        <w:trPr>
          <w:trHeight w:val="280"/>
        </w:trPr>
        <w:tc>
          <w:tcPr>
            <w:tcW w:w="4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72D1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Spending cuts t-1 * blame avoidance t-1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8E32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FEEF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-0.211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10D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A3F2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777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260F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D88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285EAF" w:rsidRPr="00285EAF" w14:paraId="7B9FD84E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4B8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D819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2C6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F01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9FC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(0.210)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BE8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33F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5CA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0E3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7A9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285EAF" w:rsidRPr="00285EAF" w14:paraId="60F97233" w14:textId="77777777" w:rsidTr="00285EAF">
        <w:trPr>
          <w:trHeight w:val="280"/>
        </w:trPr>
        <w:tc>
          <w:tcPr>
            <w:tcW w:w="4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264A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 xml:space="preserve">Tax increases blame avoidance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CBC2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BA6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DA1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0.170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007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D4F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DBF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932F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285EAF" w:rsidRPr="00285EAF" w14:paraId="20C64D4F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FFB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0778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729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F4B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509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A6D6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(0.499)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499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FF2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487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CEE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285EAF" w:rsidRPr="00285EAF" w14:paraId="6065A007" w14:textId="77777777" w:rsidTr="00285EAF">
        <w:trPr>
          <w:trHeight w:val="280"/>
        </w:trPr>
        <w:tc>
          <w:tcPr>
            <w:tcW w:w="4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9DEC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Tax increases t-1 blame avoidance t-1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58DA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6F4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ABB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-0.580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421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267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AE72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37F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285EAF" w:rsidRPr="00285EAF" w14:paraId="0610E906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1272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7A74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823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5C2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651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E9A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(0.435)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20B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B21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FD82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3B12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285EAF" w:rsidRPr="00285EAF" w14:paraId="7ED40C6B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4998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 xml:space="preserve">Spending cuts * misery index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31D3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2AD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727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E1B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7EE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3D3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-0.276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C7F5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FAB6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09D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285EAF" w:rsidRPr="00285EAF" w14:paraId="4D2CE81F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5A5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4E11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C96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3FF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2A7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1BF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0116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(0.640)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9CD6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6A2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0F2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285EAF" w:rsidRPr="00285EAF" w14:paraId="77A791AE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BEB5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Spending cuts t-1 * misery index t-1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109A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BE8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5866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179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1A8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887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-1.145***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E126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626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873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285EAF" w:rsidRPr="00285EAF" w14:paraId="38F4936E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BE76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B79F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00E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F22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E5B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4B25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88D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(0.307)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1F2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4D6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06C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285EAF" w:rsidRPr="00285EAF" w14:paraId="738E389B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BC34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Tax increases *misery index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D72E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D3B5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91F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321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338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072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459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-0.904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1EC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796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285EAF" w:rsidRPr="00285EAF" w14:paraId="7E940A4B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7F4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BEA6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BE9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BFD5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0B4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2FEF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CF0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D68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(0.725)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CFD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D8D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285EAF" w:rsidRPr="00285EAF" w14:paraId="59070C90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DD0E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Tax increases t-1 * misery index t-1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14AA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888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D44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64F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C0D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9F72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99C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0.491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439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3CA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285EAF" w:rsidRPr="00285EAF" w14:paraId="55C9E6AD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E31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40C7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CE2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D9C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994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172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40D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FDE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(0.844)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79C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D8F5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285EAF" w:rsidRPr="00285EAF" w14:paraId="201A4FB6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531D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Spending cuts * gvt composition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5853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4B5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CEC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97A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1F0F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49EF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143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4DC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-0.389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175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285EAF" w:rsidRPr="00285EAF" w14:paraId="154BCFED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B57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45A0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175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529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844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7E7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AF9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DA3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4A1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(0.548)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285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285EAF" w:rsidRPr="00285EAF" w14:paraId="5A88CA98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78AA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Spending cuts t-1 * gvt composition t-1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C2C3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84B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0E9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9F15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B59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DD8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B00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A4CF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-0.624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7AF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285EAF" w:rsidRPr="00285EAF" w14:paraId="7B402F14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1A2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804B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6CF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815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F49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4D12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B44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1B06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B276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(0.410)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2752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285EAF" w:rsidRPr="00285EAF" w14:paraId="54C39CD7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1E9B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Tax increases * gvt composition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0265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874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82A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44A5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5C5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31F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C6D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23F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345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0.0794</w:t>
            </w:r>
          </w:p>
        </w:tc>
      </w:tr>
      <w:tr w:rsidR="00285EAF" w:rsidRPr="00285EAF" w14:paraId="4C1C444C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C1C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57FE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7262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DB8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10F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2A7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541F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2652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D16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76C5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(0.606)</w:t>
            </w:r>
          </w:p>
        </w:tc>
      </w:tr>
      <w:tr w:rsidR="00285EAF" w:rsidRPr="00285EAF" w14:paraId="58DD3582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048D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Tax increases t-1 * gvt composition t-1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9978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815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8E8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837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4FB6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9B7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D282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9AC2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D84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-0.916</w:t>
            </w:r>
          </w:p>
        </w:tc>
      </w:tr>
      <w:tr w:rsidR="00285EAF" w:rsidRPr="00285EAF" w14:paraId="08464512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9B46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A2E5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1C8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6CF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49D2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F46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CC1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8E1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967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72A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(0.678)</w:t>
            </w:r>
          </w:p>
        </w:tc>
      </w:tr>
      <w:tr w:rsidR="00285EAF" w:rsidRPr="00285EAF" w14:paraId="18459CD9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7E70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Right-left index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3953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E63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B2C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5E7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0.0363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F372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0.0433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36E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0.0323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0C1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0.0322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DC0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0.0312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C4A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0.0362</w:t>
            </w:r>
          </w:p>
        </w:tc>
      </w:tr>
      <w:tr w:rsidR="00285EAF" w:rsidRPr="00285EAF" w14:paraId="063348C6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FF6F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0D8F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DE5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D28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07E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(0.0298)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B20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(0.0283)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0FA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(0.0276)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6F75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(0.0278)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A3A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(0.0288)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612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(0.0267)</w:t>
            </w:r>
          </w:p>
        </w:tc>
      </w:tr>
      <w:tr w:rsidR="00285EAF" w:rsidRPr="00285EAF" w14:paraId="351CA79B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968A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Right-left index t-1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1854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3372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699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A32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-0.00136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7B6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-0.00702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609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-0.00238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D36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-0.00300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FFF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0.00175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8A9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-0.00390</w:t>
            </w:r>
          </w:p>
        </w:tc>
      </w:tr>
      <w:tr w:rsidR="00285EAF" w:rsidRPr="00285EAF" w14:paraId="5250CA4B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B15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FE46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93D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020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DAD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(0.0310)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BC6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(0.0287)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768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(0.0329)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4BA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(0.0301)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E085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(0.0300)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42C2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-0.027</w:t>
            </w:r>
          </w:p>
        </w:tc>
      </w:tr>
      <w:tr w:rsidR="00285EAF" w:rsidRPr="00285EAF" w14:paraId="7F5933F4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7378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Unemployment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7C5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-0.388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D75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-0.315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5552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-0.475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102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-0.574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123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-0.480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BF72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5A0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4BD6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-0.503*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238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-0.428</w:t>
            </w:r>
          </w:p>
        </w:tc>
      </w:tr>
      <w:tr w:rsidR="00285EAF" w:rsidRPr="00285EAF" w14:paraId="42E13340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1B2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058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(0.356)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D08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(0.333)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A5A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(0.361)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027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(0.373)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FF3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(0.341)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260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42E5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2F4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(0.296)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43D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(0.317)</w:t>
            </w:r>
          </w:p>
        </w:tc>
      </w:tr>
      <w:tr w:rsidR="00285EAF" w:rsidRPr="00285EAF" w14:paraId="26E25053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0068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Unemployment t-1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6DA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0.386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3BC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0.306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D28F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0.496*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7C6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0.548*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88E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0.458*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43B5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7AA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405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0.478**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18E2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0.426*</w:t>
            </w:r>
          </w:p>
        </w:tc>
      </w:tr>
      <w:tr w:rsidR="00285EAF" w:rsidRPr="00285EAF" w14:paraId="21FE61F6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38C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D03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(0.261)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7DB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(0.261)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A3E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(0.275)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085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(0.282)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D962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(0.265)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4E0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630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8A8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(0.229)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BF8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(0.257)</w:t>
            </w:r>
          </w:p>
        </w:tc>
      </w:tr>
      <w:tr w:rsidR="00285EAF" w:rsidRPr="00285EAF" w14:paraId="76C08A0C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D6C3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GDP growth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B9C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0.473***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DC75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0.483***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48F2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0.458***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60F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0.418***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3FD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0.440***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F4B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19F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4B4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0.495***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039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0.479***</w:t>
            </w:r>
          </w:p>
        </w:tc>
      </w:tr>
      <w:tr w:rsidR="00285EAF" w:rsidRPr="00285EAF" w14:paraId="478698BE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F88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3652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(0.107)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DB7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(0.112)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C28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(0.109)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259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(0.108)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E1D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(0.114)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283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718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56A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(0.123)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77D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(0.104)</w:t>
            </w:r>
          </w:p>
        </w:tc>
      </w:tr>
      <w:tr w:rsidR="00285EAF" w:rsidRPr="00285EAF" w14:paraId="3313DB48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889E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GDP growth t-1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D5D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-0.00679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54A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-0.00218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33D5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-0.00662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5B0F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-0.0582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F87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-0.0559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831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EAB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F3A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-0.0236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3BB2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-0.0498</w:t>
            </w:r>
          </w:p>
        </w:tc>
      </w:tr>
      <w:tr w:rsidR="00285EAF" w:rsidRPr="00285EAF" w14:paraId="3836B66A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14C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C66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(0.166)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282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(0.169)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30D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(0.188)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802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(0.195)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1BC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(0.201)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B4F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B54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881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(0.190)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599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(0.196)</w:t>
            </w:r>
          </w:p>
        </w:tc>
      </w:tr>
      <w:tr w:rsidR="00285EAF" w:rsidRPr="00285EAF" w14:paraId="53A9FD0D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D6D4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Inflation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4016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40E5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-0.162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4DCF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-0.201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D605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-0.195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2CC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63A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-0.143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CE52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-0.195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FDE6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-0.182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3FC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-0.163</w:t>
            </w:r>
          </w:p>
        </w:tc>
      </w:tr>
      <w:tr w:rsidR="00285EAF" w:rsidRPr="00285EAF" w14:paraId="4EFDA5B2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BF4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D62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(0.194)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30B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(0.177)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01C6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(0.203)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D73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(0.187)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C52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(0.166)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576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(0.236)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523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(0.227)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25B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(0.193)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51C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(0.176)</w:t>
            </w:r>
          </w:p>
        </w:tc>
      </w:tr>
      <w:tr w:rsidR="00285EAF" w:rsidRPr="00285EAF" w14:paraId="0708A843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8C68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Inflation t-1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5D7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0.113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05B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0.117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A18F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0.126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E7D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0.120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8E8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0.129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C64F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-0.191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827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-0.0522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F64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0.144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CC3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0.126</w:t>
            </w:r>
          </w:p>
        </w:tc>
      </w:tr>
      <w:tr w:rsidR="00285EAF" w:rsidRPr="00285EAF" w14:paraId="66CB2F27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C7F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10D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(0.202)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29DF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(0.190)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566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(0.203)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B51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(0.199)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37C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(0.151)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792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(0.237)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CAA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(0.208)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0BD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(0.217)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0B6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(0.160)</w:t>
            </w:r>
          </w:p>
        </w:tc>
      </w:tr>
      <w:tr w:rsidR="00285EAF" w:rsidRPr="00285EAF" w14:paraId="2BBDB95A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E8FA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Δ debt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715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0.107*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40F5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0.113*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05F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0.0923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C472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0.0826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42F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0.0919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46A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-0.0220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87E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-0.0313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7FE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0.0957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E31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0.102</w:t>
            </w:r>
          </w:p>
        </w:tc>
      </w:tr>
      <w:tr w:rsidR="00285EAF" w:rsidRPr="00285EAF" w14:paraId="24509DE9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71B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250F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(0.0648)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8C2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(0.0632)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E752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(0.0680)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1A3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(0.0644)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941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(0.0668)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035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(0.0774)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DC2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(0.0721)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6D55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(0.0703)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3E8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(0.0711)</w:t>
            </w:r>
          </w:p>
        </w:tc>
      </w:tr>
      <w:tr w:rsidR="00285EAF" w:rsidRPr="00285EAF" w14:paraId="76F835CF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C2B2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Δ debt t-1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F25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-0.141**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DEF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-0.131**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01D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-0.141**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CFC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-0.122**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9E4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-0.106**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C31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-0.161*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07A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-0.166*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5C86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-0.100**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45C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-0.108**</w:t>
            </w:r>
          </w:p>
        </w:tc>
      </w:tr>
      <w:tr w:rsidR="00285EAF" w:rsidRPr="00285EAF" w14:paraId="0CCB04B0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3C96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200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(0.0572)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AF12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(0.0598)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090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(0.0560)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047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(0.0489)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899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(0.0496)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4412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(0.0849)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4015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(0.0876)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1B6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(0.0493)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0E7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(0.0537)</w:t>
            </w:r>
          </w:p>
        </w:tc>
      </w:tr>
      <w:tr w:rsidR="00285EAF" w:rsidRPr="00285EAF" w14:paraId="2ED1B639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8769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Log trade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BF2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-5.528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211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-4.993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B0A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-6.847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823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-6.532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2A3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-6.171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417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-1.446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68F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-1.499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AE4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-7.291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3AC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-6.410</w:t>
            </w:r>
          </w:p>
        </w:tc>
      </w:tr>
      <w:tr w:rsidR="00285EAF" w:rsidRPr="00285EAF" w14:paraId="24A58CAD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63F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3B4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(5.828)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A56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(5.905)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55AF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(5.636)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D85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(5.682)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68A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(5.782)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991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(6.137)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55A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(6.425)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03D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(5.596)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113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(5.794)</w:t>
            </w:r>
          </w:p>
        </w:tc>
      </w:tr>
      <w:tr w:rsidR="00285EAF" w:rsidRPr="00285EAF" w14:paraId="23339AF7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A1EF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Log trade t-1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4CE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9.820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162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9.084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C70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10.91*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86B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10.38*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34E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9.466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69E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6.203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149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5.075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9B22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11.50*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47D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10.19</w:t>
            </w:r>
          </w:p>
        </w:tc>
      </w:tr>
      <w:tr w:rsidR="00285EAF" w:rsidRPr="00285EAF" w14:paraId="2406681F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B99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AB9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(6.183)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1E8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(6.365)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8E0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(6.309)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1AC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(6.112)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3BE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(6.207)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FCA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(5.796)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862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(6.017)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C2E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(6.240)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53B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(6.432)</w:t>
            </w:r>
          </w:p>
        </w:tc>
      </w:tr>
      <w:tr w:rsidR="00285EAF" w:rsidRPr="00285EAF" w14:paraId="6F599D92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374B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Years in office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FD6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-0.217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4B5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-0.211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D45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-0.171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4E1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-0.166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BAD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B945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61A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-0.176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6E5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-0.198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444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-0.179</w:t>
            </w:r>
          </w:p>
        </w:tc>
      </w:tr>
      <w:tr w:rsidR="00285EAF" w:rsidRPr="00285EAF" w14:paraId="2FF370AF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E525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A71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(0.174)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FCD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(0.169)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5AE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(0.184)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988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(0.169)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4A0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(0.167)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EA9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(0.153)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A82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(0.156)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BF5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(0.164)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C73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(0.162)</w:t>
            </w:r>
          </w:p>
        </w:tc>
      </w:tr>
      <w:tr w:rsidR="00285EAF" w:rsidRPr="00285EAF" w14:paraId="0E58D84F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AC0A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Years in office t-1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B38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0.119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2F3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0.128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1D6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0.0486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031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0.0759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2B6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0.0955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ED4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0.0467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94F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0.0329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595F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0.113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527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0.107</w:t>
            </w:r>
          </w:p>
        </w:tc>
      </w:tr>
      <w:tr w:rsidR="00285EAF" w:rsidRPr="00285EAF" w14:paraId="6DC97DF8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F4D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A10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(0.159)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DAA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(0.159)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B5E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(0.179)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ACD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(0.145)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8D9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(0.141)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1566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(0.145)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DCB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(0.147)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6F36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(0.149)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163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(0.146)</w:t>
            </w:r>
          </w:p>
        </w:tc>
      </w:tr>
      <w:tr w:rsidR="00285EAF" w:rsidRPr="00285EAF" w14:paraId="55EEC75F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7732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Election year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ACC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2.817***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328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2.761***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000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2.745***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A85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2.766***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207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2.712***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B0D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2.765***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485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2.745***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52E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2.852***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41B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2.722***</w:t>
            </w:r>
          </w:p>
        </w:tc>
      </w:tr>
      <w:tr w:rsidR="00285EAF" w:rsidRPr="00285EAF" w14:paraId="5EF23F91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62B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490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(0.720)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E09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(0.713)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160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(0.712)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23D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(0.723)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E1A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(0.715)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3852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(0.772)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549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(0.739)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048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(0.757)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FA4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(0.748)</w:t>
            </w:r>
          </w:p>
        </w:tc>
      </w:tr>
      <w:tr w:rsidR="00285EAF" w:rsidRPr="00285EAF" w14:paraId="1DA7C9B0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811C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Election year t-1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C41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-0.0861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C985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-0.114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CB3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-0.167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8C9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-0.0825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681F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-0.0798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581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0.229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04C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0.188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777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-0.0294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0D2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-0.0801</w:t>
            </w:r>
          </w:p>
        </w:tc>
      </w:tr>
      <w:tr w:rsidR="00285EAF" w:rsidRPr="00285EAF" w14:paraId="3A726F78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33D6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7CD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(1.108)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5E16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(1.080)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2FE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(1.052)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CC4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(1.071)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0EF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(1.052)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230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(1.180)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87D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(1.138)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694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(1.056)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5DC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(1.035)</w:t>
            </w:r>
          </w:p>
        </w:tc>
      </w:tr>
      <w:tr w:rsidR="00285EAF" w:rsidRPr="00285EAF" w14:paraId="3B85A842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1AF2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Government composition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934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CAB5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0.944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5945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1.278*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8BE6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DC9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0F4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0.293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295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0.253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46A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354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285EAF" w:rsidRPr="00285EAF" w14:paraId="7A5D8B03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CB5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6B0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(0.780)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C6E2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(0.765)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8FB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(0.729)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26A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EA92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B516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(0.979)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E2D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(1.006)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F1E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1EE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285EAF" w:rsidRPr="00285EAF" w14:paraId="3ED0E0A4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DF08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Government composition t-1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3A4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-0.481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9AA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-0.542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BE9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-0.540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1F6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2C6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170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-0.102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5C8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-0.106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D58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5DB5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285EAF" w:rsidRPr="00285EAF" w14:paraId="0EB57759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BF0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6C6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(0.657)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6A0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(0.690)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6F8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(0.709)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5CF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276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98C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(0.808)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E0D5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(0.809)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43B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926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285EAF" w:rsidRPr="00285EAF" w14:paraId="340851CD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3838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Government turnover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A09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2.238**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E8C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2.195**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A99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2.334***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6EB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2.297**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C45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2.261**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D682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2.855**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3862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2.688**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C485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2.223**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EFA5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2.155**</w:t>
            </w:r>
          </w:p>
        </w:tc>
      </w:tr>
      <w:tr w:rsidR="00285EAF" w:rsidRPr="00285EAF" w14:paraId="329F156C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FC8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1685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(0.897)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C4B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(0.967)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20A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(0.891)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CE5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(0.967)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6688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(0.919)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315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(1.161)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D0D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(1.203)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9F3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(0.947)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F126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(0.985)</w:t>
            </w:r>
          </w:p>
        </w:tc>
      </w:tr>
      <w:tr w:rsidR="00285EAF" w:rsidRPr="00285EAF" w14:paraId="789239C1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A92D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lastRenderedPageBreak/>
              <w:t>Government turnover t-1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EE2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2.904*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261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3.059**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A38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3.316**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B4C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3.419**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39B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3.220*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123F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3.402**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E2F6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3.385**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DCA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3.108**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7C2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3.318**</w:t>
            </w:r>
          </w:p>
        </w:tc>
      </w:tr>
      <w:tr w:rsidR="00285EAF" w:rsidRPr="00285EAF" w14:paraId="6E8F3722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A8A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257F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(1.545)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6BA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(1.527)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C7F2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(1.603)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5B3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(1.575)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3D3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(1.667)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6B3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(1.604)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5AA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(1.670)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357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(1.517)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5D9E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(1.553)</w:t>
            </w:r>
          </w:p>
        </w:tc>
      </w:tr>
      <w:tr w:rsidR="00285EAF" w:rsidRPr="00285EAF" w14:paraId="5E76C65B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1129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Constant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047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17.57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60B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10.40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F0C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97.07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CC06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98.48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D1D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90.29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8F1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170.4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BCA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126.9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D41F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60.40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8799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52.90</w:t>
            </w:r>
          </w:p>
        </w:tc>
      </w:tr>
      <w:tr w:rsidR="00285EAF" w:rsidRPr="00285EAF" w14:paraId="4E4438B2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7FB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E745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(99.40)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4710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(94.52)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1A8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(103.4)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DEFF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(103.8)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C5AF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(106.8)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BDE5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(107.0)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9C36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(116.6)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88E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(108.2)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C69D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(101.1)</w:t>
            </w:r>
          </w:p>
        </w:tc>
      </w:tr>
      <w:tr w:rsidR="00285EAF" w:rsidRPr="00285EAF" w14:paraId="5237E43F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DF5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6B1C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09F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CE5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1E26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6E45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3E6F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FB6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229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07B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285EAF" w:rsidRPr="00285EAF" w14:paraId="090F7143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21A6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Observations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B23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436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20A5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436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5D2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436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0A0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436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106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436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D87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408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809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408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B4A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433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CF5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433</w:t>
            </w:r>
          </w:p>
        </w:tc>
      </w:tr>
      <w:tr w:rsidR="00285EAF" w:rsidRPr="00285EAF" w14:paraId="19DC964D" w14:textId="77777777" w:rsidTr="00285EAF">
        <w:trPr>
          <w:trHeight w:val="280"/>
        </w:trPr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8D3CF" w14:textId="0DD36C7D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 xml:space="preserve">Number of </w:t>
            </w:r>
            <w:r w:rsidR="00654CB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countries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27615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8BADA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5120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14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0EE9B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E9144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B931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85E53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14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7619C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84DC7" w14:textId="77777777" w:rsidR="00285EAF" w:rsidRPr="00285EAF" w:rsidRDefault="00285EAF" w:rsidP="00285E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14</w:t>
            </w:r>
          </w:p>
        </w:tc>
      </w:tr>
      <w:tr w:rsidR="00285EAF" w:rsidRPr="00285EAF" w14:paraId="18DD0026" w14:textId="77777777" w:rsidTr="00285EAF">
        <w:trPr>
          <w:trHeight w:val="280"/>
        </w:trPr>
        <w:tc>
          <w:tcPr>
            <w:tcW w:w="4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B4A1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Robust standard errors in parentheses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6838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FD1D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3A65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0E02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29FC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786D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92D7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285EAF" w:rsidRPr="00285EAF" w14:paraId="277F25FA" w14:textId="77777777" w:rsidTr="00285EAF">
        <w:trPr>
          <w:trHeight w:val="280"/>
        </w:trPr>
        <w:tc>
          <w:tcPr>
            <w:tcW w:w="4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7490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285EAF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*** p&lt;0.01, ** p&lt;0.05, * p&lt;0.1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B272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9C40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1F1C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698A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8A0E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1A66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7054" w14:textId="77777777" w:rsidR="00285EAF" w:rsidRPr="00285EAF" w:rsidRDefault="00285EAF" w:rsidP="00285E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</w:tbl>
    <w:p w14:paraId="022EAC6C" w14:textId="77777777" w:rsidR="00200E36" w:rsidRDefault="00200E36">
      <w:pPr>
        <w:rPr>
          <w:rFonts w:ascii="Times New Roman" w:hAnsi="Times New Roman" w:cs="Times New Roman"/>
          <w:sz w:val="22"/>
          <w:szCs w:val="22"/>
          <w:lang w:val="en-CA"/>
        </w:rPr>
        <w:sectPr w:rsidR="00200E36" w:rsidSect="00703683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E5AD900" w14:textId="0E43BD61" w:rsidR="00703683" w:rsidRDefault="00703683">
      <w:pPr>
        <w:rPr>
          <w:rFonts w:ascii="Times New Roman" w:hAnsi="Times New Roman" w:cs="Times New Roman"/>
          <w:sz w:val="22"/>
          <w:szCs w:val="22"/>
          <w:lang w:val="en-CA"/>
        </w:rPr>
      </w:pPr>
    </w:p>
    <w:p w14:paraId="37D2CD79" w14:textId="22E412B9" w:rsidR="00703683" w:rsidRPr="00200E36" w:rsidRDefault="00200E36" w:rsidP="00703683">
      <w:pPr>
        <w:rPr>
          <w:rFonts w:ascii="Times New Roman" w:hAnsi="Times New Roman" w:cs="Times New Roman"/>
          <w:b/>
          <w:bCs/>
          <w:sz w:val="22"/>
          <w:szCs w:val="22"/>
          <w:lang w:val="en-CA"/>
        </w:rPr>
      </w:pPr>
      <w:r w:rsidRPr="00200E36">
        <w:rPr>
          <w:rFonts w:ascii="Times New Roman" w:hAnsi="Times New Roman" w:cs="Times New Roman"/>
          <w:b/>
          <w:bCs/>
          <w:sz w:val="22"/>
          <w:szCs w:val="22"/>
          <w:lang w:val="en-CA"/>
        </w:rPr>
        <w:t>Replicating figure 2, but with</w:t>
      </w:r>
      <w:r w:rsidR="00703683" w:rsidRPr="00200E36">
        <w:rPr>
          <w:rFonts w:ascii="Times New Roman" w:hAnsi="Times New Roman" w:cs="Times New Roman"/>
          <w:b/>
          <w:bCs/>
          <w:sz w:val="22"/>
          <w:szCs w:val="22"/>
          <w:lang w:val="en-CA"/>
        </w:rPr>
        <w:t xml:space="preserve"> fixed </w:t>
      </w:r>
      <w:r w:rsidRPr="00200E36">
        <w:rPr>
          <w:rFonts w:ascii="Times New Roman" w:hAnsi="Times New Roman" w:cs="Times New Roman"/>
          <w:b/>
          <w:bCs/>
          <w:sz w:val="22"/>
          <w:szCs w:val="22"/>
          <w:lang w:val="en-CA"/>
        </w:rPr>
        <w:t>effects</w:t>
      </w:r>
      <w:r w:rsidR="00703683" w:rsidRPr="00200E36">
        <w:rPr>
          <w:rFonts w:ascii="Times New Roman" w:hAnsi="Times New Roman" w:cs="Times New Roman"/>
          <w:b/>
          <w:bCs/>
          <w:sz w:val="22"/>
          <w:szCs w:val="22"/>
          <w:lang w:val="en-CA"/>
        </w:rPr>
        <w:t xml:space="preserve"> models</w:t>
      </w:r>
      <w:r w:rsidRPr="00200E36">
        <w:rPr>
          <w:rFonts w:ascii="Times New Roman" w:hAnsi="Times New Roman" w:cs="Times New Roman"/>
          <w:b/>
          <w:bCs/>
          <w:sz w:val="22"/>
          <w:szCs w:val="22"/>
          <w:lang w:val="en-CA"/>
        </w:rPr>
        <w:t xml:space="preserve"> and with</w:t>
      </w:r>
      <w:r w:rsidR="00703683" w:rsidRPr="00200E36">
        <w:rPr>
          <w:rFonts w:ascii="Times New Roman" w:hAnsi="Times New Roman" w:cs="Times New Roman"/>
          <w:b/>
          <w:bCs/>
          <w:sz w:val="22"/>
          <w:szCs w:val="22"/>
          <w:lang w:val="en-CA"/>
        </w:rPr>
        <w:t xml:space="preserve"> country specific time trends</w:t>
      </w:r>
    </w:p>
    <w:p w14:paraId="2D216523" w14:textId="77777777" w:rsidR="00703683" w:rsidRPr="004C7B06" w:rsidRDefault="00703683" w:rsidP="00703683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4C7B06">
        <w:rPr>
          <w:rFonts w:ascii="Times New Roman" w:hAnsi="Times New Roman" w:cs="Times New Roman"/>
          <w:noProof/>
          <w:sz w:val="22"/>
          <w:szCs w:val="22"/>
          <w:lang w:val="en-CA"/>
        </w:rPr>
        <w:drawing>
          <wp:inline distT="0" distB="0" distL="0" distR="0" wp14:anchorId="7531C2CF" wp14:editId="4D37D425">
            <wp:extent cx="2930577" cy="2131329"/>
            <wp:effectExtent l="0" t="0" r="317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59949" cy="215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7B06">
        <w:rPr>
          <w:rFonts w:ascii="Times New Roman" w:hAnsi="Times New Roman" w:cs="Times New Roman"/>
          <w:noProof/>
          <w:sz w:val="22"/>
          <w:szCs w:val="22"/>
          <w:lang w:val="en-CA"/>
        </w:rPr>
        <w:drawing>
          <wp:inline distT="0" distB="0" distL="0" distR="0" wp14:anchorId="7DEA6934" wp14:editId="22C7E04E">
            <wp:extent cx="2926830" cy="212860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59184" cy="2152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86F6C" w14:textId="6E6761D7" w:rsidR="0093187A" w:rsidRPr="004C7B06" w:rsidRDefault="0093187A">
      <w:pPr>
        <w:rPr>
          <w:rFonts w:ascii="Times New Roman" w:hAnsi="Times New Roman" w:cs="Times New Roman"/>
          <w:sz w:val="22"/>
          <w:szCs w:val="22"/>
          <w:lang w:val="en-CA"/>
        </w:rPr>
      </w:pPr>
    </w:p>
    <w:p w14:paraId="78936241" w14:textId="6EFE016B" w:rsidR="007F2610" w:rsidRPr="004C7B06" w:rsidRDefault="00200E36" w:rsidP="00DC423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CA"/>
        </w:rPr>
      </w:pPr>
      <w:r>
        <w:rPr>
          <w:rFonts w:ascii="Times New Roman" w:hAnsi="Times New Roman" w:cs="Times New Roman"/>
          <w:sz w:val="22"/>
          <w:szCs w:val="22"/>
          <w:lang w:val="en-CA"/>
        </w:rPr>
        <w:t>Hainmueller et al. (2019) inte</w:t>
      </w:r>
      <w:r w:rsidR="00654CBF">
        <w:rPr>
          <w:rFonts w:ascii="Times New Roman" w:hAnsi="Times New Roman" w:cs="Times New Roman"/>
          <w:sz w:val="22"/>
          <w:szCs w:val="22"/>
          <w:lang w:val="en-CA"/>
        </w:rPr>
        <w:t>r</w:t>
      </w:r>
      <w:r>
        <w:rPr>
          <w:rFonts w:ascii="Times New Roman" w:hAnsi="Times New Roman" w:cs="Times New Roman"/>
          <w:sz w:val="22"/>
          <w:szCs w:val="22"/>
          <w:lang w:val="en-CA"/>
        </w:rPr>
        <w:t>flex models are presented in the two figures below</w:t>
      </w:r>
      <w:r w:rsidR="003F3E09">
        <w:rPr>
          <w:rFonts w:ascii="Times New Roman" w:hAnsi="Times New Roman" w:cs="Times New Roman"/>
          <w:sz w:val="22"/>
          <w:szCs w:val="22"/>
          <w:lang w:val="en-CA"/>
        </w:rPr>
        <w:t xml:space="preserve">. The </w:t>
      </w:r>
      <w:r>
        <w:rPr>
          <w:rFonts w:ascii="Times New Roman" w:hAnsi="Times New Roman" w:cs="Times New Roman"/>
          <w:sz w:val="22"/>
          <w:szCs w:val="22"/>
          <w:lang w:val="en-CA"/>
        </w:rPr>
        <w:t xml:space="preserve">left figure shows </w:t>
      </w:r>
      <w:r w:rsidR="00654CBF">
        <w:rPr>
          <w:rFonts w:ascii="Times New Roman" w:hAnsi="Times New Roman" w:cs="Times New Roman"/>
          <w:sz w:val="22"/>
          <w:szCs w:val="22"/>
          <w:lang w:val="en-CA"/>
        </w:rPr>
        <w:t>that there</w:t>
      </w:r>
      <w:r>
        <w:rPr>
          <w:rFonts w:ascii="Times New Roman" w:hAnsi="Times New Roman" w:cs="Times New Roman"/>
          <w:sz w:val="22"/>
          <w:szCs w:val="22"/>
          <w:lang w:val="en-CA"/>
        </w:rPr>
        <w:t xml:space="preserve"> is common support between the </w:t>
      </w:r>
      <w:r w:rsidR="00654CBF">
        <w:rPr>
          <w:rFonts w:ascii="Times New Roman" w:hAnsi="Times New Roman" w:cs="Times New Roman"/>
          <w:sz w:val="22"/>
          <w:szCs w:val="22"/>
          <w:lang w:val="en-CA"/>
        </w:rPr>
        <w:t>treatment</w:t>
      </w:r>
      <w:r>
        <w:rPr>
          <w:rFonts w:ascii="Times New Roman" w:hAnsi="Times New Roman" w:cs="Times New Roman"/>
          <w:sz w:val="22"/>
          <w:szCs w:val="22"/>
          <w:lang w:val="en-CA"/>
        </w:rPr>
        <w:t xml:space="preserve"> variable and the moderating variable. Hence, there are enough </w:t>
      </w:r>
      <w:r w:rsidR="00654CBF">
        <w:rPr>
          <w:rFonts w:ascii="Times New Roman" w:hAnsi="Times New Roman" w:cs="Times New Roman"/>
          <w:sz w:val="22"/>
          <w:szCs w:val="22"/>
          <w:lang w:val="en-CA"/>
        </w:rPr>
        <w:t>situations</w:t>
      </w:r>
      <w:r>
        <w:rPr>
          <w:rFonts w:ascii="Times New Roman" w:hAnsi="Times New Roman" w:cs="Times New Roman"/>
          <w:sz w:val="22"/>
          <w:szCs w:val="22"/>
          <w:lang w:val="en-CA"/>
        </w:rPr>
        <w:t xml:space="preserve"> where the treatment (consolidation) and the moderator (per capita growth) </w:t>
      </w:r>
      <w:r w:rsidR="0005466C">
        <w:rPr>
          <w:rFonts w:ascii="Times New Roman" w:hAnsi="Times New Roman" w:cs="Times New Roman"/>
          <w:sz w:val="22"/>
          <w:szCs w:val="22"/>
          <w:lang w:val="en-CA"/>
        </w:rPr>
        <w:t xml:space="preserve">are present, notably in the </w:t>
      </w:r>
      <w:r w:rsidR="00654CBF">
        <w:rPr>
          <w:rFonts w:ascii="Times New Roman" w:hAnsi="Times New Roman" w:cs="Times New Roman"/>
          <w:sz w:val="22"/>
          <w:szCs w:val="22"/>
          <w:lang w:val="en-CA"/>
        </w:rPr>
        <w:t>cases</w:t>
      </w:r>
      <w:r w:rsidR="0005466C">
        <w:rPr>
          <w:rFonts w:ascii="Times New Roman" w:hAnsi="Times New Roman" w:cs="Times New Roman"/>
          <w:sz w:val="22"/>
          <w:szCs w:val="22"/>
          <w:lang w:val="en-CA"/>
        </w:rPr>
        <w:t xml:space="preserve"> where we observe an interaction effect (low growth and consolidations and high growth and consolidations). </w:t>
      </w:r>
      <w:r>
        <w:rPr>
          <w:rFonts w:ascii="Times New Roman" w:hAnsi="Times New Roman" w:cs="Times New Roman"/>
          <w:sz w:val="22"/>
          <w:szCs w:val="22"/>
          <w:lang w:val="en-CA"/>
        </w:rPr>
        <w:t xml:space="preserve">The right figure </w:t>
      </w:r>
      <w:r w:rsidR="0005466C">
        <w:rPr>
          <w:rFonts w:ascii="Times New Roman" w:hAnsi="Times New Roman" w:cs="Times New Roman"/>
          <w:sz w:val="22"/>
          <w:szCs w:val="22"/>
          <w:lang w:val="en-CA"/>
        </w:rPr>
        <w:t>shows</w:t>
      </w:r>
      <w:r>
        <w:rPr>
          <w:rFonts w:ascii="Times New Roman" w:hAnsi="Times New Roman" w:cs="Times New Roman"/>
          <w:sz w:val="22"/>
          <w:szCs w:val="22"/>
          <w:lang w:val="en-CA"/>
        </w:rPr>
        <w:t xml:space="preserve"> that there </w:t>
      </w:r>
      <w:r w:rsidR="0005466C">
        <w:rPr>
          <w:rFonts w:ascii="Times New Roman" w:hAnsi="Times New Roman" w:cs="Times New Roman"/>
          <w:sz w:val="22"/>
          <w:szCs w:val="22"/>
          <w:lang w:val="en-CA"/>
        </w:rPr>
        <w:t xml:space="preserve">are no non-linearities in the effect. </w:t>
      </w:r>
      <w:r w:rsidR="007D23C6">
        <w:rPr>
          <w:rFonts w:ascii="Times New Roman" w:hAnsi="Times New Roman" w:cs="Times New Roman"/>
          <w:sz w:val="22"/>
          <w:szCs w:val="22"/>
          <w:lang w:val="en-CA"/>
        </w:rPr>
        <w:t xml:space="preserve">Of all the country/years with real per capita growth above 2% (mean is 1.76), 36% of them are in consolidation, which </w:t>
      </w:r>
      <w:r w:rsidR="003B3F5F">
        <w:rPr>
          <w:rFonts w:ascii="Times New Roman" w:hAnsi="Times New Roman" w:cs="Times New Roman"/>
          <w:sz w:val="22"/>
          <w:szCs w:val="22"/>
          <w:lang w:val="en-CA"/>
        </w:rPr>
        <w:t xml:space="preserve">is </w:t>
      </w:r>
      <w:r w:rsidR="007D23C6">
        <w:rPr>
          <w:rFonts w:ascii="Times New Roman" w:hAnsi="Times New Roman" w:cs="Times New Roman"/>
          <w:sz w:val="22"/>
          <w:szCs w:val="22"/>
          <w:lang w:val="en-CA"/>
        </w:rPr>
        <w:t xml:space="preserve">not much lower than 43% of the country/years where growth is lower than 2%. </w:t>
      </w:r>
      <w:r w:rsidR="00370C8A">
        <w:rPr>
          <w:rFonts w:ascii="Times New Roman" w:hAnsi="Times New Roman" w:cs="Times New Roman"/>
          <w:sz w:val="22"/>
          <w:szCs w:val="22"/>
          <w:lang w:val="en-CA"/>
        </w:rPr>
        <w:t>The average amount of consolidation is smaller when growth is high (1.2% of GDP for country/years implementing consolidations against 2% of GDP when growth is low), but the frequency of consolidation episode is just slightly lower.</w:t>
      </w:r>
    </w:p>
    <w:p w14:paraId="687E020D" w14:textId="77777777" w:rsidR="007F2610" w:rsidRPr="004C7B06" w:rsidRDefault="007F2610" w:rsidP="0077795A">
      <w:pPr>
        <w:rPr>
          <w:rFonts w:ascii="Times New Roman" w:hAnsi="Times New Roman" w:cs="Times New Roman"/>
          <w:sz w:val="22"/>
          <w:szCs w:val="22"/>
          <w:lang w:val="en-CA"/>
        </w:rPr>
      </w:pPr>
    </w:p>
    <w:p w14:paraId="59E97196" w14:textId="6BB77ACE" w:rsidR="007F2610" w:rsidRPr="004C7B06" w:rsidRDefault="007F2610">
      <w:pPr>
        <w:rPr>
          <w:rFonts w:ascii="Times New Roman" w:hAnsi="Times New Roman" w:cs="Times New Roman"/>
          <w:sz w:val="22"/>
          <w:szCs w:val="22"/>
          <w:lang w:val="en-CA"/>
        </w:rPr>
      </w:pPr>
    </w:p>
    <w:p w14:paraId="78EF1F94" w14:textId="404B479A" w:rsidR="007F2610" w:rsidRPr="004C7B06" w:rsidRDefault="00A6724E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A6724E">
        <w:rPr>
          <w:rFonts w:ascii="Times New Roman" w:hAnsi="Times New Roman" w:cs="Times New Roman"/>
          <w:noProof/>
          <w:sz w:val="22"/>
          <w:szCs w:val="22"/>
          <w:lang w:val="en-CA"/>
        </w:rPr>
        <w:drawing>
          <wp:inline distT="0" distB="0" distL="0" distR="0" wp14:anchorId="7817CFDF" wp14:editId="24D4748A">
            <wp:extent cx="2934182" cy="213395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52743" cy="214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724" w:rsidRPr="003F2724">
        <w:rPr>
          <w:noProof/>
        </w:rPr>
        <w:t xml:space="preserve"> </w:t>
      </w:r>
      <w:r w:rsidR="003F2724" w:rsidRPr="003F2724">
        <w:rPr>
          <w:rFonts w:ascii="Times New Roman" w:hAnsi="Times New Roman" w:cs="Times New Roman"/>
          <w:noProof/>
          <w:sz w:val="22"/>
          <w:szCs w:val="22"/>
          <w:lang w:val="en-CA"/>
        </w:rPr>
        <w:drawing>
          <wp:inline distT="0" distB="0" distL="0" distR="0" wp14:anchorId="5E4FA82A" wp14:editId="1F36E3B3">
            <wp:extent cx="2936352" cy="213552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43282" cy="2140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546BC" w14:textId="6E07533D" w:rsidR="003E4D95" w:rsidRPr="004C7B06" w:rsidRDefault="003E4D95">
      <w:pPr>
        <w:rPr>
          <w:rFonts w:ascii="Times New Roman" w:hAnsi="Times New Roman" w:cs="Times New Roman"/>
          <w:sz w:val="22"/>
          <w:szCs w:val="22"/>
          <w:lang w:val="en-CA"/>
        </w:rPr>
      </w:pPr>
    </w:p>
    <w:p w14:paraId="5D4B960A" w14:textId="77777777" w:rsidR="0005466C" w:rsidRPr="004C7B06" w:rsidRDefault="0005466C">
      <w:pPr>
        <w:rPr>
          <w:rFonts w:ascii="Times New Roman" w:hAnsi="Times New Roman" w:cs="Times New Roman"/>
          <w:sz w:val="22"/>
          <w:szCs w:val="22"/>
          <w:lang w:val="en-CA"/>
        </w:rPr>
      </w:pPr>
    </w:p>
    <w:p w14:paraId="35CEF933" w14:textId="77777777" w:rsidR="00654CBF" w:rsidRDefault="00654CBF">
      <w:pPr>
        <w:rPr>
          <w:rFonts w:ascii="Times New Roman" w:hAnsi="Times New Roman" w:cs="Times New Roman"/>
          <w:b/>
          <w:bCs/>
          <w:sz w:val="22"/>
          <w:szCs w:val="22"/>
          <w:lang w:val="en-CA"/>
        </w:rPr>
      </w:pPr>
    </w:p>
    <w:p w14:paraId="4FE7D6B5" w14:textId="77777777" w:rsidR="00654CBF" w:rsidRDefault="00654CBF">
      <w:pPr>
        <w:rPr>
          <w:rFonts w:ascii="Times New Roman" w:hAnsi="Times New Roman" w:cs="Times New Roman"/>
          <w:b/>
          <w:bCs/>
          <w:sz w:val="22"/>
          <w:szCs w:val="22"/>
          <w:lang w:val="en-CA"/>
        </w:rPr>
      </w:pPr>
    </w:p>
    <w:p w14:paraId="7AC05010" w14:textId="77777777" w:rsidR="00654CBF" w:rsidRDefault="00654CBF">
      <w:pPr>
        <w:rPr>
          <w:rFonts w:ascii="Times New Roman" w:hAnsi="Times New Roman" w:cs="Times New Roman"/>
          <w:b/>
          <w:bCs/>
          <w:sz w:val="22"/>
          <w:szCs w:val="22"/>
          <w:lang w:val="en-CA"/>
        </w:rPr>
      </w:pPr>
    </w:p>
    <w:p w14:paraId="462E59E3" w14:textId="77777777" w:rsidR="00654CBF" w:rsidRDefault="00654CBF">
      <w:pPr>
        <w:rPr>
          <w:rFonts w:ascii="Times New Roman" w:hAnsi="Times New Roman" w:cs="Times New Roman"/>
          <w:b/>
          <w:bCs/>
          <w:sz w:val="22"/>
          <w:szCs w:val="22"/>
          <w:lang w:val="en-CA"/>
        </w:rPr>
      </w:pPr>
    </w:p>
    <w:p w14:paraId="26B0C597" w14:textId="77777777" w:rsidR="00654CBF" w:rsidRDefault="00654CBF">
      <w:pPr>
        <w:rPr>
          <w:rFonts w:ascii="Times New Roman" w:hAnsi="Times New Roman" w:cs="Times New Roman"/>
          <w:b/>
          <w:bCs/>
          <w:sz w:val="22"/>
          <w:szCs w:val="22"/>
          <w:lang w:val="en-CA"/>
        </w:rPr>
      </w:pPr>
    </w:p>
    <w:p w14:paraId="16D5CF30" w14:textId="77777777" w:rsidR="00654CBF" w:rsidRDefault="00654CBF">
      <w:pPr>
        <w:rPr>
          <w:rFonts w:ascii="Times New Roman" w:hAnsi="Times New Roman" w:cs="Times New Roman"/>
          <w:b/>
          <w:bCs/>
          <w:sz w:val="22"/>
          <w:szCs w:val="22"/>
          <w:lang w:val="en-CA"/>
        </w:rPr>
      </w:pPr>
    </w:p>
    <w:p w14:paraId="1CE04A19" w14:textId="77777777" w:rsidR="00654CBF" w:rsidRDefault="00654CBF">
      <w:pPr>
        <w:rPr>
          <w:rFonts w:ascii="Times New Roman" w:hAnsi="Times New Roman" w:cs="Times New Roman"/>
          <w:b/>
          <w:bCs/>
          <w:sz w:val="22"/>
          <w:szCs w:val="22"/>
          <w:lang w:val="en-CA"/>
        </w:rPr>
      </w:pPr>
    </w:p>
    <w:p w14:paraId="57AF69DC" w14:textId="237A10B9" w:rsidR="00DF322E" w:rsidRPr="00200E36" w:rsidRDefault="00DF322E">
      <w:pPr>
        <w:rPr>
          <w:rFonts w:ascii="Times New Roman" w:hAnsi="Times New Roman" w:cs="Times New Roman"/>
          <w:b/>
          <w:bCs/>
          <w:sz w:val="22"/>
          <w:szCs w:val="22"/>
          <w:lang w:val="en-CA"/>
        </w:rPr>
      </w:pPr>
      <w:r w:rsidRPr="00200E36">
        <w:rPr>
          <w:rFonts w:ascii="Times New Roman" w:hAnsi="Times New Roman" w:cs="Times New Roman"/>
          <w:b/>
          <w:bCs/>
          <w:sz w:val="22"/>
          <w:szCs w:val="22"/>
          <w:lang w:val="en-CA"/>
        </w:rPr>
        <w:lastRenderedPageBreak/>
        <w:t xml:space="preserve">Augmented inverse probability weighting. </w:t>
      </w:r>
    </w:p>
    <w:p w14:paraId="5676D798" w14:textId="2839C5BA" w:rsidR="00DF322E" w:rsidRPr="004C7B06" w:rsidRDefault="00DF322E">
      <w:pPr>
        <w:rPr>
          <w:rFonts w:ascii="Times New Roman" w:hAnsi="Times New Roman" w:cs="Times New Roman"/>
          <w:sz w:val="22"/>
          <w:szCs w:val="22"/>
          <w:lang w:val="en-CA"/>
        </w:rPr>
      </w:pPr>
    </w:p>
    <w:p w14:paraId="4B632C70" w14:textId="613704E4" w:rsidR="00DF322E" w:rsidRDefault="004E0FA1" w:rsidP="00DC423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CA"/>
        </w:rPr>
      </w:pPr>
      <w:r w:rsidRPr="004C7B06">
        <w:rPr>
          <w:rFonts w:ascii="Times New Roman" w:hAnsi="Times New Roman" w:cs="Times New Roman"/>
          <w:sz w:val="22"/>
          <w:szCs w:val="22"/>
          <w:lang w:val="en-CA"/>
        </w:rPr>
        <w:t xml:space="preserve">The augmented inverse probability weighting </w:t>
      </w:r>
      <w:r w:rsidR="0005466C">
        <w:rPr>
          <w:rFonts w:ascii="Times New Roman" w:hAnsi="Times New Roman" w:cs="Times New Roman"/>
          <w:sz w:val="22"/>
          <w:szCs w:val="22"/>
          <w:lang w:val="en-CA"/>
        </w:rPr>
        <w:t xml:space="preserve">(AIPW) </w:t>
      </w:r>
      <w:r w:rsidRPr="004C7B06">
        <w:rPr>
          <w:rFonts w:ascii="Times New Roman" w:hAnsi="Times New Roman" w:cs="Times New Roman"/>
          <w:sz w:val="22"/>
          <w:szCs w:val="22"/>
          <w:lang w:val="en-CA"/>
        </w:rPr>
        <w:t xml:space="preserve">method uses the </w:t>
      </w:r>
      <w:r w:rsidRPr="004C7B06">
        <w:rPr>
          <w:rFonts w:ascii="Times New Roman" w:hAnsi="Times New Roman" w:cs="Times New Roman"/>
          <w:i/>
          <w:iCs/>
          <w:sz w:val="22"/>
          <w:szCs w:val="22"/>
          <w:lang w:val="en-CA"/>
        </w:rPr>
        <w:t>teffects</w:t>
      </w:r>
      <w:r w:rsidRPr="004C7B06">
        <w:rPr>
          <w:rFonts w:ascii="Times New Roman" w:hAnsi="Times New Roman" w:cs="Times New Roman"/>
          <w:sz w:val="22"/>
          <w:szCs w:val="22"/>
          <w:lang w:val="en-CA"/>
        </w:rPr>
        <w:t xml:space="preserve"> command in Stata. In the first stage, we use a rich set of covariates to predict a dummy for total, spending-based and tax-based consolidations. These covariates are primary deficit, years left in the current term, being in a recession, having a credit downgrade, a right-wing government, economic orthodoxy </w:t>
      </w:r>
      <w:r w:rsidR="00654CBF">
        <w:rPr>
          <w:rFonts w:ascii="Times New Roman" w:hAnsi="Times New Roman" w:cs="Times New Roman"/>
          <w:sz w:val="22"/>
          <w:szCs w:val="22"/>
          <w:lang w:val="en-CA"/>
        </w:rPr>
        <w:t>(</w:t>
      </w:r>
      <w:r w:rsidRPr="004C7B06">
        <w:rPr>
          <w:rFonts w:ascii="Times New Roman" w:hAnsi="Times New Roman" w:cs="Times New Roman"/>
          <w:sz w:val="22"/>
          <w:szCs w:val="22"/>
          <w:lang w:val="en-CA"/>
        </w:rPr>
        <w:t>calculated with the Comparative Manifesto project</w:t>
      </w:r>
      <w:r w:rsidR="00654CBF">
        <w:rPr>
          <w:rFonts w:ascii="Times New Roman" w:hAnsi="Times New Roman" w:cs="Times New Roman"/>
          <w:sz w:val="22"/>
          <w:szCs w:val="22"/>
          <w:lang w:val="en-CA"/>
        </w:rPr>
        <w:t>)</w:t>
      </w:r>
      <w:r w:rsidRPr="004C7B06">
        <w:rPr>
          <w:rFonts w:ascii="Times New Roman" w:hAnsi="Times New Roman" w:cs="Times New Roman"/>
          <w:sz w:val="22"/>
          <w:szCs w:val="22"/>
          <w:lang w:val="en-CA"/>
        </w:rPr>
        <w:t xml:space="preserve">, </w:t>
      </w:r>
      <w:r w:rsidR="00BF4F0C" w:rsidRPr="004C7B06">
        <w:rPr>
          <w:rFonts w:ascii="Times New Roman" w:hAnsi="Times New Roman" w:cs="Times New Roman"/>
          <w:sz w:val="22"/>
          <w:szCs w:val="22"/>
          <w:lang w:val="en-CA"/>
        </w:rPr>
        <w:t>the right/left index, inflation, per capita growth and unemployment.</w:t>
      </w:r>
      <w:r w:rsidRPr="004C7B06">
        <w:rPr>
          <w:rFonts w:ascii="Times New Roman" w:hAnsi="Times New Roman" w:cs="Times New Roman"/>
          <w:sz w:val="22"/>
          <w:szCs w:val="22"/>
          <w:lang w:val="en-CA"/>
        </w:rPr>
        <w:t xml:space="preserve"> In the second stage</w:t>
      </w:r>
      <w:r w:rsidR="004409ED" w:rsidRPr="004C7B06">
        <w:rPr>
          <w:rFonts w:ascii="Times New Roman" w:hAnsi="Times New Roman" w:cs="Times New Roman"/>
          <w:sz w:val="22"/>
          <w:szCs w:val="22"/>
          <w:lang w:val="en-CA"/>
        </w:rPr>
        <w:t xml:space="preserve">, less weight is given to fiscal consolidations episodes that are better predicted by the first stage. </w:t>
      </w:r>
      <w:r w:rsidR="00BF4F0C" w:rsidRPr="004C7B06">
        <w:rPr>
          <w:rFonts w:ascii="Times New Roman" w:hAnsi="Times New Roman" w:cs="Times New Roman"/>
          <w:sz w:val="22"/>
          <w:szCs w:val="22"/>
          <w:lang w:val="en-CA"/>
        </w:rPr>
        <w:t>Consolidation</w:t>
      </w:r>
      <w:r w:rsidR="004409ED" w:rsidRPr="004C7B06">
        <w:rPr>
          <w:rFonts w:ascii="Times New Roman" w:hAnsi="Times New Roman" w:cs="Times New Roman"/>
          <w:sz w:val="22"/>
          <w:szCs w:val="22"/>
          <w:lang w:val="en-CA"/>
        </w:rPr>
        <w:t xml:space="preserve"> that are not well predicted by the first stage are considered </w:t>
      </w:r>
      <w:r w:rsidR="00654CBF">
        <w:rPr>
          <w:rFonts w:ascii="Times New Roman" w:hAnsi="Times New Roman" w:cs="Times New Roman"/>
          <w:sz w:val="22"/>
          <w:szCs w:val="22"/>
          <w:lang w:val="en-CA"/>
        </w:rPr>
        <w:t>more</w:t>
      </w:r>
      <w:r w:rsidR="004409ED" w:rsidRPr="004C7B06">
        <w:rPr>
          <w:rFonts w:ascii="Times New Roman" w:hAnsi="Times New Roman" w:cs="Times New Roman"/>
          <w:sz w:val="22"/>
          <w:szCs w:val="22"/>
          <w:lang w:val="en-CA"/>
        </w:rPr>
        <w:t xml:space="preserve"> exogenous. </w:t>
      </w:r>
      <w:r w:rsidR="00BF4F0C" w:rsidRPr="004C7B06">
        <w:rPr>
          <w:rFonts w:ascii="Times New Roman" w:hAnsi="Times New Roman" w:cs="Times New Roman"/>
          <w:sz w:val="22"/>
          <w:szCs w:val="22"/>
          <w:lang w:val="en-CA"/>
        </w:rPr>
        <w:t xml:space="preserve">The same regression models as in table 2 are used in the second stage. The table below presents the results of the second stage of the AIPW, showing the effect of the three measures of consolidation on approval. </w:t>
      </w:r>
    </w:p>
    <w:p w14:paraId="3F402721" w14:textId="77777777" w:rsidR="00DC4236" w:rsidRPr="004C7B06" w:rsidRDefault="00DC4236" w:rsidP="00DC423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CA"/>
        </w:rPr>
      </w:pPr>
    </w:p>
    <w:p w14:paraId="458333D4" w14:textId="77777777" w:rsidR="004E0FA1" w:rsidRPr="004C7B06" w:rsidRDefault="004E0FA1">
      <w:pPr>
        <w:rPr>
          <w:rFonts w:ascii="Times New Roman" w:hAnsi="Times New Roman" w:cs="Times New Roman"/>
          <w:sz w:val="22"/>
          <w:szCs w:val="22"/>
          <w:lang w:val="en-CA"/>
        </w:rPr>
      </w:pPr>
    </w:p>
    <w:p w14:paraId="696516B2" w14:textId="77D730F9" w:rsidR="00B93DA5" w:rsidRPr="00200E36" w:rsidRDefault="00BF4F0C">
      <w:pPr>
        <w:rPr>
          <w:rFonts w:ascii="Times New Roman" w:hAnsi="Times New Roman" w:cs="Times New Roman"/>
          <w:b/>
          <w:bCs/>
          <w:sz w:val="22"/>
          <w:szCs w:val="22"/>
          <w:lang w:val="en-CA"/>
        </w:rPr>
      </w:pPr>
      <w:r w:rsidRPr="00200E36">
        <w:rPr>
          <w:rFonts w:ascii="Times New Roman" w:hAnsi="Times New Roman" w:cs="Times New Roman"/>
          <w:b/>
          <w:bCs/>
          <w:sz w:val="22"/>
          <w:szCs w:val="22"/>
          <w:lang w:val="en-CA"/>
        </w:rPr>
        <w:t>Table AIPW model, second stage coefficients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2571"/>
        <w:gridCol w:w="2260"/>
        <w:gridCol w:w="2260"/>
      </w:tblGrid>
      <w:tr w:rsidR="0005615B" w:rsidRPr="004C7B06" w14:paraId="353E576E" w14:textId="020C9F5A" w:rsidTr="002E68D8">
        <w:tc>
          <w:tcPr>
            <w:tcW w:w="2259" w:type="dxa"/>
          </w:tcPr>
          <w:p w14:paraId="0952B294" w14:textId="23FF5325" w:rsidR="0005615B" w:rsidRPr="004C7B06" w:rsidRDefault="0005615B">
            <w:p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 w:rsidRPr="004C7B06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Variable</w:t>
            </w:r>
          </w:p>
        </w:tc>
        <w:tc>
          <w:tcPr>
            <w:tcW w:w="2571" w:type="dxa"/>
          </w:tcPr>
          <w:p w14:paraId="44998AA4" w14:textId="0392F560" w:rsidR="0005615B" w:rsidRPr="004C7B06" w:rsidRDefault="0005615B">
            <w:p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 w:rsidRPr="004C7B06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Coefficient</w:t>
            </w:r>
            <w:r w:rsidR="00BF4F0C" w:rsidRPr="004C7B06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on approval</w:t>
            </w:r>
          </w:p>
        </w:tc>
        <w:tc>
          <w:tcPr>
            <w:tcW w:w="4520" w:type="dxa"/>
            <w:gridSpan w:val="2"/>
          </w:tcPr>
          <w:p w14:paraId="3949DF51" w14:textId="4BC74045" w:rsidR="0005615B" w:rsidRPr="004C7B06" w:rsidRDefault="0005615B" w:rsidP="0005615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 w:rsidRPr="004C7B06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95% confidence interval</w:t>
            </w:r>
          </w:p>
        </w:tc>
      </w:tr>
      <w:tr w:rsidR="0005615B" w:rsidRPr="004C7B06" w14:paraId="6D6ACBC0" w14:textId="77777777" w:rsidTr="0005615B">
        <w:tc>
          <w:tcPr>
            <w:tcW w:w="2259" w:type="dxa"/>
          </w:tcPr>
          <w:p w14:paraId="2CFA2BEC" w14:textId="7167899B" w:rsidR="0005615B" w:rsidRPr="004C7B06" w:rsidRDefault="0005615B">
            <w:p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 w:rsidRPr="004C7B06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Total consolidations</w:t>
            </w:r>
          </w:p>
        </w:tc>
        <w:tc>
          <w:tcPr>
            <w:tcW w:w="2571" w:type="dxa"/>
          </w:tcPr>
          <w:p w14:paraId="1473D35B" w14:textId="08424BF8" w:rsidR="0005615B" w:rsidRPr="004C7B06" w:rsidRDefault="0005615B">
            <w:p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 w:rsidRPr="004C7B06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-2.</w:t>
            </w:r>
            <w:r w:rsidR="004E0FA1" w:rsidRPr="004C7B06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98</w:t>
            </w:r>
            <w:r w:rsidRPr="004C7B06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**</w:t>
            </w:r>
          </w:p>
        </w:tc>
        <w:tc>
          <w:tcPr>
            <w:tcW w:w="2260" w:type="dxa"/>
          </w:tcPr>
          <w:p w14:paraId="3A7FFCA3" w14:textId="2DBA1446" w:rsidR="0005615B" w:rsidRPr="004C7B06" w:rsidRDefault="0005615B">
            <w:p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 w:rsidRPr="004C7B06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-</w:t>
            </w:r>
            <w:r w:rsidR="004E0FA1" w:rsidRPr="004C7B06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4.83</w:t>
            </w:r>
          </w:p>
        </w:tc>
        <w:tc>
          <w:tcPr>
            <w:tcW w:w="2260" w:type="dxa"/>
          </w:tcPr>
          <w:p w14:paraId="5B0BC3FE" w14:textId="67D5C3BE" w:rsidR="0005615B" w:rsidRPr="004C7B06" w:rsidRDefault="0005615B">
            <w:p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 w:rsidRPr="004C7B06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-</w:t>
            </w:r>
            <w:r w:rsidR="004E0FA1" w:rsidRPr="004C7B06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1.12</w:t>
            </w:r>
          </w:p>
        </w:tc>
      </w:tr>
      <w:tr w:rsidR="0005615B" w:rsidRPr="004C7B06" w14:paraId="06840012" w14:textId="6208F2EE" w:rsidTr="0005615B">
        <w:tc>
          <w:tcPr>
            <w:tcW w:w="2259" w:type="dxa"/>
          </w:tcPr>
          <w:p w14:paraId="33ACE231" w14:textId="16712B35" w:rsidR="0005615B" w:rsidRPr="004C7B06" w:rsidRDefault="004E0FA1">
            <w:p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 w:rsidRPr="004C7B06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Spending</w:t>
            </w:r>
            <w:r w:rsidR="0005615B" w:rsidRPr="004C7B06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cut</w:t>
            </w:r>
          </w:p>
        </w:tc>
        <w:tc>
          <w:tcPr>
            <w:tcW w:w="2571" w:type="dxa"/>
          </w:tcPr>
          <w:p w14:paraId="0A6E335E" w14:textId="5ADB6B9B" w:rsidR="0005615B" w:rsidRPr="004C7B06" w:rsidRDefault="0005615B">
            <w:p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 w:rsidRPr="004C7B06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-</w:t>
            </w:r>
            <w:r w:rsidR="004E0FA1" w:rsidRPr="004C7B06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3.00</w:t>
            </w:r>
            <w:r w:rsidRPr="004C7B06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**</w:t>
            </w:r>
          </w:p>
        </w:tc>
        <w:tc>
          <w:tcPr>
            <w:tcW w:w="2260" w:type="dxa"/>
          </w:tcPr>
          <w:p w14:paraId="40B54E27" w14:textId="28655467" w:rsidR="0005615B" w:rsidRPr="004C7B06" w:rsidRDefault="0005615B">
            <w:p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 w:rsidRPr="004C7B06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-5.</w:t>
            </w:r>
            <w:r w:rsidR="004E0FA1" w:rsidRPr="004C7B06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37</w:t>
            </w:r>
          </w:p>
        </w:tc>
        <w:tc>
          <w:tcPr>
            <w:tcW w:w="2260" w:type="dxa"/>
          </w:tcPr>
          <w:p w14:paraId="0C5C7067" w14:textId="07D90C37" w:rsidR="0005615B" w:rsidRPr="004C7B06" w:rsidRDefault="0005615B">
            <w:p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 w:rsidRPr="004C7B06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-.</w:t>
            </w:r>
            <w:r w:rsidR="004E0FA1" w:rsidRPr="004C7B06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64</w:t>
            </w:r>
          </w:p>
        </w:tc>
      </w:tr>
      <w:tr w:rsidR="0005615B" w:rsidRPr="004C7B06" w14:paraId="03FE7939" w14:textId="5150CE06" w:rsidTr="0005615B">
        <w:tc>
          <w:tcPr>
            <w:tcW w:w="2259" w:type="dxa"/>
          </w:tcPr>
          <w:p w14:paraId="1103541C" w14:textId="418D8D9A" w:rsidR="0005615B" w:rsidRPr="004C7B06" w:rsidRDefault="0005615B" w:rsidP="0005615B">
            <w:p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 w:rsidRPr="004C7B06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Tax increase</w:t>
            </w:r>
          </w:p>
        </w:tc>
        <w:tc>
          <w:tcPr>
            <w:tcW w:w="2571" w:type="dxa"/>
          </w:tcPr>
          <w:p w14:paraId="47BE7809" w14:textId="0BAADD96" w:rsidR="0005615B" w:rsidRPr="004C7B06" w:rsidRDefault="0005615B" w:rsidP="0005615B">
            <w:p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 w:rsidRPr="004C7B06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-</w:t>
            </w:r>
            <w:r w:rsidR="004E0FA1" w:rsidRPr="004C7B06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2</w:t>
            </w:r>
            <w:r w:rsidRPr="004C7B06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.</w:t>
            </w:r>
            <w:r w:rsidR="004E0FA1" w:rsidRPr="004C7B06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27</w:t>
            </w:r>
            <w:r w:rsidRPr="004C7B06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**</w:t>
            </w:r>
          </w:p>
        </w:tc>
        <w:tc>
          <w:tcPr>
            <w:tcW w:w="2260" w:type="dxa"/>
          </w:tcPr>
          <w:p w14:paraId="710FBE25" w14:textId="4EB40D6D" w:rsidR="0005615B" w:rsidRPr="004C7B06" w:rsidRDefault="0005615B" w:rsidP="0005615B">
            <w:p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 w:rsidRPr="004C7B06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-3.</w:t>
            </w:r>
            <w:r w:rsidR="004E0FA1" w:rsidRPr="004C7B06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82</w:t>
            </w:r>
          </w:p>
        </w:tc>
        <w:tc>
          <w:tcPr>
            <w:tcW w:w="2260" w:type="dxa"/>
          </w:tcPr>
          <w:p w14:paraId="23FC9545" w14:textId="3EC5CDD9" w:rsidR="0005615B" w:rsidRPr="004C7B06" w:rsidRDefault="0005615B" w:rsidP="0005615B">
            <w:p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 w:rsidRPr="004C7B06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-.</w:t>
            </w:r>
            <w:r w:rsidR="004E0FA1" w:rsidRPr="004C7B06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72</w:t>
            </w:r>
          </w:p>
        </w:tc>
      </w:tr>
    </w:tbl>
    <w:tbl>
      <w:tblPr>
        <w:tblW w:w="14207" w:type="dxa"/>
        <w:tblLook w:val="04A0" w:firstRow="1" w:lastRow="0" w:firstColumn="1" w:lastColumn="0" w:noHBand="0" w:noVBand="1"/>
      </w:tblPr>
      <w:tblGrid>
        <w:gridCol w:w="14207"/>
      </w:tblGrid>
      <w:tr w:rsidR="0005615B" w:rsidRPr="004C7B06" w14:paraId="75A178F7" w14:textId="77777777" w:rsidTr="0005615B">
        <w:trPr>
          <w:trHeight w:val="280"/>
        </w:trPr>
        <w:tc>
          <w:tcPr>
            <w:tcW w:w="1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BA56" w14:textId="77777777" w:rsidR="0005615B" w:rsidRPr="004C7B06" w:rsidRDefault="0005615B" w:rsidP="002E68D8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4C7B06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Robust standard errors in parentheses</w:t>
            </w:r>
          </w:p>
        </w:tc>
      </w:tr>
      <w:tr w:rsidR="0005615B" w:rsidRPr="004C7B06" w14:paraId="7E501E0E" w14:textId="77777777" w:rsidTr="0005615B">
        <w:trPr>
          <w:trHeight w:val="280"/>
        </w:trPr>
        <w:tc>
          <w:tcPr>
            <w:tcW w:w="1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8228" w14:textId="77777777" w:rsidR="0005615B" w:rsidRPr="004C7B06" w:rsidRDefault="0005615B" w:rsidP="002E68D8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</w:pPr>
            <w:r w:rsidRPr="004C7B06">
              <w:rPr>
                <w:rFonts w:ascii="Times New Roman" w:eastAsia="Times New Roman" w:hAnsi="Times New Roman" w:cs="Times New Roman"/>
                <w:sz w:val="22"/>
                <w:szCs w:val="22"/>
                <w:lang w:val="en-CA"/>
              </w:rPr>
              <w:t>*** p&lt;0.01, ** p&lt;0.05, * p&lt;0.1</w:t>
            </w:r>
          </w:p>
        </w:tc>
      </w:tr>
    </w:tbl>
    <w:p w14:paraId="76B0A096" w14:textId="79442146" w:rsidR="00654CBF" w:rsidRDefault="00654CBF" w:rsidP="00654CBF">
      <w:pPr>
        <w:spacing w:line="480" w:lineRule="auto"/>
        <w:rPr>
          <w:rFonts w:ascii="Times New Roman" w:hAnsi="Times New Roman" w:cs="Times New Roman"/>
          <w:sz w:val="22"/>
          <w:szCs w:val="22"/>
          <w:lang w:val="en-CA"/>
        </w:rPr>
      </w:pPr>
    </w:p>
    <w:p w14:paraId="45BD6E92" w14:textId="0F479F7F" w:rsidR="00DC4236" w:rsidRDefault="00DC4236" w:rsidP="00654CBF">
      <w:pPr>
        <w:spacing w:line="480" w:lineRule="auto"/>
        <w:rPr>
          <w:rFonts w:ascii="Times New Roman" w:hAnsi="Times New Roman" w:cs="Times New Roman"/>
          <w:sz w:val="22"/>
          <w:szCs w:val="22"/>
          <w:lang w:val="en-CA"/>
        </w:rPr>
      </w:pPr>
    </w:p>
    <w:p w14:paraId="49BE976A" w14:textId="2FC393E7" w:rsidR="00DC4236" w:rsidRDefault="00DC4236" w:rsidP="00654CBF">
      <w:pPr>
        <w:spacing w:line="480" w:lineRule="auto"/>
        <w:rPr>
          <w:rFonts w:ascii="Times New Roman" w:hAnsi="Times New Roman" w:cs="Times New Roman"/>
          <w:sz w:val="22"/>
          <w:szCs w:val="22"/>
          <w:lang w:val="en-CA"/>
        </w:rPr>
      </w:pPr>
    </w:p>
    <w:p w14:paraId="7D0DC8F3" w14:textId="14E30FC9" w:rsidR="00DC4236" w:rsidRDefault="00DC4236" w:rsidP="00654CBF">
      <w:pPr>
        <w:spacing w:line="480" w:lineRule="auto"/>
        <w:rPr>
          <w:rFonts w:ascii="Times New Roman" w:hAnsi="Times New Roman" w:cs="Times New Roman"/>
          <w:sz w:val="22"/>
          <w:szCs w:val="22"/>
          <w:lang w:val="en-CA"/>
        </w:rPr>
      </w:pPr>
    </w:p>
    <w:p w14:paraId="65E14F16" w14:textId="0FA3DA42" w:rsidR="00DC4236" w:rsidRDefault="00DC4236" w:rsidP="00654CBF">
      <w:pPr>
        <w:spacing w:line="480" w:lineRule="auto"/>
        <w:rPr>
          <w:rFonts w:ascii="Times New Roman" w:hAnsi="Times New Roman" w:cs="Times New Roman"/>
          <w:sz w:val="22"/>
          <w:szCs w:val="22"/>
          <w:lang w:val="en-CA"/>
        </w:rPr>
      </w:pPr>
    </w:p>
    <w:p w14:paraId="1BF8D299" w14:textId="33B3E909" w:rsidR="00DC4236" w:rsidRDefault="00DC4236" w:rsidP="00654CBF">
      <w:pPr>
        <w:spacing w:line="480" w:lineRule="auto"/>
        <w:rPr>
          <w:rFonts w:ascii="Times New Roman" w:hAnsi="Times New Roman" w:cs="Times New Roman"/>
          <w:sz w:val="22"/>
          <w:szCs w:val="22"/>
          <w:lang w:val="en-CA"/>
        </w:rPr>
      </w:pPr>
    </w:p>
    <w:p w14:paraId="17FFD39E" w14:textId="4C66039A" w:rsidR="00DC4236" w:rsidRDefault="00DC4236" w:rsidP="00654CBF">
      <w:pPr>
        <w:spacing w:line="480" w:lineRule="auto"/>
        <w:rPr>
          <w:rFonts w:ascii="Times New Roman" w:hAnsi="Times New Roman" w:cs="Times New Roman"/>
          <w:sz w:val="22"/>
          <w:szCs w:val="22"/>
          <w:lang w:val="en-CA"/>
        </w:rPr>
      </w:pPr>
    </w:p>
    <w:p w14:paraId="00A5156C" w14:textId="583387FB" w:rsidR="00DC4236" w:rsidRDefault="00DC4236" w:rsidP="00654CBF">
      <w:pPr>
        <w:spacing w:line="480" w:lineRule="auto"/>
        <w:rPr>
          <w:rFonts w:ascii="Times New Roman" w:hAnsi="Times New Roman" w:cs="Times New Roman"/>
          <w:sz w:val="22"/>
          <w:szCs w:val="22"/>
          <w:lang w:val="en-CA"/>
        </w:rPr>
      </w:pPr>
    </w:p>
    <w:p w14:paraId="4BF4876B" w14:textId="7EFBF400" w:rsidR="00DC4236" w:rsidRDefault="00DC4236" w:rsidP="00654CBF">
      <w:pPr>
        <w:spacing w:line="480" w:lineRule="auto"/>
        <w:rPr>
          <w:rFonts w:ascii="Times New Roman" w:hAnsi="Times New Roman" w:cs="Times New Roman"/>
          <w:sz w:val="22"/>
          <w:szCs w:val="22"/>
          <w:lang w:val="en-CA"/>
        </w:rPr>
      </w:pPr>
    </w:p>
    <w:p w14:paraId="22CCA5EE" w14:textId="20064DBD" w:rsidR="00DC4236" w:rsidRDefault="00DC4236" w:rsidP="00654CBF">
      <w:pPr>
        <w:spacing w:line="480" w:lineRule="auto"/>
        <w:rPr>
          <w:rFonts w:ascii="Times New Roman" w:hAnsi="Times New Roman" w:cs="Times New Roman"/>
          <w:sz w:val="22"/>
          <w:szCs w:val="22"/>
          <w:lang w:val="en-CA"/>
        </w:rPr>
      </w:pPr>
    </w:p>
    <w:p w14:paraId="2CE120EE" w14:textId="53B9190F" w:rsidR="00DC4236" w:rsidRDefault="00DC4236" w:rsidP="00654CBF">
      <w:pPr>
        <w:spacing w:line="480" w:lineRule="auto"/>
        <w:rPr>
          <w:rFonts w:ascii="Times New Roman" w:hAnsi="Times New Roman" w:cs="Times New Roman"/>
          <w:sz w:val="22"/>
          <w:szCs w:val="22"/>
          <w:lang w:val="en-CA"/>
        </w:rPr>
      </w:pPr>
    </w:p>
    <w:p w14:paraId="121C5238" w14:textId="638ADCDF" w:rsidR="00DC4236" w:rsidRDefault="00DC4236" w:rsidP="00654CBF">
      <w:pPr>
        <w:spacing w:line="480" w:lineRule="auto"/>
        <w:rPr>
          <w:rFonts w:ascii="Times New Roman" w:hAnsi="Times New Roman" w:cs="Times New Roman"/>
          <w:sz w:val="22"/>
          <w:szCs w:val="22"/>
          <w:lang w:val="en-CA"/>
        </w:rPr>
      </w:pPr>
    </w:p>
    <w:p w14:paraId="61484F7F" w14:textId="77777777" w:rsidR="00DC4236" w:rsidRDefault="00DC4236" w:rsidP="00654CBF">
      <w:pPr>
        <w:spacing w:line="480" w:lineRule="auto"/>
        <w:rPr>
          <w:rFonts w:ascii="Times New Roman" w:hAnsi="Times New Roman" w:cs="Times New Roman"/>
          <w:sz w:val="22"/>
          <w:szCs w:val="22"/>
          <w:lang w:val="en-CA"/>
        </w:rPr>
      </w:pPr>
    </w:p>
    <w:p w14:paraId="312579B9" w14:textId="77777777" w:rsidR="00654CBF" w:rsidRDefault="00654CBF" w:rsidP="00654CBF">
      <w:pPr>
        <w:spacing w:line="480" w:lineRule="auto"/>
        <w:rPr>
          <w:rFonts w:ascii="Times New Roman" w:hAnsi="Times New Roman" w:cs="Times New Roman"/>
          <w:sz w:val="22"/>
          <w:szCs w:val="22"/>
          <w:lang w:val="en-CA"/>
        </w:rPr>
      </w:pPr>
    </w:p>
    <w:p w14:paraId="69F05FEF" w14:textId="77777777" w:rsidR="00DC4236" w:rsidRDefault="00DC4236" w:rsidP="00654CBF">
      <w:pPr>
        <w:spacing w:line="480" w:lineRule="auto"/>
        <w:rPr>
          <w:rFonts w:ascii="Times New Roman" w:hAnsi="Times New Roman" w:cs="Times New Roman"/>
          <w:sz w:val="22"/>
          <w:szCs w:val="22"/>
          <w:lang w:val="en-CA"/>
        </w:rPr>
      </w:pPr>
    </w:p>
    <w:p w14:paraId="662E0EDD" w14:textId="7EF3CC45" w:rsidR="00DC4236" w:rsidRPr="00DC4236" w:rsidRDefault="00DC4236" w:rsidP="00654CBF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  <w:lang w:val="en-CA"/>
        </w:rPr>
      </w:pPr>
      <w:r w:rsidRPr="00DC4236">
        <w:rPr>
          <w:rFonts w:ascii="Times New Roman" w:hAnsi="Times New Roman" w:cs="Times New Roman"/>
          <w:b/>
          <w:bCs/>
          <w:sz w:val="22"/>
          <w:szCs w:val="22"/>
          <w:lang w:val="en-CA"/>
        </w:rPr>
        <w:lastRenderedPageBreak/>
        <w:t>Placebo test</w:t>
      </w:r>
    </w:p>
    <w:p w14:paraId="6EBC3414" w14:textId="708E67CB" w:rsidR="00BF4F0C" w:rsidRPr="004C7B06" w:rsidRDefault="00DC4236" w:rsidP="00654CBF">
      <w:pPr>
        <w:spacing w:line="480" w:lineRule="auto"/>
        <w:rPr>
          <w:rFonts w:ascii="Times New Roman" w:hAnsi="Times New Roman" w:cs="Times New Roman"/>
          <w:sz w:val="22"/>
          <w:szCs w:val="22"/>
          <w:lang w:val="en-CA"/>
        </w:rPr>
      </w:pPr>
      <w:r>
        <w:rPr>
          <w:rFonts w:ascii="Times New Roman" w:hAnsi="Times New Roman" w:cs="Times New Roman"/>
          <w:sz w:val="22"/>
          <w:szCs w:val="22"/>
          <w:lang w:val="en-CA"/>
        </w:rPr>
        <w:t>We ran a placebo</w:t>
      </w:r>
      <w:r w:rsidR="00BF4F0C" w:rsidRPr="004C7B06">
        <w:rPr>
          <w:rFonts w:ascii="Times New Roman" w:hAnsi="Times New Roman" w:cs="Times New Roman"/>
          <w:sz w:val="22"/>
          <w:szCs w:val="22"/>
          <w:lang w:val="en-CA"/>
        </w:rPr>
        <w:t xml:space="preserve"> test, where we use the lead of consolidations</w:t>
      </w:r>
      <w:r w:rsidR="003F2724">
        <w:rPr>
          <w:rFonts w:ascii="Times New Roman" w:hAnsi="Times New Roman" w:cs="Times New Roman"/>
          <w:sz w:val="22"/>
          <w:szCs w:val="22"/>
          <w:lang w:val="en-CA"/>
        </w:rPr>
        <w:t>, one year prior to the real event,</w:t>
      </w:r>
      <w:r w:rsidR="00BF4F0C" w:rsidRPr="004C7B06">
        <w:rPr>
          <w:rFonts w:ascii="Times New Roman" w:hAnsi="Times New Roman" w:cs="Times New Roman"/>
          <w:sz w:val="22"/>
          <w:szCs w:val="22"/>
          <w:lang w:val="en-CA"/>
        </w:rPr>
        <w:t xml:space="preserve"> as a predictor of approval. </w:t>
      </w:r>
      <w:r w:rsidR="00A36874">
        <w:rPr>
          <w:rFonts w:ascii="Times New Roman" w:hAnsi="Times New Roman" w:cs="Times New Roman"/>
          <w:sz w:val="22"/>
          <w:szCs w:val="22"/>
          <w:lang w:val="en-CA"/>
        </w:rPr>
        <w:t xml:space="preserve">The results </w:t>
      </w:r>
      <w:r w:rsidR="00A36874" w:rsidRPr="00A36874">
        <w:rPr>
          <w:rFonts w:ascii="Times New Roman" w:hAnsi="Times New Roman" w:cs="Times New Roman"/>
          <w:sz w:val="22"/>
          <w:szCs w:val="22"/>
          <w:lang w:val="en-CA"/>
        </w:rPr>
        <w:t>confirm that approval does not react to “fake” consolidations occurring one year prior to the real episode</w:t>
      </w:r>
      <w:r w:rsidR="00A36874">
        <w:rPr>
          <w:rFonts w:ascii="Times New Roman" w:hAnsi="Times New Roman" w:cs="Times New Roman"/>
          <w:sz w:val="22"/>
          <w:szCs w:val="22"/>
          <w:lang w:val="en-CA"/>
        </w:rPr>
        <w:t>.</w:t>
      </w:r>
    </w:p>
    <w:p w14:paraId="0EDCFA3C" w14:textId="65A65ECE" w:rsidR="00BF4F0C" w:rsidRPr="00200E36" w:rsidRDefault="00BF4F0C">
      <w:pPr>
        <w:rPr>
          <w:rFonts w:ascii="Times New Roman" w:hAnsi="Times New Roman" w:cs="Times New Roman"/>
          <w:b/>
          <w:bCs/>
          <w:sz w:val="22"/>
          <w:szCs w:val="22"/>
          <w:lang w:val="en-CA"/>
        </w:rPr>
      </w:pPr>
    </w:p>
    <w:tbl>
      <w:tblPr>
        <w:tblW w:w="3546" w:type="dxa"/>
        <w:tblLook w:val="04A0" w:firstRow="1" w:lastRow="0" w:firstColumn="1" w:lastColumn="0" w:noHBand="0" w:noVBand="1"/>
      </w:tblPr>
      <w:tblGrid>
        <w:gridCol w:w="2386"/>
        <w:gridCol w:w="1160"/>
      </w:tblGrid>
      <w:tr w:rsidR="00BF4F0C" w:rsidRPr="00BF4F0C" w14:paraId="6EC29B2C" w14:textId="77777777" w:rsidTr="00BF4F0C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697A" w14:textId="77777777" w:rsidR="00BF4F0C" w:rsidRPr="00BF4F0C" w:rsidRDefault="00BF4F0C" w:rsidP="00BF4F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3854" w14:textId="77777777" w:rsidR="00BF4F0C" w:rsidRPr="00BF4F0C" w:rsidRDefault="00BF4F0C" w:rsidP="00BF4F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F4F0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Approval</w:t>
            </w:r>
          </w:p>
        </w:tc>
      </w:tr>
      <w:tr w:rsidR="00BF4F0C" w:rsidRPr="00BF4F0C" w14:paraId="4EC532FB" w14:textId="77777777" w:rsidTr="00BF4F0C">
        <w:trPr>
          <w:trHeight w:val="280"/>
        </w:trPr>
        <w:tc>
          <w:tcPr>
            <w:tcW w:w="23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CAB7" w14:textId="77777777" w:rsidR="00BF4F0C" w:rsidRPr="00BF4F0C" w:rsidRDefault="00BF4F0C" w:rsidP="00BF4F0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F4F0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9F55" w14:textId="77777777" w:rsidR="00BF4F0C" w:rsidRPr="00BF4F0C" w:rsidRDefault="00BF4F0C" w:rsidP="00BF4F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F4F0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 </w:t>
            </w:r>
          </w:p>
        </w:tc>
      </w:tr>
      <w:tr w:rsidR="00BF4F0C" w:rsidRPr="00BF4F0C" w14:paraId="77A9C35C" w14:textId="77777777" w:rsidTr="00BF4F0C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9C60" w14:textId="060087DB" w:rsidR="00BF4F0C" w:rsidRPr="00BF4F0C" w:rsidRDefault="00200E36" w:rsidP="00BF4F0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05466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Lagged dependent variable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FCDF" w14:textId="77777777" w:rsidR="00BF4F0C" w:rsidRPr="00BF4F0C" w:rsidRDefault="00BF4F0C" w:rsidP="00BF4F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F4F0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0.721***</w:t>
            </w:r>
          </w:p>
        </w:tc>
      </w:tr>
      <w:tr w:rsidR="00BF4F0C" w:rsidRPr="00BF4F0C" w14:paraId="61B3FB1A" w14:textId="77777777" w:rsidTr="00BF4F0C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A425" w14:textId="77777777" w:rsidR="00BF4F0C" w:rsidRPr="00BF4F0C" w:rsidRDefault="00BF4F0C" w:rsidP="00BF4F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05DF" w14:textId="77777777" w:rsidR="00BF4F0C" w:rsidRPr="00BF4F0C" w:rsidRDefault="00BF4F0C" w:rsidP="00BF4F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F4F0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(0.0319)</w:t>
            </w:r>
          </w:p>
        </w:tc>
      </w:tr>
      <w:tr w:rsidR="00BF4F0C" w:rsidRPr="00BF4F0C" w14:paraId="11062079" w14:textId="77777777" w:rsidTr="00BF4F0C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EC09" w14:textId="06908C98" w:rsidR="00BF4F0C" w:rsidRPr="00BF4F0C" w:rsidRDefault="00BF4F0C" w:rsidP="00BF4F0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05466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Placebo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FC12" w14:textId="77777777" w:rsidR="00BF4F0C" w:rsidRPr="00BF4F0C" w:rsidRDefault="00BF4F0C" w:rsidP="00BF4F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F4F0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1.053</w:t>
            </w:r>
          </w:p>
        </w:tc>
      </w:tr>
      <w:tr w:rsidR="00BF4F0C" w:rsidRPr="00BF4F0C" w14:paraId="767C5364" w14:textId="77777777" w:rsidTr="00BF4F0C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84F2" w14:textId="77777777" w:rsidR="00BF4F0C" w:rsidRPr="00BF4F0C" w:rsidRDefault="00BF4F0C" w:rsidP="00BF4F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FA3A" w14:textId="77777777" w:rsidR="00BF4F0C" w:rsidRPr="00BF4F0C" w:rsidRDefault="00BF4F0C" w:rsidP="00BF4F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F4F0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(0.867)</w:t>
            </w:r>
          </w:p>
        </w:tc>
      </w:tr>
      <w:tr w:rsidR="00BF4F0C" w:rsidRPr="00BF4F0C" w14:paraId="2C632A46" w14:textId="77777777" w:rsidTr="00BF4F0C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18BE" w14:textId="77777777" w:rsidR="00BF4F0C" w:rsidRPr="00BF4F0C" w:rsidRDefault="00BF4F0C" w:rsidP="00BF4F0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F4F0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Unemployment t-1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FCC6" w14:textId="77777777" w:rsidR="00BF4F0C" w:rsidRPr="00BF4F0C" w:rsidRDefault="00BF4F0C" w:rsidP="00BF4F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F4F0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0.0909</w:t>
            </w:r>
          </w:p>
        </w:tc>
      </w:tr>
      <w:tr w:rsidR="00BF4F0C" w:rsidRPr="00BF4F0C" w14:paraId="31D7EEC1" w14:textId="77777777" w:rsidTr="00BF4F0C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79F2" w14:textId="77777777" w:rsidR="00BF4F0C" w:rsidRPr="00BF4F0C" w:rsidRDefault="00BF4F0C" w:rsidP="00BF4F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33CC" w14:textId="77777777" w:rsidR="00BF4F0C" w:rsidRPr="00BF4F0C" w:rsidRDefault="00BF4F0C" w:rsidP="00BF4F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F4F0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(0.0999)</w:t>
            </w:r>
          </w:p>
        </w:tc>
      </w:tr>
      <w:tr w:rsidR="00BF4F0C" w:rsidRPr="00BF4F0C" w14:paraId="6ECA46FD" w14:textId="77777777" w:rsidTr="00BF4F0C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2D31" w14:textId="77777777" w:rsidR="00BF4F0C" w:rsidRPr="00BF4F0C" w:rsidRDefault="00BF4F0C" w:rsidP="00BF4F0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F4F0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Growth t-1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8ACA" w14:textId="77777777" w:rsidR="00BF4F0C" w:rsidRPr="00BF4F0C" w:rsidRDefault="00BF4F0C" w:rsidP="00BF4F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F4F0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0.109</w:t>
            </w:r>
          </w:p>
        </w:tc>
      </w:tr>
      <w:tr w:rsidR="00BF4F0C" w:rsidRPr="00BF4F0C" w14:paraId="6F070932" w14:textId="77777777" w:rsidTr="00BF4F0C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4F6B" w14:textId="77777777" w:rsidR="00BF4F0C" w:rsidRPr="00BF4F0C" w:rsidRDefault="00BF4F0C" w:rsidP="00BF4F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B149" w14:textId="77777777" w:rsidR="00BF4F0C" w:rsidRPr="00BF4F0C" w:rsidRDefault="00BF4F0C" w:rsidP="00BF4F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F4F0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(0.208)</w:t>
            </w:r>
          </w:p>
        </w:tc>
      </w:tr>
      <w:tr w:rsidR="00BF4F0C" w:rsidRPr="00BF4F0C" w14:paraId="2D103A05" w14:textId="77777777" w:rsidTr="00BF4F0C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AE88" w14:textId="77777777" w:rsidR="00BF4F0C" w:rsidRPr="00BF4F0C" w:rsidRDefault="00BF4F0C" w:rsidP="00BF4F0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F4F0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Inflation t-1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A2DA" w14:textId="77777777" w:rsidR="00BF4F0C" w:rsidRPr="00BF4F0C" w:rsidRDefault="00BF4F0C" w:rsidP="00BF4F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F4F0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-0.106</w:t>
            </w:r>
          </w:p>
        </w:tc>
      </w:tr>
      <w:tr w:rsidR="00BF4F0C" w:rsidRPr="00BF4F0C" w14:paraId="64E65A9B" w14:textId="77777777" w:rsidTr="00BF4F0C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ADD4" w14:textId="77777777" w:rsidR="00BF4F0C" w:rsidRPr="00BF4F0C" w:rsidRDefault="00BF4F0C" w:rsidP="00BF4F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79F5" w14:textId="77777777" w:rsidR="00BF4F0C" w:rsidRPr="00BF4F0C" w:rsidRDefault="00BF4F0C" w:rsidP="00BF4F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F4F0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(0.148)</w:t>
            </w:r>
          </w:p>
        </w:tc>
      </w:tr>
      <w:tr w:rsidR="00BF4F0C" w:rsidRPr="00BF4F0C" w14:paraId="6945D3D2" w14:textId="77777777" w:rsidTr="00BF4F0C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EBC2" w14:textId="77777777" w:rsidR="00BF4F0C" w:rsidRPr="00BF4F0C" w:rsidRDefault="00BF4F0C" w:rsidP="00BF4F0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F4F0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Public debt t-1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708E" w14:textId="77777777" w:rsidR="00BF4F0C" w:rsidRPr="00BF4F0C" w:rsidRDefault="00BF4F0C" w:rsidP="00BF4F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F4F0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-0.174**</w:t>
            </w:r>
          </w:p>
        </w:tc>
      </w:tr>
      <w:tr w:rsidR="00BF4F0C" w:rsidRPr="00BF4F0C" w14:paraId="12888138" w14:textId="77777777" w:rsidTr="00BF4F0C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1022" w14:textId="77777777" w:rsidR="00BF4F0C" w:rsidRPr="00BF4F0C" w:rsidRDefault="00BF4F0C" w:rsidP="00BF4F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B0F5" w14:textId="77777777" w:rsidR="00BF4F0C" w:rsidRPr="00BF4F0C" w:rsidRDefault="00BF4F0C" w:rsidP="00BF4F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F4F0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(0.0713)</w:t>
            </w:r>
          </w:p>
        </w:tc>
      </w:tr>
      <w:tr w:rsidR="00BF4F0C" w:rsidRPr="00BF4F0C" w14:paraId="3A0610D5" w14:textId="77777777" w:rsidTr="00BF4F0C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0F7F" w14:textId="77777777" w:rsidR="00BF4F0C" w:rsidRPr="00BF4F0C" w:rsidRDefault="00BF4F0C" w:rsidP="00BF4F0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F4F0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Trade openness t-1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3FEC" w14:textId="77777777" w:rsidR="00BF4F0C" w:rsidRPr="00BF4F0C" w:rsidRDefault="00BF4F0C" w:rsidP="00BF4F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F4F0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3.990</w:t>
            </w:r>
          </w:p>
        </w:tc>
      </w:tr>
      <w:tr w:rsidR="00BF4F0C" w:rsidRPr="00BF4F0C" w14:paraId="5B76DE1C" w14:textId="77777777" w:rsidTr="00BF4F0C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9BE4" w14:textId="77777777" w:rsidR="00BF4F0C" w:rsidRPr="00BF4F0C" w:rsidRDefault="00BF4F0C" w:rsidP="00BF4F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2B82" w14:textId="77777777" w:rsidR="00BF4F0C" w:rsidRPr="00BF4F0C" w:rsidRDefault="00BF4F0C" w:rsidP="00BF4F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F4F0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(2.751)</w:t>
            </w:r>
          </w:p>
        </w:tc>
      </w:tr>
      <w:tr w:rsidR="00BF4F0C" w:rsidRPr="00BF4F0C" w14:paraId="3DD87C86" w14:textId="77777777" w:rsidTr="00BF4F0C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C7BD" w14:textId="77777777" w:rsidR="00BF4F0C" w:rsidRPr="00BF4F0C" w:rsidRDefault="00BF4F0C" w:rsidP="00BF4F0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F4F0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Years in office t-1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8942" w14:textId="77777777" w:rsidR="00BF4F0C" w:rsidRPr="00BF4F0C" w:rsidRDefault="00BF4F0C" w:rsidP="00BF4F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F4F0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-0.00620</w:t>
            </w:r>
          </w:p>
        </w:tc>
      </w:tr>
      <w:tr w:rsidR="00BF4F0C" w:rsidRPr="00BF4F0C" w14:paraId="3AD3C0A7" w14:textId="77777777" w:rsidTr="00BF4F0C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E876" w14:textId="77777777" w:rsidR="00BF4F0C" w:rsidRPr="00BF4F0C" w:rsidRDefault="00BF4F0C" w:rsidP="00BF4F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D128" w14:textId="77777777" w:rsidR="00BF4F0C" w:rsidRPr="00BF4F0C" w:rsidRDefault="00BF4F0C" w:rsidP="00BF4F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F4F0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(0.0808)</w:t>
            </w:r>
          </w:p>
        </w:tc>
      </w:tr>
      <w:tr w:rsidR="00BF4F0C" w:rsidRPr="00BF4F0C" w14:paraId="400791AF" w14:textId="77777777" w:rsidTr="00BF4F0C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8754" w14:textId="77777777" w:rsidR="00BF4F0C" w:rsidRPr="00BF4F0C" w:rsidRDefault="00BF4F0C" w:rsidP="00BF4F0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F4F0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Election dummy t-1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985A" w14:textId="77777777" w:rsidR="00BF4F0C" w:rsidRPr="00BF4F0C" w:rsidRDefault="00BF4F0C" w:rsidP="00BF4F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F4F0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-1.697*</w:t>
            </w:r>
          </w:p>
        </w:tc>
      </w:tr>
      <w:tr w:rsidR="00BF4F0C" w:rsidRPr="00BF4F0C" w14:paraId="6F1E34DD" w14:textId="77777777" w:rsidTr="00BF4F0C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AA02" w14:textId="77777777" w:rsidR="00BF4F0C" w:rsidRPr="00BF4F0C" w:rsidRDefault="00BF4F0C" w:rsidP="00BF4F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FAD9" w14:textId="77777777" w:rsidR="00BF4F0C" w:rsidRPr="00BF4F0C" w:rsidRDefault="00BF4F0C" w:rsidP="00BF4F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F4F0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(1.014)</w:t>
            </w:r>
          </w:p>
        </w:tc>
      </w:tr>
      <w:tr w:rsidR="00BF4F0C" w:rsidRPr="00BF4F0C" w14:paraId="7E45DA21" w14:textId="77777777" w:rsidTr="00BF4F0C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00E9" w14:textId="77777777" w:rsidR="00BF4F0C" w:rsidRPr="00BF4F0C" w:rsidRDefault="00BF4F0C" w:rsidP="00BF4F0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F4F0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Government composition t-1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E9F3" w14:textId="77777777" w:rsidR="00BF4F0C" w:rsidRPr="00BF4F0C" w:rsidRDefault="00BF4F0C" w:rsidP="00BF4F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F4F0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0.0557</w:t>
            </w:r>
          </w:p>
        </w:tc>
      </w:tr>
      <w:tr w:rsidR="00BF4F0C" w:rsidRPr="00BF4F0C" w14:paraId="63CB505F" w14:textId="77777777" w:rsidTr="00BF4F0C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0F6F" w14:textId="77777777" w:rsidR="00BF4F0C" w:rsidRPr="00BF4F0C" w:rsidRDefault="00BF4F0C" w:rsidP="00BF4F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0171" w14:textId="77777777" w:rsidR="00BF4F0C" w:rsidRPr="00BF4F0C" w:rsidRDefault="00BF4F0C" w:rsidP="00BF4F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F4F0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(0.464)</w:t>
            </w:r>
          </w:p>
        </w:tc>
      </w:tr>
      <w:tr w:rsidR="00BF4F0C" w:rsidRPr="00BF4F0C" w14:paraId="143D8FCE" w14:textId="77777777" w:rsidTr="00BF4F0C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4453" w14:textId="77777777" w:rsidR="00BF4F0C" w:rsidRPr="00BF4F0C" w:rsidRDefault="00BF4F0C" w:rsidP="00BF4F0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F4F0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Left/right index t-1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E8A4" w14:textId="77777777" w:rsidR="00BF4F0C" w:rsidRPr="00BF4F0C" w:rsidRDefault="00BF4F0C" w:rsidP="00BF4F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F4F0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0.0236</w:t>
            </w:r>
          </w:p>
        </w:tc>
      </w:tr>
      <w:tr w:rsidR="00BF4F0C" w:rsidRPr="00BF4F0C" w14:paraId="04A918E8" w14:textId="77777777" w:rsidTr="00BF4F0C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9C78" w14:textId="77777777" w:rsidR="00BF4F0C" w:rsidRPr="00BF4F0C" w:rsidRDefault="00BF4F0C" w:rsidP="00BF4F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57C5" w14:textId="77777777" w:rsidR="00BF4F0C" w:rsidRPr="00BF4F0C" w:rsidRDefault="00BF4F0C" w:rsidP="00BF4F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F4F0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(0.0213)</w:t>
            </w:r>
          </w:p>
        </w:tc>
      </w:tr>
      <w:tr w:rsidR="00BF4F0C" w:rsidRPr="00BF4F0C" w14:paraId="4FB3B5F0" w14:textId="77777777" w:rsidTr="00BF4F0C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24F7" w14:textId="77777777" w:rsidR="00BF4F0C" w:rsidRPr="00BF4F0C" w:rsidRDefault="00BF4F0C" w:rsidP="00BF4F0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F4F0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Government turnover t-1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09C5" w14:textId="77777777" w:rsidR="00BF4F0C" w:rsidRPr="00BF4F0C" w:rsidRDefault="00BF4F0C" w:rsidP="00BF4F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F4F0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4.189***</w:t>
            </w:r>
          </w:p>
        </w:tc>
      </w:tr>
      <w:tr w:rsidR="00BF4F0C" w:rsidRPr="00BF4F0C" w14:paraId="10E06AF9" w14:textId="77777777" w:rsidTr="00BF4F0C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9D44" w14:textId="77777777" w:rsidR="00BF4F0C" w:rsidRPr="00BF4F0C" w:rsidRDefault="00BF4F0C" w:rsidP="00BF4F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14D2" w14:textId="77777777" w:rsidR="00BF4F0C" w:rsidRPr="00BF4F0C" w:rsidRDefault="00BF4F0C" w:rsidP="00BF4F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F4F0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(1.004)</w:t>
            </w:r>
          </w:p>
        </w:tc>
      </w:tr>
      <w:tr w:rsidR="00BF4F0C" w:rsidRPr="00BF4F0C" w14:paraId="7D587D73" w14:textId="77777777" w:rsidTr="00BF4F0C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8C28" w14:textId="77777777" w:rsidR="00BF4F0C" w:rsidRPr="00BF4F0C" w:rsidRDefault="00BF4F0C" w:rsidP="00BF4F0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F4F0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Constant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88C2" w14:textId="77777777" w:rsidR="00BF4F0C" w:rsidRPr="00BF4F0C" w:rsidRDefault="00BF4F0C" w:rsidP="00BF4F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F4F0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141.9</w:t>
            </w:r>
          </w:p>
        </w:tc>
      </w:tr>
      <w:tr w:rsidR="00BF4F0C" w:rsidRPr="00BF4F0C" w14:paraId="28340860" w14:textId="77777777" w:rsidTr="00BF4F0C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9219" w14:textId="77777777" w:rsidR="00BF4F0C" w:rsidRPr="00BF4F0C" w:rsidRDefault="00BF4F0C" w:rsidP="00BF4F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A385" w14:textId="77777777" w:rsidR="00BF4F0C" w:rsidRPr="00BF4F0C" w:rsidRDefault="00BF4F0C" w:rsidP="00BF4F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F4F0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(95.82)</w:t>
            </w:r>
          </w:p>
        </w:tc>
      </w:tr>
      <w:tr w:rsidR="00BF4F0C" w:rsidRPr="00BF4F0C" w14:paraId="5EB7D440" w14:textId="77777777" w:rsidTr="00BF4F0C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0371" w14:textId="77777777" w:rsidR="00BF4F0C" w:rsidRPr="00BF4F0C" w:rsidRDefault="00BF4F0C" w:rsidP="00BF4F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0B92" w14:textId="77777777" w:rsidR="00BF4F0C" w:rsidRPr="00BF4F0C" w:rsidRDefault="00BF4F0C" w:rsidP="00BF4F0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BF4F0C" w:rsidRPr="00BF4F0C" w14:paraId="70A35642" w14:textId="77777777" w:rsidTr="00BF4F0C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90F6" w14:textId="77777777" w:rsidR="00BF4F0C" w:rsidRPr="00BF4F0C" w:rsidRDefault="00BF4F0C" w:rsidP="00BF4F0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F4F0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Observations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14EC" w14:textId="77777777" w:rsidR="00BF4F0C" w:rsidRPr="00BF4F0C" w:rsidRDefault="00BF4F0C" w:rsidP="00BF4F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F4F0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438</w:t>
            </w:r>
          </w:p>
        </w:tc>
      </w:tr>
      <w:tr w:rsidR="00BF4F0C" w:rsidRPr="00BF4F0C" w14:paraId="159E787F" w14:textId="77777777" w:rsidTr="00BF4F0C">
        <w:trPr>
          <w:trHeight w:val="280"/>
        </w:trPr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31087A" w14:textId="77777777" w:rsidR="00BF4F0C" w:rsidRPr="00BF4F0C" w:rsidRDefault="00BF4F0C" w:rsidP="00BF4F0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F4F0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Number of ctyid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1F1CBF" w14:textId="77777777" w:rsidR="00BF4F0C" w:rsidRPr="00BF4F0C" w:rsidRDefault="00BF4F0C" w:rsidP="00BF4F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F4F0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14</w:t>
            </w:r>
          </w:p>
        </w:tc>
      </w:tr>
      <w:tr w:rsidR="00BF4F0C" w:rsidRPr="00BF4F0C" w14:paraId="2D7128B0" w14:textId="77777777" w:rsidTr="00BF4F0C">
        <w:trPr>
          <w:trHeight w:val="280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60F2" w14:textId="77777777" w:rsidR="00BF4F0C" w:rsidRPr="00BF4F0C" w:rsidRDefault="00BF4F0C" w:rsidP="00BF4F0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F4F0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Robust standard errors in parentheses</w:t>
            </w:r>
          </w:p>
        </w:tc>
      </w:tr>
      <w:tr w:rsidR="00BF4F0C" w:rsidRPr="00BF4F0C" w14:paraId="5A7D49C2" w14:textId="77777777" w:rsidTr="00BF4F0C">
        <w:trPr>
          <w:trHeight w:val="280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BCAE" w14:textId="3A8FF8AD" w:rsidR="00BF4F0C" w:rsidRPr="00BF4F0C" w:rsidRDefault="00BF4F0C" w:rsidP="00BF4F0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</w:pPr>
            <w:r w:rsidRPr="00BF4F0C">
              <w:rPr>
                <w:rFonts w:ascii="Times New Roman" w:eastAsia="Times New Roman" w:hAnsi="Times New Roman" w:cs="Times New Roman"/>
                <w:sz w:val="18"/>
                <w:szCs w:val="18"/>
                <w:lang w:val="en-CA"/>
              </w:rPr>
              <w:t>*** p&lt;0.01, ** p&lt;0.05 * p&lt;0.1</w:t>
            </w:r>
          </w:p>
        </w:tc>
      </w:tr>
    </w:tbl>
    <w:p w14:paraId="7F84CF48" w14:textId="77777777" w:rsidR="00BF4F0C" w:rsidRPr="004C7B06" w:rsidRDefault="00BF4F0C">
      <w:pPr>
        <w:rPr>
          <w:rFonts w:ascii="Times New Roman" w:hAnsi="Times New Roman" w:cs="Times New Roman"/>
          <w:sz w:val="22"/>
          <w:szCs w:val="22"/>
          <w:lang w:val="en-CA"/>
        </w:rPr>
      </w:pPr>
    </w:p>
    <w:sectPr w:rsidR="00BF4F0C" w:rsidRPr="004C7B06" w:rsidSect="00200E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BFDC8" w14:textId="77777777" w:rsidR="00762AB7" w:rsidRDefault="00762AB7" w:rsidP="002E68D8">
      <w:r>
        <w:separator/>
      </w:r>
    </w:p>
  </w:endnote>
  <w:endnote w:type="continuationSeparator" w:id="0">
    <w:p w14:paraId="10AF9E48" w14:textId="77777777" w:rsidR="00762AB7" w:rsidRDefault="00762AB7" w:rsidP="002E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738038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089443B" w14:textId="441A3B13" w:rsidR="00A6724E" w:rsidRDefault="00A6724E" w:rsidP="007D07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F491C6" w14:textId="77777777" w:rsidR="00A6724E" w:rsidRDefault="00A6724E" w:rsidP="007E56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9959997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F9277E" w14:textId="17645D30" w:rsidR="00A6724E" w:rsidRDefault="00A6724E" w:rsidP="007D07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6B65C20" w14:textId="77777777" w:rsidR="00A6724E" w:rsidRDefault="00A6724E" w:rsidP="007E56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6C788" w14:textId="77777777" w:rsidR="00762AB7" w:rsidRDefault="00762AB7" w:rsidP="002E68D8">
      <w:r>
        <w:separator/>
      </w:r>
    </w:p>
  </w:footnote>
  <w:footnote w:type="continuationSeparator" w:id="0">
    <w:p w14:paraId="53132993" w14:textId="77777777" w:rsidR="00762AB7" w:rsidRDefault="00762AB7" w:rsidP="002E6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95"/>
    <w:rsid w:val="0000547E"/>
    <w:rsid w:val="0001530C"/>
    <w:rsid w:val="00015690"/>
    <w:rsid w:val="00017EE4"/>
    <w:rsid w:val="00021BB3"/>
    <w:rsid w:val="00024669"/>
    <w:rsid w:val="00027993"/>
    <w:rsid w:val="00031AF2"/>
    <w:rsid w:val="000350AD"/>
    <w:rsid w:val="00035BBF"/>
    <w:rsid w:val="000367FA"/>
    <w:rsid w:val="0004105D"/>
    <w:rsid w:val="0004391D"/>
    <w:rsid w:val="00047841"/>
    <w:rsid w:val="000524BE"/>
    <w:rsid w:val="0005466C"/>
    <w:rsid w:val="00055E49"/>
    <w:rsid w:val="0005615B"/>
    <w:rsid w:val="00060D18"/>
    <w:rsid w:val="00061AA2"/>
    <w:rsid w:val="00065B7D"/>
    <w:rsid w:val="000707CF"/>
    <w:rsid w:val="000804EE"/>
    <w:rsid w:val="0008678F"/>
    <w:rsid w:val="00096837"/>
    <w:rsid w:val="000A7FEC"/>
    <w:rsid w:val="000B27FF"/>
    <w:rsid w:val="000B3132"/>
    <w:rsid w:val="000B41B3"/>
    <w:rsid w:val="000B6F2B"/>
    <w:rsid w:val="000C3390"/>
    <w:rsid w:val="000C4741"/>
    <w:rsid w:val="000C51AE"/>
    <w:rsid w:val="000D06B6"/>
    <w:rsid w:val="000D0A32"/>
    <w:rsid w:val="000D3072"/>
    <w:rsid w:val="000D351D"/>
    <w:rsid w:val="000D4CCC"/>
    <w:rsid w:val="000D5BDA"/>
    <w:rsid w:val="000D748F"/>
    <w:rsid w:val="000E33A5"/>
    <w:rsid w:val="000E68F7"/>
    <w:rsid w:val="000F3381"/>
    <w:rsid w:val="000F5819"/>
    <w:rsid w:val="000F6162"/>
    <w:rsid w:val="000F71FD"/>
    <w:rsid w:val="00100BEB"/>
    <w:rsid w:val="0010227E"/>
    <w:rsid w:val="001049BE"/>
    <w:rsid w:val="00121689"/>
    <w:rsid w:val="001276B0"/>
    <w:rsid w:val="001303F8"/>
    <w:rsid w:val="001371F1"/>
    <w:rsid w:val="0014406F"/>
    <w:rsid w:val="00151F9C"/>
    <w:rsid w:val="0015378B"/>
    <w:rsid w:val="00153A1F"/>
    <w:rsid w:val="00163DE7"/>
    <w:rsid w:val="00164038"/>
    <w:rsid w:val="00165081"/>
    <w:rsid w:val="0016528A"/>
    <w:rsid w:val="001653CC"/>
    <w:rsid w:val="00166512"/>
    <w:rsid w:val="0017177F"/>
    <w:rsid w:val="00175881"/>
    <w:rsid w:val="00176D53"/>
    <w:rsid w:val="00192B79"/>
    <w:rsid w:val="0019339E"/>
    <w:rsid w:val="00194AD7"/>
    <w:rsid w:val="00196C9B"/>
    <w:rsid w:val="00197663"/>
    <w:rsid w:val="001A651F"/>
    <w:rsid w:val="001B2946"/>
    <w:rsid w:val="001B7B03"/>
    <w:rsid w:val="001C4F95"/>
    <w:rsid w:val="001C57E1"/>
    <w:rsid w:val="001C5E65"/>
    <w:rsid w:val="001C6BFD"/>
    <w:rsid w:val="001D67D3"/>
    <w:rsid w:val="001E1811"/>
    <w:rsid w:val="001E19A4"/>
    <w:rsid w:val="001E20F9"/>
    <w:rsid w:val="001F189B"/>
    <w:rsid w:val="001F2436"/>
    <w:rsid w:val="001F3B4E"/>
    <w:rsid w:val="00200E36"/>
    <w:rsid w:val="0020671C"/>
    <w:rsid w:val="002163A8"/>
    <w:rsid w:val="00217706"/>
    <w:rsid w:val="00226451"/>
    <w:rsid w:val="002301F7"/>
    <w:rsid w:val="0023569E"/>
    <w:rsid w:val="00243334"/>
    <w:rsid w:val="00251103"/>
    <w:rsid w:val="00254637"/>
    <w:rsid w:val="00254D3F"/>
    <w:rsid w:val="00265A46"/>
    <w:rsid w:val="002670B2"/>
    <w:rsid w:val="0027001E"/>
    <w:rsid w:val="00275CB5"/>
    <w:rsid w:val="0028138A"/>
    <w:rsid w:val="0028497B"/>
    <w:rsid w:val="00285EAF"/>
    <w:rsid w:val="002865DB"/>
    <w:rsid w:val="002B2D85"/>
    <w:rsid w:val="002C0E5A"/>
    <w:rsid w:val="002C16DB"/>
    <w:rsid w:val="002D24E7"/>
    <w:rsid w:val="002D3A36"/>
    <w:rsid w:val="002D48A2"/>
    <w:rsid w:val="002E0246"/>
    <w:rsid w:val="002E6256"/>
    <w:rsid w:val="002E68D8"/>
    <w:rsid w:val="002F1A21"/>
    <w:rsid w:val="002F45A8"/>
    <w:rsid w:val="002F485F"/>
    <w:rsid w:val="00304563"/>
    <w:rsid w:val="00312678"/>
    <w:rsid w:val="00332579"/>
    <w:rsid w:val="00336C1A"/>
    <w:rsid w:val="00347D0A"/>
    <w:rsid w:val="0036125A"/>
    <w:rsid w:val="003631EC"/>
    <w:rsid w:val="00366FFD"/>
    <w:rsid w:val="0036745B"/>
    <w:rsid w:val="00370C8A"/>
    <w:rsid w:val="00371424"/>
    <w:rsid w:val="003741D4"/>
    <w:rsid w:val="00390853"/>
    <w:rsid w:val="003914EC"/>
    <w:rsid w:val="0039419B"/>
    <w:rsid w:val="003B3F5F"/>
    <w:rsid w:val="003B75C0"/>
    <w:rsid w:val="003D0048"/>
    <w:rsid w:val="003D14E2"/>
    <w:rsid w:val="003E4D73"/>
    <w:rsid w:val="003E4D95"/>
    <w:rsid w:val="003E5601"/>
    <w:rsid w:val="003F12E4"/>
    <w:rsid w:val="003F2724"/>
    <w:rsid w:val="003F3E09"/>
    <w:rsid w:val="0040190C"/>
    <w:rsid w:val="004107C3"/>
    <w:rsid w:val="0041102E"/>
    <w:rsid w:val="00415BB4"/>
    <w:rsid w:val="00421748"/>
    <w:rsid w:val="00422F38"/>
    <w:rsid w:val="00432916"/>
    <w:rsid w:val="0043546D"/>
    <w:rsid w:val="00435DF6"/>
    <w:rsid w:val="00440689"/>
    <w:rsid w:val="004409ED"/>
    <w:rsid w:val="004444EA"/>
    <w:rsid w:val="00444F57"/>
    <w:rsid w:val="00446D87"/>
    <w:rsid w:val="0045537B"/>
    <w:rsid w:val="004624D1"/>
    <w:rsid w:val="0046421C"/>
    <w:rsid w:val="00487163"/>
    <w:rsid w:val="004A04A2"/>
    <w:rsid w:val="004A23E9"/>
    <w:rsid w:val="004A55DE"/>
    <w:rsid w:val="004A69A0"/>
    <w:rsid w:val="004B0B1C"/>
    <w:rsid w:val="004B1118"/>
    <w:rsid w:val="004C0D9B"/>
    <w:rsid w:val="004C2730"/>
    <w:rsid w:val="004C7B06"/>
    <w:rsid w:val="004D01EA"/>
    <w:rsid w:val="004D6E32"/>
    <w:rsid w:val="004D7A02"/>
    <w:rsid w:val="004E0FA1"/>
    <w:rsid w:val="004F696A"/>
    <w:rsid w:val="00502E48"/>
    <w:rsid w:val="00515225"/>
    <w:rsid w:val="00517374"/>
    <w:rsid w:val="00522E67"/>
    <w:rsid w:val="00530871"/>
    <w:rsid w:val="00533882"/>
    <w:rsid w:val="00533F70"/>
    <w:rsid w:val="00546CBB"/>
    <w:rsid w:val="00556D6B"/>
    <w:rsid w:val="00572F8A"/>
    <w:rsid w:val="00574A8B"/>
    <w:rsid w:val="00584FD8"/>
    <w:rsid w:val="00586466"/>
    <w:rsid w:val="00594283"/>
    <w:rsid w:val="005A3CE2"/>
    <w:rsid w:val="005B62C9"/>
    <w:rsid w:val="005B7635"/>
    <w:rsid w:val="005C3A53"/>
    <w:rsid w:val="005D17F7"/>
    <w:rsid w:val="005D3B09"/>
    <w:rsid w:val="005E0CF9"/>
    <w:rsid w:val="005E5A6C"/>
    <w:rsid w:val="005F61D0"/>
    <w:rsid w:val="00603C42"/>
    <w:rsid w:val="00613639"/>
    <w:rsid w:val="00613821"/>
    <w:rsid w:val="00621349"/>
    <w:rsid w:val="00624073"/>
    <w:rsid w:val="00624C8F"/>
    <w:rsid w:val="00633745"/>
    <w:rsid w:val="00633AB5"/>
    <w:rsid w:val="00634A21"/>
    <w:rsid w:val="00640851"/>
    <w:rsid w:val="00645B46"/>
    <w:rsid w:val="0065252E"/>
    <w:rsid w:val="0065414C"/>
    <w:rsid w:val="00654CBF"/>
    <w:rsid w:val="00656D48"/>
    <w:rsid w:val="00662D98"/>
    <w:rsid w:val="00663368"/>
    <w:rsid w:val="00663CC9"/>
    <w:rsid w:val="00670FE3"/>
    <w:rsid w:val="006755B1"/>
    <w:rsid w:val="006960DF"/>
    <w:rsid w:val="00696440"/>
    <w:rsid w:val="006A177F"/>
    <w:rsid w:val="006B3C14"/>
    <w:rsid w:val="006B73B6"/>
    <w:rsid w:val="006B7691"/>
    <w:rsid w:val="006C0809"/>
    <w:rsid w:val="006C2977"/>
    <w:rsid w:val="006C40B5"/>
    <w:rsid w:val="006D1077"/>
    <w:rsid w:val="006E6466"/>
    <w:rsid w:val="006F0124"/>
    <w:rsid w:val="006F13C0"/>
    <w:rsid w:val="0070076A"/>
    <w:rsid w:val="00700A30"/>
    <w:rsid w:val="00703683"/>
    <w:rsid w:val="00704D16"/>
    <w:rsid w:val="007114E1"/>
    <w:rsid w:val="00720E5D"/>
    <w:rsid w:val="007237A7"/>
    <w:rsid w:val="00726252"/>
    <w:rsid w:val="00730D20"/>
    <w:rsid w:val="00736EAC"/>
    <w:rsid w:val="00740813"/>
    <w:rsid w:val="00740CBF"/>
    <w:rsid w:val="00743721"/>
    <w:rsid w:val="007455E6"/>
    <w:rsid w:val="007465DC"/>
    <w:rsid w:val="007465E7"/>
    <w:rsid w:val="007468F9"/>
    <w:rsid w:val="00747998"/>
    <w:rsid w:val="007514F8"/>
    <w:rsid w:val="0075407E"/>
    <w:rsid w:val="00757F12"/>
    <w:rsid w:val="007603EE"/>
    <w:rsid w:val="00761B8C"/>
    <w:rsid w:val="00762AB7"/>
    <w:rsid w:val="00770505"/>
    <w:rsid w:val="007722B6"/>
    <w:rsid w:val="0077795A"/>
    <w:rsid w:val="0078327A"/>
    <w:rsid w:val="00790306"/>
    <w:rsid w:val="00792AEF"/>
    <w:rsid w:val="007A0289"/>
    <w:rsid w:val="007A5DDA"/>
    <w:rsid w:val="007B0707"/>
    <w:rsid w:val="007B7EFD"/>
    <w:rsid w:val="007C3AA3"/>
    <w:rsid w:val="007D07FC"/>
    <w:rsid w:val="007D08B8"/>
    <w:rsid w:val="007D23C6"/>
    <w:rsid w:val="007E0524"/>
    <w:rsid w:val="007E568A"/>
    <w:rsid w:val="007F0884"/>
    <w:rsid w:val="007F2610"/>
    <w:rsid w:val="00801FD4"/>
    <w:rsid w:val="00807350"/>
    <w:rsid w:val="008103DF"/>
    <w:rsid w:val="00810A44"/>
    <w:rsid w:val="00816844"/>
    <w:rsid w:val="0082039A"/>
    <w:rsid w:val="00827834"/>
    <w:rsid w:val="008343FE"/>
    <w:rsid w:val="00834D2C"/>
    <w:rsid w:val="0084702E"/>
    <w:rsid w:val="00855C60"/>
    <w:rsid w:val="0086207D"/>
    <w:rsid w:val="00864000"/>
    <w:rsid w:val="0089186C"/>
    <w:rsid w:val="00895371"/>
    <w:rsid w:val="00897F3E"/>
    <w:rsid w:val="008A4CEE"/>
    <w:rsid w:val="008A66D2"/>
    <w:rsid w:val="008B06A1"/>
    <w:rsid w:val="008B5ACE"/>
    <w:rsid w:val="008B6824"/>
    <w:rsid w:val="008C1E94"/>
    <w:rsid w:val="008C38C1"/>
    <w:rsid w:val="008D0DA3"/>
    <w:rsid w:val="008E5A45"/>
    <w:rsid w:val="008E7E04"/>
    <w:rsid w:val="008F3391"/>
    <w:rsid w:val="008F55D8"/>
    <w:rsid w:val="00912C62"/>
    <w:rsid w:val="009144AF"/>
    <w:rsid w:val="00917AB5"/>
    <w:rsid w:val="009212FB"/>
    <w:rsid w:val="0093187A"/>
    <w:rsid w:val="009329B9"/>
    <w:rsid w:val="00933AC0"/>
    <w:rsid w:val="009465F7"/>
    <w:rsid w:val="00946CD0"/>
    <w:rsid w:val="0095275C"/>
    <w:rsid w:val="00961C4F"/>
    <w:rsid w:val="00963C9E"/>
    <w:rsid w:val="00966FF8"/>
    <w:rsid w:val="00967825"/>
    <w:rsid w:val="009862E7"/>
    <w:rsid w:val="00997A7E"/>
    <w:rsid w:val="00997AF3"/>
    <w:rsid w:val="009A0CE3"/>
    <w:rsid w:val="009A14CD"/>
    <w:rsid w:val="009A28BA"/>
    <w:rsid w:val="009B4B88"/>
    <w:rsid w:val="009C051E"/>
    <w:rsid w:val="009C2073"/>
    <w:rsid w:val="009D0007"/>
    <w:rsid w:val="009E199C"/>
    <w:rsid w:val="009E7AA0"/>
    <w:rsid w:val="009F0957"/>
    <w:rsid w:val="009F3042"/>
    <w:rsid w:val="009F3D9C"/>
    <w:rsid w:val="009F59EF"/>
    <w:rsid w:val="009F6621"/>
    <w:rsid w:val="009F68D6"/>
    <w:rsid w:val="00A115FC"/>
    <w:rsid w:val="00A25268"/>
    <w:rsid w:val="00A31004"/>
    <w:rsid w:val="00A36874"/>
    <w:rsid w:val="00A41EFA"/>
    <w:rsid w:val="00A43893"/>
    <w:rsid w:val="00A4655E"/>
    <w:rsid w:val="00A5158D"/>
    <w:rsid w:val="00A51E9D"/>
    <w:rsid w:val="00A55977"/>
    <w:rsid w:val="00A6724E"/>
    <w:rsid w:val="00A734FD"/>
    <w:rsid w:val="00A739E0"/>
    <w:rsid w:val="00A7496F"/>
    <w:rsid w:val="00A7743A"/>
    <w:rsid w:val="00A8202F"/>
    <w:rsid w:val="00A82B87"/>
    <w:rsid w:val="00A87986"/>
    <w:rsid w:val="00A959AF"/>
    <w:rsid w:val="00AA5F3F"/>
    <w:rsid w:val="00AB1C5D"/>
    <w:rsid w:val="00AB5DEC"/>
    <w:rsid w:val="00AB6335"/>
    <w:rsid w:val="00AB7DEC"/>
    <w:rsid w:val="00AC3610"/>
    <w:rsid w:val="00AD2EF7"/>
    <w:rsid w:val="00AD6E19"/>
    <w:rsid w:val="00AD6F54"/>
    <w:rsid w:val="00AD716A"/>
    <w:rsid w:val="00B000DC"/>
    <w:rsid w:val="00B025EC"/>
    <w:rsid w:val="00B16067"/>
    <w:rsid w:val="00B16248"/>
    <w:rsid w:val="00B171A6"/>
    <w:rsid w:val="00B20FAB"/>
    <w:rsid w:val="00B279DA"/>
    <w:rsid w:val="00B30EBE"/>
    <w:rsid w:val="00B340DB"/>
    <w:rsid w:val="00B40767"/>
    <w:rsid w:val="00B4643D"/>
    <w:rsid w:val="00B46899"/>
    <w:rsid w:val="00B600BF"/>
    <w:rsid w:val="00B634D3"/>
    <w:rsid w:val="00B63BD7"/>
    <w:rsid w:val="00B66D06"/>
    <w:rsid w:val="00B73BBF"/>
    <w:rsid w:val="00B749D8"/>
    <w:rsid w:val="00B77ADF"/>
    <w:rsid w:val="00B86554"/>
    <w:rsid w:val="00B93DA5"/>
    <w:rsid w:val="00BA39D1"/>
    <w:rsid w:val="00BA3BA2"/>
    <w:rsid w:val="00BB1F43"/>
    <w:rsid w:val="00BB3DEB"/>
    <w:rsid w:val="00BD0FF5"/>
    <w:rsid w:val="00BD293F"/>
    <w:rsid w:val="00BE4995"/>
    <w:rsid w:val="00BE6732"/>
    <w:rsid w:val="00BF102D"/>
    <w:rsid w:val="00BF4F0C"/>
    <w:rsid w:val="00BF5EA7"/>
    <w:rsid w:val="00C01723"/>
    <w:rsid w:val="00C02CE2"/>
    <w:rsid w:val="00C03808"/>
    <w:rsid w:val="00C043FB"/>
    <w:rsid w:val="00C2281A"/>
    <w:rsid w:val="00C26A93"/>
    <w:rsid w:val="00C32DBC"/>
    <w:rsid w:val="00C4233D"/>
    <w:rsid w:val="00C431C4"/>
    <w:rsid w:val="00C4558E"/>
    <w:rsid w:val="00C45F23"/>
    <w:rsid w:val="00C5063B"/>
    <w:rsid w:val="00C51BDD"/>
    <w:rsid w:val="00C54912"/>
    <w:rsid w:val="00C5505E"/>
    <w:rsid w:val="00C556F8"/>
    <w:rsid w:val="00C61BE5"/>
    <w:rsid w:val="00C62D17"/>
    <w:rsid w:val="00C63CC0"/>
    <w:rsid w:val="00C67051"/>
    <w:rsid w:val="00C73D92"/>
    <w:rsid w:val="00C7531D"/>
    <w:rsid w:val="00C85559"/>
    <w:rsid w:val="00C9098D"/>
    <w:rsid w:val="00C92C22"/>
    <w:rsid w:val="00C9562D"/>
    <w:rsid w:val="00CA2FC6"/>
    <w:rsid w:val="00CB09AA"/>
    <w:rsid w:val="00CB1481"/>
    <w:rsid w:val="00CB71D2"/>
    <w:rsid w:val="00CC3922"/>
    <w:rsid w:val="00CC493D"/>
    <w:rsid w:val="00CE3718"/>
    <w:rsid w:val="00CE733C"/>
    <w:rsid w:val="00CF36F9"/>
    <w:rsid w:val="00CF7191"/>
    <w:rsid w:val="00D054C2"/>
    <w:rsid w:val="00D063CC"/>
    <w:rsid w:val="00D076EC"/>
    <w:rsid w:val="00D17644"/>
    <w:rsid w:val="00D24510"/>
    <w:rsid w:val="00D26AD7"/>
    <w:rsid w:val="00D34034"/>
    <w:rsid w:val="00D355DA"/>
    <w:rsid w:val="00D42025"/>
    <w:rsid w:val="00D427E4"/>
    <w:rsid w:val="00D50B1C"/>
    <w:rsid w:val="00D5442D"/>
    <w:rsid w:val="00D559C5"/>
    <w:rsid w:val="00D61B26"/>
    <w:rsid w:val="00D63DC1"/>
    <w:rsid w:val="00D65D44"/>
    <w:rsid w:val="00D71187"/>
    <w:rsid w:val="00D75B47"/>
    <w:rsid w:val="00D82392"/>
    <w:rsid w:val="00D83369"/>
    <w:rsid w:val="00D83DBB"/>
    <w:rsid w:val="00D83EB4"/>
    <w:rsid w:val="00D84EFF"/>
    <w:rsid w:val="00D95C42"/>
    <w:rsid w:val="00D95D9A"/>
    <w:rsid w:val="00DA256A"/>
    <w:rsid w:val="00DA473C"/>
    <w:rsid w:val="00DA4D18"/>
    <w:rsid w:val="00DB08FC"/>
    <w:rsid w:val="00DC4236"/>
    <w:rsid w:val="00DC7E25"/>
    <w:rsid w:val="00DD3253"/>
    <w:rsid w:val="00DD610C"/>
    <w:rsid w:val="00DE5F00"/>
    <w:rsid w:val="00DF2780"/>
    <w:rsid w:val="00DF322E"/>
    <w:rsid w:val="00DF3A0D"/>
    <w:rsid w:val="00E03100"/>
    <w:rsid w:val="00E0402D"/>
    <w:rsid w:val="00E059A4"/>
    <w:rsid w:val="00E15411"/>
    <w:rsid w:val="00E1710A"/>
    <w:rsid w:val="00E237CD"/>
    <w:rsid w:val="00E252D3"/>
    <w:rsid w:val="00E309B5"/>
    <w:rsid w:val="00E31E4A"/>
    <w:rsid w:val="00E33173"/>
    <w:rsid w:val="00E33F39"/>
    <w:rsid w:val="00E507D0"/>
    <w:rsid w:val="00E53369"/>
    <w:rsid w:val="00E55B5E"/>
    <w:rsid w:val="00E80322"/>
    <w:rsid w:val="00E85584"/>
    <w:rsid w:val="00E8587B"/>
    <w:rsid w:val="00E86474"/>
    <w:rsid w:val="00E872F1"/>
    <w:rsid w:val="00E87BEA"/>
    <w:rsid w:val="00E9259A"/>
    <w:rsid w:val="00E93135"/>
    <w:rsid w:val="00E95841"/>
    <w:rsid w:val="00E9707E"/>
    <w:rsid w:val="00EA2DFB"/>
    <w:rsid w:val="00EA3619"/>
    <w:rsid w:val="00EA4346"/>
    <w:rsid w:val="00EA5B98"/>
    <w:rsid w:val="00EB3420"/>
    <w:rsid w:val="00EB3619"/>
    <w:rsid w:val="00EB38E9"/>
    <w:rsid w:val="00EB6A86"/>
    <w:rsid w:val="00EB72EB"/>
    <w:rsid w:val="00ED046F"/>
    <w:rsid w:val="00EE07CE"/>
    <w:rsid w:val="00EE1892"/>
    <w:rsid w:val="00EE4EA1"/>
    <w:rsid w:val="00EF2CE0"/>
    <w:rsid w:val="00F02688"/>
    <w:rsid w:val="00F14E77"/>
    <w:rsid w:val="00F15F6F"/>
    <w:rsid w:val="00F20C69"/>
    <w:rsid w:val="00F21255"/>
    <w:rsid w:val="00F24565"/>
    <w:rsid w:val="00F250EC"/>
    <w:rsid w:val="00F25EAB"/>
    <w:rsid w:val="00F43F37"/>
    <w:rsid w:val="00F6076E"/>
    <w:rsid w:val="00F63A3B"/>
    <w:rsid w:val="00F84FB5"/>
    <w:rsid w:val="00F8579A"/>
    <w:rsid w:val="00F87180"/>
    <w:rsid w:val="00F904E2"/>
    <w:rsid w:val="00F96ECE"/>
    <w:rsid w:val="00FA11A6"/>
    <w:rsid w:val="00FA40A3"/>
    <w:rsid w:val="00FA4B45"/>
    <w:rsid w:val="00FC25E3"/>
    <w:rsid w:val="00FC6345"/>
    <w:rsid w:val="00FC70B0"/>
    <w:rsid w:val="00FC76E9"/>
    <w:rsid w:val="00FC7B6B"/>
    <w:rsid w:val="00FD2A4F"/>
    <w:rsid w:val="00FD7327"/>
    <w:rsid w:val="00FE2B4B"/>
    <w:rsid w:val="00F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70F3E"/>
  <w14:defaultImageDpi w14:val="32767"/>
  <w15:chartTrackingRefBased/>
  <w15:docId w15:val="{A5D12886-1C0D-554B-AAE7-9CF61A91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99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995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49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49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4995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904E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4E2"/>
    <w:rPr>
      <w:color w:val="954F72"/>
      <w:u w:val="single"/>
    </w:rPr>
  </w:style>
  <w:style w:type="paragraph" w:customStyle="1" w:styleId="msonormal0">
    <w:name w:val="msonormal"/>
    <w:basedOn w:val="Normal"/>
    <w:rsid w:val="00F904E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paragraph" w:customStyle="1" w:styleId="xl65">
    <w:name w:val="xl65"/>
    <w:basedOn w:val="Normal"/>
    <w:rsid w:val="00F904E2"/>
    <w:pPr>
      <w:pBdr>
        <w:top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paragraph" w:customStyle="1" w:styleId="xl66">
    <w:name w:val="xl66"/>
    <w:basedOn w:val="Normal"/>
    <w:rsid w:val="00F904E2"/>
    <w:pPr>
      <w:pBdr>
        <w:top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val="en-CA"/>
    </w:rPr>
  </w:style>
  <w:style w:type="paragraph" w:customStyle="1" w:styleId="xl67">
    <w:name w:val="xl67"/>
    <w:basedOn w:val="Normal"/>
    <w:rsid w:val="00F904E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val="en-CA"/>
    </w:rPr>
  </w:style>
  <w:style w:type="paragraph" w:customStyle="1" w:styleId="xl68">
    <w:name w:val="xl68"/>
    <w:basedOn w:val="Normal"/>
    <w:rsid w:val="00F904E2"/>
    <w:pPr>
      <w:pBdr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paragraph" w:customStyle="1" w:styleId="xl69">
    <w:name w:val="xl69"/>
    <w:basedOn w:val="Normal"/>
    <w:rsid w:val="00F904E2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val="en-CA"/>
    </w:rPr>
  </w:style>
  <w:style w:type="table" w:styleId="TableGrid">
    <w:name w:val="Table Grid"/>
    <w:basedOn w:val="TableNormal"/>
    <w:uiPriority w:val="39"/>
    <w:rsid w:val="00B9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E68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8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68D8"/>
    <w:rPr>
      <w:vertAlign w:val="superscript"/>
    </w:rPr>
  </w:style>
  <w:style w:type="paragraph" w:customStyle="1" w:styleId="xl63">
    <w:name w:val="xl63"/>
    <w:basedOn w:val="Normal"/>
    <w:rsid w:val="00B73BB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val="en-CA"/>
    </w:rPr>
  </w:style>
  <w:style w:type="paragraph" w:customStyle="1" w:styleId="xl64">
    <w:name w:val="xl64"/>
    <w:basedOn w:val="Normal"/>
    <w:rsid w:val="00B73BBF"/>
    <w:pPr>
      <w:pBdr>
        <w:top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1F1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E56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68A"/>
  </w:style>
  <w:style w:type="character" w:styleId="PageNumber">
    <w:name w:val="page number"/>
    <w:basedOn w:val="DefaultParagraphFont"/>
    <w:uiPriority w:val="99"/>
    <w:semiHidden/>
    <w:unhideWhenUsed/>
    <w:rsid w:val="007E5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8.emf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18</Pages>
  <Words>3912</Words>
  <Characters>22419</Characters>
  <Application>Microsoft Office Word</Application>
  <DocSecurity>0</DocSecurity>
  <Lines>800</Lines>
  <Paragraphs>355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Jacques</dc:creator>
  <cp:keywords/>
  <dc:description/>
  <cp:lastModifiedBy>Olivier Jacques</cp:lastModifiedBy>
  <cp:revision>64</cp:revision>
  <dcterms:created xsi:type="dcterms:W3CDTF">2020-04-01T14:20:00Z</dcterms:created>
  <dcterms:modified xsi:type="dcterms:W3CDTF">2021-01-08T15:16:00Z</dcterms:modified>
</cp:coreProperties>
</file>