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82" w:rsidRPr="00500109" w:rsidRDefault="00777282" w:rsidP="00777282">
      <w:pPr>
        <w:spacing w:line="480" w:lineRule="auto"/>
        <w:rPr>
          <w:b/>
          <w:color w:val="000000"/>
          <w:szCs w:val="20"/>
        </w:rPr>
      </w:pPr>
      <w:r w:rsidRPr="00500109">
        <w:rPr>
          <w:b/>
          <w:color w:val="000000"/>
          <w:szCs w:val="20"/>
        </w:rPr>
        <w:t>Twin Research and Human Genetics</w:t>
      </w:r>
    </w:p>
    <w:p w:rsidR="00777282" w:rsidRPr="00500109" w:rsidRDefault="00777282" w:rsidP="00777282">
      <w:pPr>
        <w:spacing w:after="0" w:line="360" w:lineRule="auto"/>
        <w:rPr>
          <w:rFonts w:cs="Times New Roman"/>
          <w:b/>
          <w:sz w:val="24"/>
          <w:szCs w:val="24"/>
        </w:rPr>
      </w:pPr>
      <w:r w:rsidRPr="00500109">
        <w:rPr>
          <w:rFonts w:cs="Times New Roman"/>
          <w:b/>
          <w:sz w:val="24"/>
          <w:szCs w:val="24"/>
        </w:rPr>
        <w:t>The CODAtwins Project: The Cohort Description of Collaborative Project of Development of Anthropometrical Measures in Twins to Study Macro-Environmental Variation in Genetic and Environmental Effects on Anthropometric Traits</w:t>
      </w:r>
    </w:p>
    <w:p w:rsidR="00777282" w:rsidRPr="00500109" w:rsidRDefault="00777282" w:rsidP="00777282">
      <w:pPr>
        <w:spacing w:after="0" w:line="240" w:lineRule="auto"/>
        <w:rPr>
          <w:rFonts w:cs="Times New Roman"/>
          <w:sz w:val="24"/>
          <w:szCs w:val="24"/>
        </w:rPr>
      </w:pPr>
    </w:p>
    <w:p w:rsidR="00777282" w:rsidRPr="00500109" w:rsidRDefault="00777282" w:rsidP="00777282">
      <w:pPr>
        <w:spacing w:after="0" w:line="240" w:lineRule="auto"/>
        <w:rPr>
          <w:rFonts w:cs="Times New Roman"/>
          <w:sz w:val="24"/>
          <w:szCs w:val="24"/>
        </w:rPr>
      </w:pPr>
      <w:r w:rsidRPr="00500109">
        <w:rPr>
          <w:rFonts w:cs="Times New Roman"/>
          <w:sz w:val="24"/>
          <w:szCs w:val="24"/>
        </w:rPr>
        <w:t>Karri Silventoinen,</w:t>
      </w:r>
      <w:r w:rsidRPr="00500109">
        <w:rPr>
          <w:rFonts w:cs="Times New Roman"/>
          <w:sz w:val="24"/>
          <w:szCs w:val="24"/>
          <w:vertAlign w:val="superscript"/>
        </w:rPr>
        <w:t xml:space="preserve"> </w:t>
      </w:r>
      <w:r w:rsidRPr="00500109">
        <w:rPr>
          <w:rFonts w:cs="Times New Roman"/>
          <w:sz w:val="24"/>
          <w:szCs w:val="24"/>
        </w:rPr>
        <w:t>Aline Jelenkovic, Reijo Sund, Chika Honda, Sari Aaltonen, Yoshie Yokoyama, Adam D. Tarnoki, David L. Tarnoki, Feng Ning, Fuling Ji, Zengchang Pang, Juan R. Ordoñana, Juan F. Sánchez-Romera, Lucia Colodro-Conde, S. Alexandra Burt, Kelly L. Klump, Sarah E. Medland, Grant W. Montgomery, Christian Kandler, Tom A. McAdams, Thalia C. Eley, Alice M. Gregory, Kimberly J. Saudino, Lise Dubois, Michel Boivin, Claire M. A. Haworth, Robert Plomin, Sevgi Y. Öncel, Fazil Aliev, Maria A. Stazi, Corrado Fagnani, Cristina D’Ippolito, Jeffrey M. Craig, Richard Saffery, Sisira H. Siribaddana, Matthew Hotopf, Athula Sumathipala, Timothy Spector, Massimo Mangino, Genevieve Lachance, Margaret Gatz, David A. Butler, Gombojav Bayasgalan, Danshiitsoodol Narandalai, Duarte L. Freitas, José Antonio Maia, K. Paige Harden, Elliot M. Tucker-Drob, Kaare Christensen, Axel Skytthe, Kirsten O. Kyvik, Changhee Hong, Youngsook Chong, Catherine A. Derom, Robert F. Vlietinck, Ruth J. F. Loos, Wendy Cozen, Amie E. Hwang, Thomas M. Mack, Mingguang He, Xiaohu Ding, Billy Chang, Judy L. Silberg, Lindon J. Eaves, Hermine H. Maes, Tessa L. Cutler, John L. Hopper, Kelly Aujard, Patrik K. E. Magnusson, Nancy L. Pedersen, Anna K. Dahl Aslan, Yun-Mi Song, Sarah Yang, Kayoung Lee, Laura A. Baker, Catherine Tuvblad, Morten Bjerregaard-Andersen, Henning Beck-Nielsen, Morten Sodemann, Kauko Heikkilä, Qihua Tan, Dongfeng Zhang, Gary E. Swan, Ruth Krasnow, Kerry L. Jang, Ariel Knafo-Noam, David Mankuta, Lior Abramson, Paul Lichtenstein, Robert F. Krueger, Matt McGue, Shandell Pahlen, Per Tynelius, Glen E. Duncan, Dedra Buchwald, Robin P. Corley, Brooke M. Huibregtse, Tracy L. Nelson, Keith E. Whitfield, Carol E. Franz, William S. Kremen, Michael J. Lyons, Syuichi Ooki, Ingunn Brandt, Thomas Sevenius Nilsen, Fujio Inui, Mikio Watanabe, Meike Bartels, Toos C. E. M. van Beijsterveldt, Jane Wardle, Clare H. Llewellyn, Abigail Fisher, Esther Rebato, Nicholas G. Martin, Yoshinori Iwatani, Kazuo Hayakawa, Finn Rasmussen, Joohon Sung, Jennifer R. Harris, Gonneke Willemsen, Andreas Busjahn, Jack H. Goldberg, Dorret I. Boomsma, Yoon-Mi Hur, Thorkild I. A. Sørensen, and Jaakko Kaprio</w:t>
      </w:r>
    </w:p>
    <w:p w:rsidR="00500109" w:rsidRPr="00500109" w:rsidRDefault="00500109" w:rsidP="00777282">
      <w:pPr>
        <w:spacing w:after="0" w:line="240" w:lineRule="auto"/>
        <w:rPr>
          <w:rFonts w:cs="Times New Roman"/>
          <w:sz w:val="24"/>
          <w:szCs w:val="24"/>
        </w:rPr>
      </w:pPr>
    </w:p>
    <w:p w:rsidR="00500109" w:rsidRPr="00500109" w:rsidRDefault="00500109" w:rsidP="00777282">
      <w:pPr>
        <w:spacing w:after="0" w:line="240" w:lineRule="auto"/>
        <w:rPr>
          <w:rFonts w:cs="Times New Roman"/>
          <w:sz w:val="24"/>
          <w:szCs w:val="24"/>
        </w:rPr>
      </w:pPr>
    </w:p>
    <w:p w:rsidR="00500109" w:rsidRPr="00500109" w:rsidRDefault="00500109" w:rsidP="00777282">
      <w:pPr>
        <w:spacing w:after="0" w:line="240" w:lineRule="auto"/>
        <w:rPr>
          <w:rFonts w:cs="Times New Roman"/>
          <w:sz w:val="24"/>
          <w:szCs w:val="24"/>
        </w:rPr>
      </w:pPr>
    </w:p>
    <w:p w:rsidR="00500109" w:rsidRPr="00500109" w:rsidRDefault="00500109" w:rsidP="00777282">
      <w:pPr>
        <w:spacing w:after="0" w:line="240" w:lineRule="auto"/>
        <w:rPr>
          <w:rFonts w:cs="Times New Roman"/>
          <w:b/>
          <w:sz w:val="24"/>
          <w:szCs w:val="24"/>
        </w:rPr>
      </w:pPr>
      <w:r w:rsidRPr="00500109">
        <w:rPr>
          <w:rFonts w:cs="Times New Roman"/>
          <w:b/>
          <w:sz w:val="24"/>
          <w:szCs w:val="24"/>
        </w:rPr>
        <w:t>Supplementary Table 1 (see over)</w:t>
      </w:r>
    </w:p>
    <w:p w:rsidR="00777282" w:rsidRPr="00500109" w:rsidRDefault="00777282">
      <w:pPr>
        <w:rPr>
          <w:b/>
        </w:rPr>
      </w:pPr>
    </w:p>
    <w:p w:rsidR="00777282" w:rsidRDefault="00777282"/>
    <w:p w:rsidR="00777282" w:rsidRDefault="00777282">
      <w:r>
        <w:br w:type="page"/>
      </w: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216"/>
        <w:gridCol w:w="998"/>
        <w:gridCol w:w="1001"/>
        <w:gridCol w:w="1166"/>
        <w:gridCol w:w="720"/>
        <w:gridCol w:w="720"/>
        <w:gridCol w:w="810"/>
        <w:gridCol w:w="1305"/>
        <w:gridCol w:w="1560"/>
        <w:gridCol w:w="1134"/>
        <w:gridCol w:w="1134"/>
        <w:gridCol w:w="1701"/>
      </w:tblGrid>
      <w:tr w:rsidR="008B6D56" w:rsidRPr="008B6D56" w:rsidTr="00500109">
        <w:trPr>
          <w:trHeight w:val="300"/>
        </w:trPr>
        <w:tc>
          <w:tcPr>
            <w:tcW w:w="11214" w:type="dxa"/>
            <w:gridSpan w:val="11"/>
            <w:tcBorders>
              <w:right w:val="nil"/>
            </w:tcBorders>
            <w:shd w:val="clear" w:color="auto" w:fill="auto"/>
            <w:noWrap/>
            <w:vAlign w:val="bottom"/>
            <w:hideMark/>
          </w:tcPr>
          <w:p w:rsidR="008B6D56" w:rsidRPr="00777282" w:rsidRDefault="008B6D56" w:rsidP="008B6D56">
            <w:pPr>
              <w:spacing w:after="0" w:line="240" w:lineRule="auto"/>
              <w:rPr>
                <w:rFonts w:ascii="Calibri" w:eastAsia="Times New Roman" w:hAnsi="Calibri" w:cs="Times New Roman"/>
                <w:b/>
                <w:color w:val="000000"/>
              </w:rPr>
            </w:pPr>
            <w:r w:rsidRPr="00777282">
              <w:rPr>
                <w:rFonts w:ascii="Calibri" w:eastAsia="Times New Roman" w:hAnsi="Calibri" w:cs="Times New Roman"/>
                <w:b/>
                <w:color w:val="000000"/>
              </w:rPr>
              <w:lastRenderedPageBreak/>
              <w:t>Supplementary Table 1</w:t>
            </w:r>
            <w:r w:rsidRPr="00777282">
              <w:rPr>
                <w:rFonts w:ascii="Calibri" w:eastAsia="Times New Roman" w:hAnsi="Calibri" w:cs="Times New Roman"/>
                <w:b/>
                <w:color w:val="000000"/>
              </w:rPr>
              <w:br/>
              <w:t>Basic Characteristics of the Twin Cohorts Participating in the CODATwins Project</w:t>
            </w:r>
          </w:p>
        </w:tc>
        <w:tc>
          <w:tcPr>
            <w:tcW w:w="1134" w:type="dxa"/>
            <w:tcBorders>
              <w:left w:val="nil"/>
              <w:right w:val="nil"/>
            </w:tcBorders>
            <w:shd w:val="clear" w:color="auto" w:fill="auto"/>
            <w:noWrap/>
            <w:vAlign w:val="bottom"/>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tcBorders>
              <w:left w:val="nil"/>
            </w:tcBorders>
            <w:shd w:val="clear" w:color="auto" w:fill="auto"/>
            <w:noWrap/>
            <w:vAlign w:val="bottom"/>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1134"/>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Cohort name</w:t>
            </w:r>
          </w:p>
        </w:tc>
        <w:tc>
          <w:tcPr>
            <w:tcW w:w="1214"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Number of twin individuals</w:t>
            </w:r>
          </w:p>
        </w:tc>
        <w:tc>
          <w:tcPr>
            <w:tcW w:w="1001"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 of females</w:t>
            </w:r>
          </w:p>
        </w:tc>
        <w:tc>
          <w:tcPr>
            <w:tcW w:w="1166"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Number of complete twin pairs</w:t>
            </w:r>
          </w:p>
        </w:tc>
        <w:tc>
          <w:tcPr>
            <w:tcW w:w="720"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 of MZ pairs</w:t>
            </w:r>
          </w:p>
        </w:tc>
        <w:tc>
          <w:tcPr>
            <w:tcW w:w="720"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 of OSDZ pairs</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 xml:space="preserve">Age range </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Birth cohorts</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Identification of twin pairs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Zygosity  measure</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Height and weight measures</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Birth anthropometric measures</w:t>
            </w:r>
          </w:p>
        </w:tc>
      </w:tr>
      <w:tr w:rsidR="008B6D56" w:rsidRPr="008B6D56" w:rsidTr="008B6D56">
        <w:trPr>
          <w:trHeight w:val="300"/>
        </w:trPr>
        <w:tc>
          <w:tcPr>
            <w:tcW w:w="1584" w:type="dxa"/>
            <w:shd w:val="clear" w:color="auto" w:fill="auto"/>
            <w:noWrap/>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Africa</w:t>
            </w:r>
          </w:p>
        </w:tc>
        <w:tc>
          <w:tcPr>
            <w:tcW w:w="1214" w:type="dxa"/>
            <w:gridSpan w:val="2"/>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0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66"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81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305"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56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Guinea-Bissau Twin Study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253</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58</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0–3</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2009–2013</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Hospitals, demographic surveillance sites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length and weight</w:t>
            </w:r>
          </w:p>
        </w:tc>
      </w:tr>
      <w:tr w:rsidR="008B6D56" w:rsidRPr="008B6D56" w:rsidTr="008B6D56">
        <w:trPr>
          <w:trHeight w:val="300"/>
        </w:trPr>
        <w:tc>
          <w:tcPr>
            <w:tcW w:w="1584" w:type="dxa"/>
            <w:shd w:val="clear" w:color="auto" w:fill="auto"/>
            <w:noWrap/>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Australia</w:t>
            </w:r>
          </w:p>
        </w:tc>
        <w:tc>
          <w:tcPr>
            <w:tcW w:w="1214" w:type="dxa"/>
            <w:gridSpan w:val="2"/>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0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66"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81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305"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56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12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Australian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2,536</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78</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1,210</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18–97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1916–1996</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Media, Australian Multiple Birth Association, hospitals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 weight</w:t>
            </w:r>
          </w:p>
        </w:tc>
      </w:tr>
      <w:tr w:rsidR="008B6D56" w:rsidRPr="008B6D56" w:rsidTr="008B6D56">
        <w:trPr>
          <w:trHeight w:val="900"/>
        </w:trPr>
        <w:tc>
          <w:tcPr>
            <w:tcW w:w="158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Peri/Postnatal Epigenetic Twins Study (PETS)</w:t>
            </w:r>
          </w:p>
        </w:tc>
        <w:tc>
          <w:tcPr>
            <w:tcW w:w="1214" w:type="dxa"/>
            <w:gridSpan w:val="2"/>
            <w:shd w:val="clear" w:color="auto" w:fill="auto"/>
          </w:tcPr>
          <w:p w:rsidR="008B6D56" w:rsidRPr="008B6D56" w:rsidRDefault="008B6D56" w:rsidP="008B6D56">
            <w:pPr>
              <w:spacing w:after="0" w:line="240" w:lineRule="auto"/>
              <w:jc w:val="right"/>
            </w:pPr>
            <w:r w:rsidRPr="008B6D56">
              <w:t xml:space="preserve">  443</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221</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41</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26</w:t>
            </w:r>
          </w:p>
        </w:tc>
        <w:tc>
          <w:tcPr>
            <w:tcW w:w="81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1–7</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2007</w:t>
            </w:r>
            <w:r>
              <w:rPr>
                <w:rFonts w:ascii="Calibri" w:eastAsia="Times New Roman" w:hAnsi="Calibri" w:cs="Times New Roman"/>
                <w:color w:val="000000"/>
              </w:rPr>
              <w:t>–</w:t>
            </w:r>
            <w:r w:rsidRPr="008B6D56">
              <w:rPr>
                <w:rFonts w:ascii="Calibri" w:eastAsia="Times New Roman" w:hAnsi="Calibri" w:cs="Times New Roman"/>
                <w:color w:val="000000"/>
              </w:rPr>
              <w:t>2009</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Twin pregnancies in three hospitals</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lengths and weight</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Queensland Twin Register</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23,456</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59</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10,685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24</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6</w:t>
            </w:r>
            <w:r>
              <w:rPr>
                <w:rFonts w:ascii="Calibri" w:eastAsia="Times New Roman" w:hAnsi="Calibri" w:cs="Times New Roman"/>
                <w:color w:val="000000"/>
              </w:rPr>
              <w:t>–</w:t>
            </w:r>
            <w:r w:rsidRPr="008B6D56">
              <w:rPr>
                <w:rFonts w:ascii="Calibri" w:eastAsia="Times New Roman" w:hAnsi="Calibri" w:cs="Times New Roman"/>
                <w:color w:val="000000"/>
              </w:rPr>
              <w:t>95</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1900–2002</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3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East-Asia</w:t>
            </w:r>
          </w:p>
        </w:tc>
        <w:tc>
          <w:tcPr>
            <w:tcW w:w="1214" w:type="dxa"/>
            <w:gridSpan w:val="2"/>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0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66"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81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305"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56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600"/>
        </w:trPr>
        <w:tc>
          <w:tcPr>
            <w:tcW w:w="1584" w:type="dxa"/>
            <w:shd w:val="clear" w:color="auto" w:fill="auto"/>
          </w:tcPr>
          <w:p w:rsidR="008B6D56" w:rsidRPr="008B6D56" w:rsidRDefault="008B6D56" w:rsidP="008B6D56">
            <w:pPr>
              <w:rPr>
                <w:rFonts w:ascii="Calibri" w:hAnsi="Calibri" w:cs="Arial"/>
              </w:rPr>
            </w:pPr>
            <w:r w:rsidRPr="008B6D56">
              <w:rPr>
                <w:rFonts w:ascii="Calibri" w:hAnsi="Calibri" w:cs="Arial"/>
              </w:rPr>
              <w:t>Guangzhou Twin Eye Study</w:t>
            </w:r>
          </w:p>
        </w:tc>
        <w:tc>
          <w:tcPr>
            <w:tcW w:w="1214" w:type="dxa"/>
            <w:gridSpan w:val="2"/>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1,122</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  52</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561</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63</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19</w:t>
            </w:r>
          </w:p>
        </w:tc>
        <w:tc>
          <w:tcPr>
            <w:tcW w:w="81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6–19</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1990</w:t>
            </w:r>
            <w:r>
              <w:rPr>
                <w:rFonts w:ascii="Calibri" w:eastAsia="Times New Roman" w:hAnsi="Calibri" w:cs="Times New Roman"/>
                <w:color w:val="000000"/>
              </w:rPr>
              <w:t>–</w:t>
            </w:r>
            <w:r w:rsidRPr="008B6D56">
              <w:rPr>
                <w:rFonts w:ascii="Calibri" w:eastAsia="Times New Roman" w:hAnsi="Calibri" w:cs="Times New Roman"/>
                <w:color w:val="000000"/>
              </w:rPr>
              <w:t>2002</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Population registry</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58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Japanese Twin Cohort</w:t>
            </w:r>
          </w:p>
        </w:tc>
        <w:tc>
          <w:tcPr>
            <w:tcW w:w="1214" w:type="dxa"/>
            <w:gridSpan w:val="2"/>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4,341  </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2,169</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62 </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15</w:t>
            </w:r>
          </w:p>
        </w:tc>
        <w:tc>
          <w:tcPr>
            <w:tcW w:w="81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1–12</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1950</w:t>
            </w:r>
            <w:r>
              <w:rPr>
                <w:rFonts w:ascii="Calibri" w:eastAsia="Times New Roman" w:hAnsi="Calibri" w:cs="Times New Roman"/>
                <w:color w:val="000000"/>
              </w:rPr>
              <w:t>–</w:t>
            </w:r>
            <w:r w:rsidRPr="008B6D56">
              <w:rPr>
                <w:rFonts w:ascii="Calibri" w:eastAsia="Times New Roman" w:hAnsi="Calibri" w:cs="Times New Roman"/>
                <w:color w:val="000000"/>
              </w:rPr>
              <w:t>2003</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High school applicants</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Korean Twin-Family Register</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1,353</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62</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672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20–79</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1934–1990</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Population registry</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Mongolian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166</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49</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22</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0</w:t>
            </w:r>
            <w:r>
              <w:rPr>
                <w:rFonts w:ascii="Calibri" w:eastAsia="Times New Roman" w:hAnsi="Calibri" w:cs="Times New Roman"/>
                <w:color w:val="000000"/>
              </w:rPr>
              <w:t>–</w:t>
            </w:r>
            <w:r w:rsidRPr="008B6D56">
              <w:rPr>
                <w:rFonts w:ascii="Calibri" w:eastAsia="Times New Roman" w:hAnsi="Calibri" w:cs="Times New Roman"/>
                <w:color w:val="000000"/>
              </w:rPr>
              <w:t>65</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1948–2012</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 length and weight</w:t>
            </w:r>
          </w:p>
        </w:tc>
      </w:tr>
      <w:tr w:rsidR="008B6D56" w:rsidRPr="008B6D56" w:rsidTr="008B6D56">
        <w:trPr>
          <w:trHeight w:val="600"/>
        </w:trPr>
        <w:tc>
          <w:tcPr>
            <w:tcW w:w="1584" w:type="dxa"/>
            <w:shd w:val="clear" w:color="auto" w:fill="auto"/>
            <w:hideMark/>
          </w:tcPr>
          <w:p w:rsidR="008B6D56" w:rsidRPr="008B6D56" w:rsidRDefault="008B6D56" w:rsidP="008B6D56">
            <w:pPr>
              <w:rPr>
                <w:rFonts w:ascii="Calibri" w:hAnsi="Calibri"/>
                <w:color w:val="000000"/>
              </w:rPr>
            </w:pPr>
            <w:r w:rsidRPr="008B6D56">
              <w:rPr>
                <w:rFonts w:ascii="Calibri" w:hAnsi="Calibri"/>
                <w:color w:val="000000"/>
              </w:rPr>
              <w:lastRenderedPageBreak/>
              <w:t>Osaka University Aged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689</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288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61</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w:t>
            </w:r>
            <w:r>
              <w:rPr>
                <w:rFonts w:ascii="Calibri" w:eastAsia="Times New Roman" w:hAnsi="Calibri" w:cs="Times New Roman"/>
                <w:color w:val="000000"/>
              </w:rPr>
              <w:t>–</w:t>
            </w:r>
            <w:r w:rsidRPr="008B6D56">
              <w:rPr>
                <w:rFonts w:ascii="Calibri" w:eastAsia="Times New Roman" w:hAnsi="Calibri" w:cs="Times New Roman"/>
                <w:color w:val="000000"/>
              </w:rPr>
              <w:t>98</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1915–1993</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School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 xml:space="preserve">South Korea Twin Registry </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2,278</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54</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1,139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7–26</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1983–2003</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Schools, hospitals, media and childcare agencies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Qingdao Twin Registry (adults)</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986</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493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61</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23–81</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1925–1984</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Medical records, schools and 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blood type</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1,175</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52</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587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8–17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1989–1998</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Medical records, schools and 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blood type</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12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West Japan Twins and Higher Order Multiple Births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1,552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767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25</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0–45</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1964–2013</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Contacting public health centers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3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Europe</w:t>
            </w:r>
          </w:p>
        </w:tc>
        <w:tc>
          <w:tcPr>
            <w:tcW w:w="1214" w:type="dxa"/>
            <w:gridSpan w:val="2"/>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0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66"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81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305"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56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600"/>
        </w:trPr>
        <w:tc>
          <w:tcPr>
            <w:tcW w:w="158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Adult Netherlands Twin Registry</w:t>
            </w:r>
          </w:p>
        </w:tc>
        <w:tc>
          <w:tcPr>
            <w:tcW w:w="1214" w:type="dxa"/>
            <w:gridSpan w:val="2"/>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9,645</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64</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4,786</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  22</w:t>
            </w:r>
          </w:p>
        </w:tc>
        <w:tc>
          <w:tcPr>
            <w:tcW w:w="810" w:type="dxa"/>
            <w:shd w:val="clear" w:color="auto" w:fill="auto"/>
          </w:tcPr>
          <w:p w:rsidR="008B6D56" w:rsidRPr="008B6D56" w:rsidRDefault="008B6D56" w:rsidP="008B6D56">
            <w:pPr>
              <w:spacing w:after="0"/>
              <w:rPr>
                <w:rFonts w:ascii="Calibri" w:eastAsia="Times New Roman" w:hAnsi="Calibri" w:cs="Times New Roman"/>
                <w:color w:val="000000"/>
              </w:rPr>
            </w:pPr>
            <w:r w:rsidRPr="008B6D56">
              <w:rPr>
                <w:rFonts w:ascii="Calibri" w:eastAsia="Times New Roman" w:hAnsi="Calibri" w:cs="Times New Roman"/>
                <w:color w:val="000000"/>
              </w:rPr>
              <w:t>18</w:t>
            </w:r>
            <w:r>
              <w:rPr>
                <w:rFonts w:ascii="Calibri" w:eastAsia="Times New Roman" w:hAnsi="Calibri" w:cs="Times New Roman"/>
                <w:color w:val="000000"/>
              </w:rPr>
              <w:t>–</w:t>
            </w:r>
            <w:r w:rsidRPr="008B6D56">
              <w:rPr>
                <w:rFonts w:ascii="Calibri" w:eastAsia="Times New Roman" w:hAnsi="Calibri" w:cs="Times New Roman"/>
                <w:color w:val="000000"/>
              </w:rPr>
              <w:t>91</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1918</w:t>
            </w:r>
            <w:r>
              <w:rPr>
                <w:rFonts w:ascii="Calibri" w:eastAsia="Times New Roman" w:hAnsi="Calibri" w:cs="Times New Roman"/>
                <w:color w:val="000000"/>
              </w:rPr>
              <w:t>–</w:t>
            </w:r>
            <w:r w:rsidRPr="008B6D56">
              <w:rPr>
                <w:rFonts w:ascii="Calibri" w:eastAsia="Times New Roman" w:hAnsi="Calibri" w:cs="Times New Roman"/>
                <w:color w:val="000000"/>
              </w:rPr>
              <w:t>1994</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City council registers, media, websites and social media</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 birth weight</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 xml:space="preserve">Berlin Twin Register </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614</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58</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307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12</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10–78</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1925–1990</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Bielefeld Longitudinal Study of Adult Twins</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2,366</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75</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1,088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14–80</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1914–1980</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Registration offices, media, twin clubs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lastRenderedPageBreak/>
              <w:t>Danish Twin Cohort</w:t>
            </w:r>
          </w:p>
        </w:tc>
        <w:tc>
          <w:tcPr>
            <w:tcW w:w="1214" w:type="dxa"/>
            <w:gridSpan w:val="2"/>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34,665</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54</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11,667</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29</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31</w:t>
            </w:r>
          </w:p>
        </w:tc>
        <w:tc>
          <w:tcPr>
            <w:tcW w:w="81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30–100</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1895–1982</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registers, population registers and medical birth registers</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East Flanders Prospective Twin Survey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803</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52</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379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18–34</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1964–1982</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Chorionicity,blood and DNA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weight</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Finnish Older Twin Cohort</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  29,568</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13,422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18–101</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1880–1957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FinnTwin12</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4,954</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2,467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10–27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1983–1987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FinnTwin16</w:t>
            </w:r>
          </w:p>
        </w:tc>
        <w:tc>
          <w:tcPr>
            <w:tcW w:w="1214" w:type="dxa"/>
            <w:gridSpan w:val="2"/>
            <w:shd w:val="clear" w:color="auto" w:fill="auto"/>
            <w:noWrap/>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5,701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52</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2,846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35</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16–37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1974–1979</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600"/>
        </w:trPr>
        <w:tc>
          <w:tcPr>
            <w:tcW w:w="158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Gemini Study</w:t>
            </w:r>
          </w:p>
        </w:tc>
        <w:tc>
          <w:tcPr>
            <w:tcW w:w="1214" w:type="dxa"/>
            <w:gridSpan w:val="2"/>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3,495</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  1,737</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81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0–5</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2007</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 xml:space="preserve">Parentally reported length and weight </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Genesis 12–19 study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1,662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55</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747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13–28</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1985–1988</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Hungarian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825</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65</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389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2–82</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1927–2012</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Twin festivals, 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 weight</w:t>
            </w:r>
          </w:p>
        </w:tc>
      </w:tr>
      <w:tr w:rsidR="008B6D56" w:rsidRPr="008B6D56" w:rsidTr="008B6D56">
        <w:trPr>
          <w:trHeight w:val="12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Italian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17,361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56</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7,432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25</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1–90</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1917–2007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Municipality records, disease registries and hospitals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 xml:space="preserve">Parentally reported length and weight </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Murcia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2,258</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57</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999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27</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41–71</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1939–1966</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Health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 xml:space="preserve">DNA and Q </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 weight</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Norwegian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13,941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5,254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20–75</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1915–1960</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 weight</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Portugal Twin Cohort</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1,789</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803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3–20</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1982–2004</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Schools, media, city halls, twin meetings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Swedish twin cohorts</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65,995</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29,820</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31</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19</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14–99</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1886–1958</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Swedish Young Male Twins Study (adults)</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2,151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1,074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17–29</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1973–1979</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length and weight</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Swedish Young Male Twins Study (children)</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898</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352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0–23</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1973–1979</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length and weight</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TCHAD-study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2,570</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52</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1,265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40</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7–21</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1976–1978</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Twins Early Development Study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18,354</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9,065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2–17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1994–1996</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600"/>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TwinsUK</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9,034</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88</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4,316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18–88</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1917–1990</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media, websites and social 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1871"/>
        </w:trPr>
        <w:tc>
          <w:tcPr>
            <w:tcW w:w="158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Young Netherlands Twin Registry</w:t>
            </w:r>
          </w:p>
        </w:tc>
        <w:tc>
          <w:tcPr>
            <w:tcW w:w="1214" w:type="dxa"/>
            <w:gridSpan w:val="2"/>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34,524</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17,237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1–20</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1986–2005</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Association of parents of multiples, commercial organizations websites and social 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 as assessed by obstetrician/midwife</w:t>
            </w:r>
          </w:p>
        </w:tc>
      </w:tr>
      <w:tr w:rsidR="008B6D56" w:rsidRPr="008B6D56" w:rsidTr="008B6D56">
        <w:trPr>
          <w:trHeight w:val="300"/>
        </w:trPr>
        <w:tc>
          <w:tcPr>
            <w:tcW w:w="2798" w:type="dxa"/>
            <w:gridSpan w:val="3"/>
            <w:shd w:val="clear" w:color="auto" w:fill="auto"/>
            <w:noWrap/>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South-Asia and Middle-East</w:t>
            </w:r>
          </w:p>
        </w:tc>
        <w:tc>
          <w:tcPr>
            <w:tcW w:w="1001" w:type="dxa"/>
            <w:shd w:val="clear" w:color="auto" w:fill="auto"/>
            <w:noWrap/>
            <w:hideMark/>
          </w:tcPr>
          <w:p w:rsidR="008B6D56" w:rsidRPr="008B6D56" w:rsidRDefault="008B6D56" w:rsidP="008B6D56">
            <w:pPr>
              <w:spacing w:after="0" w:line="240" w:lineRule="auto"/>
              <w:rPr>
                <w:rFonts w:ascii="Calibri" w:eastAsia="Times New Roman" w:hAnsi="Calibri" w:cs="Times New Roman"/>
                <w:b/>
                <w:color w:val="000000"/>
              </w:rPr>
            </w:pPr>
          </w:p>
        </w:tc>
        <w:tc>
          <w:tcPr>
            <w:tcW w:w="1166"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81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305"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56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Longitudinal Israeli Study of Twins</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995</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49</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489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36</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3–10</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2003–2007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18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Sri Lanka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2,485</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56</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933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27</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20–88</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1925–1993</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Door-to-door visit survey, newsletters, cultural activities, media, 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Turkish Twin Study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584</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46</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288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27</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14–69</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1942–1996</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3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b/>
                <w:color w:val="000000"/>
              </w:rPr>
            </w:pPr>
            <w:r w:rsidRPr="008B6D56">
              <w:rPr>
                <w:rFonts w:ascii="Calibri" w:eastAsia="Times New Roman" w:hAnsi="Calibri" w:cs="Times New Roman"/>
                <w:b/>
                <w:color w:val="000000"/>
              </w:rPr>
              <w:t>North-America</w:t>
            </w:r>
          </w:p>
        </w:tc>
        <w:tc>
          <w:tcPr>
            <w:tcW w:w="998" w:type="dxa"/>
            <w:shd w:val="clear" w:color="auto" w:fill="auto"/>
            <w:noWrap/>
            <w:hideMark/>
          </w:tcPr>
          <w:p w:rsidR="008B6D56" w:rsidRPr="008B6D56" w:rsidRDefault="008B6D56" w:rsidP="008B6D56">
            <w:pPr>
              <w:spacing w:after="0" w:line="240" w:lineRule="auto"/>
              <w:rPr>
                <w:rFonts w:ascii="Calibri" w:eastAsia="Times New Roman" w:hAnsi="Calibri" w:cs="Times New Roman"/>
                <w:b/>
                <w:color w:val="000000"/>
              </w:rPr>
            </w:pPr>
          </w:p>
        </w:tc>
        <w:tc>
          <w:tcPr>
            <w:tcW w:w="10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66"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72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81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305"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560"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134"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c>
          <w:tcPr>
            <w:tcW w:w="1701" w:type="dxa"/>
            <w:shd w:val="clear" w:color="auto" w:fill="auto"/>
            <w:noWrap/>
            <w:hideMark/>
          </w:tcPr>
          <w:p w:rsidR="008B6D56" w:rsidRPr="008B6D56" w:rsidRDefault="008B6D56" w:rsidP="008B6D56">
            <w:pPr>
              <w:spacing w:after="0" w:line="240" w:lineRule="auto"/>
              <w:rPr>
                <w:rFonts w:ascii="Calibri" w:eastAsia="Times New Roman" w:hAnsi="Calibri" w:cs="Times New Roman"/>
                <w:color w:val="000000"/>
              </w:rPr>
            </w:pPr>
          </w:p>
        </w:tc>
      </w:tr>
      <w:tr w:rsidR="008B6D56" w:rsidRPr="008B6D56" w:rsidTr="008B6D56">
        <w:trPr>
          <w:trHeight w:val="9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Boston University Twin Project</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627</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47</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313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2–3</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2001–2004</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California Twin Program</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27,237</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58</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13,384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26</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17–91</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1908–1982</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Carolina African American Twin Study of Aging</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59</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249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27</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22–88</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1910–1979</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 weight</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Colorado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2,861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48</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1,421</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19</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11–29</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1979–1991</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weight</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eastAsia="Times New Roman"/>
                <w:color w:val="000000"/>
              </w:rPr>
              <w:t>Michigan State University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22,172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49</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10,253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30</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34</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2–51</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1961–2010</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eastAsia="Times New Roman"/>
                <w:color w:val="000000"/>
              </w:rPr>
              <w:t>Parentally and self-reported; 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and self-reported weight</w:t>
            </w:r>
          </w:p>
        </w:tc>
      </w:tr>
      <w:tr w:rsidR="008B6D56" w:rsidRPr="008B6D56" w:rsidTr="008B6D56">
        <w:trPr>
          <w:trHeight w:val="9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Mid Atlantic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11,801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65</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5,743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46</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16–93</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1894–1987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 schools, hospitals and events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 xml:space="preserve">Minnesota Twin Family Study </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1,511</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755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10–19</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1972–1984</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weight</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Minnesota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10,122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55</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 xml:space="preserve">  3,998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40</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26–63</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1923–1958</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Weight based on birth certificate</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NAS-NRC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27,093</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13,540</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15–82</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1917–1927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 and DNA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12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Quebec Newborn Twin Study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1,342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668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38</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0–14</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1997–1997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Birth records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parentally 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length and weight</w:t>
            </w:r>
          </w:p>
        </w:tc>
      </w:tr>
      <w:tr w:rsidR="008B6D56" w:rsidRPr="008B6D56" w:rsidTr="008B6D56">
        <w:trPr>
          <w:trHeight w:val="9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SRI-international</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1,092</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8</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17–83</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1921–1997</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Community based advertising</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 and 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6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Texas Twin Project</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565</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51</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282</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35</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30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8–20</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1991–2003</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Schools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9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University of British Columbia Twin Project</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1,450</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67</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719</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13</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15–86</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1905–1976</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Media</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1200"/>
        </w:trPr>
        <w:tc>
          <w:tcPr>
            <w:tcW w:w="1800" w:type="dxa"/>
            <w:gridSpan w:val="2"/>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University of Southern California Twin Study</w:t>
            </w:r>
          </w:p>
        </w:tc>
        <w:tc>
          <w:tcPr>
            <w:tcW w:w="998"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1,541</w:t>
            </w:r>
          </w:p>
        </w:tc>
        <w:tc>
          <w:tcPr>
            <w:tcW w:w="1001"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50</w:t>
            </w:r>
          </w:p>
        </w:tc>
        <w:tc>
          <w:tcPr>
            <w:tcW w:w="1166"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t>770</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44</w:t>
            </w:r>
          </w:p>
        </w:tc>
        <w:tc>
          <w:tcPr>
            <w:tcW w:w="720" w:type="dxa"/>
            <w:shd w:val="clear" w:color="auto" w:fill="auto"/>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26</w:t>
            </w:r>
          </w:p>
        </w:tc>
        <w:tc>
          <w:tcPr>
            <w:tcW w:w="81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9–22</w:t>
            </w:r>
          </w:p>
        </w:tc>
        <w:tc>
          <w:tcPr>
            <w:tcW w:w="1305"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1990–1995</w:t>
            </w:r>
          </w:p>
        </w:tc>
        <w:tc>
          <w:tcPr>
            <w:tcW w:w="1560"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Schools, birth and voter records</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Parentally reported length and weight</w:t>
            </w:r>
          </w:p>
        </w:tc>
      </w:tr>
      <w:tr w:rsidR="008B6D56" w:rsidRPr="008B6D56" w:rsidTr="008B6D56">
        <w:trPr>
          <w:trHeight w:val="12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University of Washington Twin Registry</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15,940</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61</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7,921</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53</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22</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18–97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1914–1995</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The Washington State Department of Licensing application system</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Self-reported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r w:rsidR="008B6D56" w:rsidRPr="008B6D56" w:rsidTr="008B6D56">
        <w:trPr>
          <w:trHeight w:val="1500"/>
        </w:trPr>
        <w:tc>
          <w:tcPr>
            <w:tcW w:w="1800" w:type="dxa"/>
            <w:gridSpan w:val="2"/>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Vietnam Era Twin Study of Aging</w:t>
            </w:r>
          </w:p>
        </w:tc>
        <w:tc>
          <w:tcPr>
            <w:tcW w:w="998"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1,237</w:t>
            </w:r>
          </w:p>
        </w:tc>
        <w:tc>
          <w:tcPr>
            <w:tcW w:w="1001"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1166"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614</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57</w:t>
            </w:r>
          </w:p>
        </w:tc>
        <w:tc>
          <w:tcPr>
            <w:tcW w:w="720" w:type="dxa"/>
            <w:shd w:val="clear" w:color="auto" w:fill="auto"/>
            <w:hideMark/>
          </w:tcPr>
          <w:p w:rsidR="008B6D56" w:rsidRPr="008B6D56" w:rsidRDefault="008B6D56" w:rsidP="008B6D56">
            <w:pPr>
              <w:spacing w:after="0" w:line="240" w:lineRule="auto"/>
              <w:jc w:val="right"/>
              <w:rPr>
                <w:rFonts w:ascii="Calibri" w:eastAsia="Times New Roman" w:hAnsi="Calibri" w:cs="Times New Roman"/>
                <w:color w:val="000000"/>
              </w:rPr>
            </w:pPr>
            <w:r w:rsidRPr="008B6D56">
              <w:rPr>
                <w:rFonts w:ascii="Calibri" w:eastAsia="Times New Roman" w:hAnsi="Calibri" w:cs="Times New Roman"/>
                <w:color w:val="000000"/>
              </w:rPr>
              <w:t>0</w:t>
            </w:r>
          </w:p>
        </w:tc>
        <w:tc>
          <w:tcPr>
            <w:tcW w:w="81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51–67</w:t>
            </w:r>
          </w:p>
        </w:tc>
        <w:tc>
          <w:tcPr>
            <w:tcW w:w="1305"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1943–1955</w:t>
            </w:r>
          </w:p>
        </w:tc>
        <w:tc>
          <w:tcPr>
            <w:tcW w:w="1560"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Department of Defense and Department of Veteran Affairs databases</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DNA and Q</w:t>
            </w:r>
          </w:p>
        </w:tc>
        <w:tc>
          <w:tcPr>
            <w:tcW w:w="1134"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Measured</w:t>
            </w:r>
          </w:p>
        </w:tc>
        <w:tc>
          <w:tcPr>
            <w:tcW w:w="1701" w:type="dxa"/>
            <w:shd w:val="clear" w:color="auto" w:fill="auto"/>
            <w:hideMark/>
          </w:tcPr>
          <w:p w:rsidR="008B6D56" w:rsidRPr="008B6D56" w:rsidRDefault="008B6D56" w:rsidP="008B6D56">
            <w:pPr>
              <w:spacing w:after="0" w:line="240" w:lineRule="auto"/>
              <w:rPr>
                <w:rFonts w:ascii="Calibri" w:eastAsia="Times New Roman" w:hAnsi="Calibri" w:cs="Times New Roman"/>
                <w:color w:val="000000"/>
              </w:rPr>
            </w:pPr>
            <w:r w:rsidRPr="008B6D56">
              <w:rPr>
                <w:rFonts w:ascii="Calibri" w:eastAsia="Times New Roman" w:hAnsi="Calibri" w:cs="Times New Roman"/>
                <w:color w:val="000000"/>
              </w:rPr>
              <w:t>NA</w:t>
            </w:r>
          </w:p>
        </w:tc>
      </w:tr>
    </w:tbl>
    <w:p w:rsidR="008B6D56" w:rsidRPr="006F1F5B" w:rsidRDefault="008B6D56" w:rsidP="008B6D56">
      <w:pPr>
        <w:pStyle w:val="NormalWeb"/>
        <w:ind w:left="450" w:hanging="450"/>
        <w:rPr>
          <w:rFonts w:asciiTheme="minorHAnsi" w:hAnsiTheme="minorHAnsi"/>
          <w:sz w:val="22"/>
          <w:szCs w:val="22"/>
        </w:rPr>
      </w:pPr>
      <w:r w:rsidRPr="006F1F5B">
        <w:rPr>
          <w:rFonts w:asciiTheme="minorHAnsi" w:hAnsiTheme="minorHAnsi"/>
          <w:sz w:val="22"/>
          <w:szCs w:val="22"/>
        </w:rPr>
        <w:t>Note: Q = questionnaire; MZ = monozygotic; OSDZ = opposite-sex dizygotic.</w:t>
      </w:r>
    </w:p>
    <w:p w:rsidR="001971F5" w:rsidRPr="008B6D56" w:rsidRDefault="001971F5"/>
    <w:sectPr w:rsidR="001971F5" w:rsidRPr="008B6D56" w:rsidSect="008B6D56">
      <w:pgSz w:w="15840" w:h="12240" w:orient="landscape"/>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D56"/>
    <w:rsid w:val="001971F5"/>
    <w:rsid w:val="00500109"/>
    <w:rsid w:val="005F1896"/>
    <w:rsid w:val="006F1F5B"/>
    <w:rsid w:val="00777282"/>
    <w:rsid w:val="0082553E"/>
    <w:rsid w:val="008B6D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5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8B6D56"/>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8B6D56"/>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8B6D56"/>
    <w:rPr>
      <w:rFonts w:eastAsiaTheme="minorEastAsia"/>
      <w:lang w:val="en-US"/>
    </w:rPr>
  </w:style>
  <w:style w:type="paragraph" w:styleId="Header">
    <w:name w:val="header"/>
    <w:basedOn w:val="Normal"/>
    <w:link w:val="HeaderChar"/>
    <w:uiPriority w:val="99"/>
    <w:unhideWhenUsed/>
    <w:rsid w:val="008B6D56"/>
    <w:pPr>
      <w:tabs>
        <w:tab w:val="center" w:pos="4986"/>
        <w:tab w:val="right" w:pos="9972"/>
      </w:tabs>
      <w:spacing w:after="0" w:line="240" w:lineRule="auto"/>
    </w:pPr>
  </w:style>
  <w:style w:type="character" w:customStyle="1" w:styleId="FooterChar">
    <w:name w:val="Footer Char"/>
    <w:basedOn w:val="DefaultParagraphFont"/>
    <w:link w:val="Footer"/>
    <w:uiPriority w:val="99"/>
    <w:rsid w:val="008B6D56"/>
    <w:rPr>
      <w:rFonts w:eastAsiaTheme="minorEastAsia"/>
      <w:lang w:val="en-US"/>
    </w:rPr>
  </w:style>
  <w:style w:type="paragraph" w:styleId="Footer">
    <w:name w:val="footer"/>
    <w:basedOn w:val="Normal"/>
    <w:link w:val="FooterChar"/>
    <w:uiPriority w:val="99"/>
    <w:unhideWhenUsed/>
    <w:rsid w:val="008B6D56"/>
    <w:pPr>
      <w:tabs>
        <w:tab w:val="center" w:pos="4986"/>
        <w:tab w:val="right" w:pos="9972"/>
      </w:tabs>
      <w:spacing w:after="0" w:line="240" w:lineRule="auto"/>
    </w:pPr>
  </w:style>
  <w:style w:type="character" w:customStyle="1" w:styleId="CommentTextChar">
    <w:name w:val="Comment Text Char"/>
    <w:basedOn w:val="DefaultParagraphFont"/>
    <w:link w:val="CommentText"/>
    <w:uiPriority w:val="99"/>
    <w:semiHidden/>
    <w:rsid w:val="008B6D56"/>
    <w:rPr>
      <w:rFonts w:eastAsiaTheme="minorEastAsia"/>
      <w:sz w:val="20"/>
      <w:szCs w:val="20"/>
      <w:lang w:val="en-US"/>
    </w:rPr>
  </w:style>
  <w:style w:type="paragraph" w:styleId="CommentText">
    <w:name w:val="annotation text"/>
    <w:basedOn w:val="Normal"/>
    <w:link w:val="CommentTextChar"/>
    <w:uiPriority w:val="99"/>
    <w:semiHidden/>
    <w:unhideWhenUsed/>
    <w:rsid w:val="008B6D56"/>
    <w:pPr>
      <w:spacing w:line="240" w:lineRule="auto"/>
    </w:pPr>
    <w:rPr>
      <w:sz w:val="20"/>
      <w:szCs w:val="20"/>
    </w:rPr>
  </w:style>
  <w:style w:type="character" w:customStyle="1" w:styleId="CommentSubjectChar">
    <w:name w:val="Comment Subject Char"/>
    <w:basedOn w:val="CommentTextChar"/>
    <w:link w:val="CommentSubject"/>
    <w:uiPriority w:val="99"/>
    <w:semiHidden/>
    <w:rsid w:val="008B6D56"/>
    <w:rPr>
      <w:b/>
      <w:bCs/>
    </w:rPr>
  </w:style>
  <w:style w:type="paragraph" w:styleId="CommentSubject">
    <w:name w:val="annotation subject"/>
    <w:basedOn w:val="CommentText"/>
    <w:next w:val="CommentText"/>
    <w:link w:val="CommentSubjectChar"/>
    <w:uiPriority w:val="99"/>
    <w:semiHidden/>
    <w:unhideWhenUsed/>
    <w:rsid w:val="008B6D56"/>
    <w:rPr>
      <w:b/>
      <w:bCs/>
    </w:rPr>
  </w:style>
  <w:style w:type="paragraph" w:styleId="NormalWeb">
    <w:name w:val="Normal (Web)"/>
    <w:basedOn w:val="Normal"/>
    <w:uiPriority w:val="99"/>
    <w:unhideWhenUsed/>
    <w:rsid w:val="008B6D5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Blake</dc:creator>
  <cp:keywords/>
  <dc:description/>
  <cp:lastModifiedBy>Roberta Blake</cp:lastModifiedBy>
  <cp:revision>2</cp:revision>
  <dcterms:created xsi:type="dcterms:W3CDTF">2015-04-26T22:53:00Z</dcterms:created>
  <dcterms:modified xsi:type="dcterms:W3CDTF">2015-04-26T22:53:00Z</dcterms:modified>
</cp:coreProperties>
</file>