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6A" w:rsidRPr="00FB706A" w:rsidRDefault="00FB706A" w:rsidP="00CD1ADF">
      <w:pPr>
        <w:spacing w:line="360" w:lineRule="auto"/>
        <w:jc w:val="both"/>
        <w:rPr>
          <w:rFonts w:cs="Times New Roman"/>
          <w:sz w:val="28"/>
          <w:szCs w:val="24"/>
        </w:rPr>
      </w:pPr>
      <w:r w:rsidRPr="00FB706A">
        <w:rPr>
          <w:rFonts w:cs="Times New Roman"/>
          <w:sz w:val="28"/>
          <w:szCs w:val="24"/>
        </w:rPr>
        <w:t>Twin Research and Human Genetics</w:t>
      </w:r>
    </w:p>
    <w:p w:rsidR="00FB706A" w:rsidRDefault="00FB706A" w:rsidP="00FB706A">
      <w:pPr>
        <w:spacing w:line="360" w:lineRule="auto"/>
        <w:rPr>
          <w:rFonts w:cs="Times New Roman"/>
          <w:b/>
          <w:sz w:val="28"/>
          <w:szCs w:val="24"/>
        </w:rPr>
      </w:pPr>
    </w:p>
    <w:p w:rsidR="00FB706A" w:rsidRPr="00FB706A" w:rsidRDefault="00FB706A" w:rsidP="00FB706A">
      <w:pPr>
        <w:spacing w:line="360" w:lineRule="auto"/>
        <w:rPr>
          <w:rFonts w:cs="Times New Roman"/>
          <w:b/>
          <w:sz w:val="28"/>
          <w:szCs w:val="24"/>
        </w:rPr>
      </w:pPr>
      <w:bookmarkStart w:id="0" w:name="OLE_LINK5"/>
      <w:bookmarkStart w:id="1" w:name="OLE_LINK6"/>
      <w:bookmarkStart w:id="2" w:name="OLE_LINK7"/>
      <w:bookmarkStart w:id="3" w:name="OLE_LINK16"/>
      <w:bookmarkStart w:id="4" w:name="OLE_LINK22"/>
      <w:bookmarkStart w:id="5" w:name="OLE_LINK23"/>
      <w:bookmarkStart w:id="6" w:name="OLE_LINK24"/>
      <w:r w:rsidRPr="00FB706A">
        <w:rPr>
          <w:rFonts w:cs="Times New Roman"/>
          <w:b/>
          <w:sz w:val="28"/>
          <w:szCs w:val="24"/>
        </w:rPr>
        <w:t xml:space="preserve">Aging Trajectories in Different Body Systems Share Common Environmental </w:t>
      </w:r>
      <w:proofErr w:type="spellStart"/>
      <w:r w:rsidRPr="00FB706A">
        <w:rPr>
          <w:rFonts w:cs="Times New Roman"/>
          <w:b/>
          <w:sz w:val="28"/>
          <w:szCs w:val="24"/>
        </w:rPr>
        <w:t>Etiology</w:t>
      </w:r>
      <w:proofErr w:type="spellEnd"/>
      <w:r w:rsidRPr="00FB706A">
        <w:rPr>
          <w:rFonts w:cs="Times New Roman"/>
          <w:b/>
          <w:sz w:val="28"/>
          <w:szCs w:val="24"/>
        </w:rPr>
        <w:t>: The Healthy Ageing Twin Study (HATS)</w:t>
      </w:r>
    </w:p>
    <w:bookmarkEnd w:id="0"/>
    <w:bookmarkEnd w:id="1"/>
    <w:bookmarkEnd w:id="2"/>
    <w:bookmarkEnd w:id="3"/>
    <w:bookmarkEnd w:id="4"/>
    <w:bookmarkEnd w:id="5"/>
    <w:bookmarkEnd w:id="6"/>
    <w:p w:rsidR="00FB706A" w:rsidRDefault="00FB706A" w:rsidP="00FB706A">
      <w:pPr>
        <w:spacing w:line="360" w:lineRule="auto"/>
        <w:jc w:val="both"/>
        <w:rPr>
          <w:rFonts w:cs="Times New Roman"/>
          <w:sz w:val="24"/>
          <w:szCs w:val="24"/>
        </w:rPr>
      </w:pPr>
      <w:r w:rsidRPr="00FB706A">
        <w:rPr>
          <w:rFonts w:cs="Times New Roman"/>
          <w:sz w:val="24"/>
          <w:szCs w:val="24"/>
        </w:rPr>
        <w:t>Alireza Moayyeri, Deborah J. Hart, Harold Snieder, Christopher J. Hammond, Timothy D. Spector, and Claire J. Steves</w:t>
      </w:r>
    </w:p>
    <w:p w:rsidR="00FB706A" w:rsidRPr="00FB706A" w:rsidRDefault="00FB706A" w:rsidP="00FB706A">
      <w:pPr>
        <w:spacing w:line="360" w:lineRule="auto"/>
        <w:jc w:val="both"/>
        <w:rPr>
          <w:rFonts w:cs="Times New Roman"/>
          <w:sz w:val="24"/>
          <w:szCs w:val="24"/>
          <w:vertAlign w:val="superscript"/>
        </w:rPr>
      </w:pPr>
    </w:p>
    <w:p w:rsidR="006D5155" w:rsidRPr="006D5155" w:rsidRDefault="000F23B1" w:rsidP="00CD1ADF">
      <w:pPr>
        <w:spacing w:line="360" w:lineRule="auto"/>
        <w:jc w:val="both"/>
        <w:rPr>
          <w:rFonts w:cs="Times New Roman"/>
          <w:b/>
          <w:sz w:val="28"/>
          <w:szCs w:val="24"/>
        </w:rPr>
      </w:pPr>
      <w:r>
        <w:rPr>
          <w:rFonts w:cs="Times New Roman"/>
          <w:b/>
          <w:sz w:val="28"/>
          <w:szCs w:val="24"/>
        </w:rPr>
        <w:t xml:space="preserve">Supplementary </w:t>
      </w:r>
      <w:r w:rsidR="006D5155" w:rsidRPr="006D5155">
        <w:rPr>
          <w:rFonts w:cs="Times New Roman"/>
          <w:b/>
          <w:sz w:val="28"/>
          <w:szCs w:val="24"/>
        </w:rPr>
        <w:t>Methods</w:t>
      </w:r>
    </w:p>
    <w:p w:rsidR="006D5155" w:rsidRPr="00FB706A" w:rsidRDefault="006D5155" w:rsidP="00CD1ADF">
      <w:pPr>
        <w:spacing w:line="360" w:lineRule="auto"/>
        <w:jc w:val="both"/>
        <w:rPr>
          <w:rFonts w:cs="Times New Roman"/>
          <w:b/>
          <w:i/>
          <w:sz w:val="24"/>
          <w:szCs w:val="24"/>
        </w:rPr>
      </w:pPr>
      <w:r w:rsidRPr="00FB706A">
        <w:rPr>
          <w:rFonts w:cs="Times New Roman"/>
          <w:b/>
          <w:i/>
          <w:sz w:val="24"/>
          <w:szCs w:val="24"/>
        </w:rPr>
        <w:t xml:space="preserve">Study </w:t>
      </w:r>
      <w:r w:rsidR="00FB706A">
        <w:rPr>
          <w:rFonts w:cs="Times New Roman"/>
          <w:b/>
          <w:i/>
          <w:sz w:val="24"/>
          <w:szCs w:val="24"/>
        </w:rPr>
        <w:t>P</w:t>
      </w:r>
      <w:r w:rsidRPr="00FB706A">
        <w:rPr>
          <w:rFonts w:cs="Times New Roman"/>
          <w:b/>
          <w:i/>
          <w:sz w:val="24"/>
          <w:szCs w:val="24"/>
        </w:rPr>
        <w:t>opulation</w:t>
      </w:r>
    </w:p>
    <w:p w:rsidR="006D5155" w:rsidRDefault="006D5155" w:rsidP="00CD1ADF">
      <w:pPr>
        <w:spacing w:line="360" w:lineRule="auto"/>
        <w:jc w:val="both"/>
        <w:rPr>
          <w:rFonts w:cs="Times New Roman"/>
          <w:sz w:val="24"/>
          <w:szCs w:val="24"/>
        </w:rPr>
      </w:pPr>
      <w:r w:rsidRPr="006D5155">
        <w:rPr>
          <w:rFonts w:cs="Times New Roman"/>
          <w:sz w:val="24"/>
          <w:szCs w:val="24"/>
        </w:rPr>
        <w:t xml:space="preserve">The TwinsUK study has enrolled 12,000 volunteer twins for assessment of the genetic and environmental aetiology of age-related complex traits </w:t>
      </w:r>
      <w:r w:rsidR="0016134B">
        <w:rPr>
          <w:rFonts w:cs="Times New Roman"/>
          <w:noProof/>
          <w:sz w:val="24"/>
          <w:szCs w:val="24"/>
        </w:rPr>
        <w:t>(Moayyeri et al., 2013a)</w:t>
      </w:r>
      <w:r w:rsidRPr="006D5155">
        <w:rPr>
          <w:rFonts w:cs="Times New Roman"/>
          <w:sz w:val="24"/>
          <w:szCs w:val="24"/>
        </w:rPr>
        <w:t>. The cohort, started in 1992 through national media campaigns, has extensive demographic, physiological, behavioural and lifestyle data available and is one of the most deeply phenotyped and genotyped cohorts in the world. The majority of participating twins are female since the study originally recruited only middle-aged women. The primary focus of study has been the genetic basis of healthy ageing process and complex diseases including cardiovascular, metabolic, musculoskeletal, and ophthalmologic disorders. All registered twins have been invited for 1-day clinical follow-up visits on an approximately four yearly basis, in 1998</w:t>
      </w:r>
      <w:r w:rsidR="00FB706A">
        <w:rPr>
          <w:rFonts w:cs="Times New Roman"/>
          <w:sz w:val="24"/>
          <w:szCs w:val="24"/>
        </w:rPr>
        <w:t>–</w:t>
      </w:r>
      <w:r w:rsidRPr="006D5155">
        <w:rPr>
          <w:rFonts w:cs="Times New Roman"/>
          <w:sz w:val="24"/>
          <w:szCs w:val="24"/>
        </w:rPr>
        <w:t>2003, and again 2004</w:t>
      </w:r>
      <w:r w:rsidR="00FB706A">
        <w:rPr>
          <w:rFonts w:cs="Times New Roman"/>
          <w:sz w:val="24"/>
          <w:szCs w:val="24"/>
        </w:rPr>
        <w:t xml:space="preserve">–2007. </w:t>
      </w:r>
      <w:r w:rsidRPr="006D5155">
        <w:rPr>
          <w:rFonts w:cs="Times New Roman"/>
          <w:sz w:val="24"/>
          <w:szCs w:val="24"/>
        </w:rPr>
        <w:t>Over 3,000 twins participated in the third major follow-up of the study in 2007</w:t>
      </w:r>
      <w:r w:rsidR="00FB706A">
        <w:rPr>
          <w:rFonts w:cs="Times New Roman"/>
          <w:sz w:val="24"/>
          <w:szCs w:val="24"/>
        </w:rPr>
        <w:t>–</w:t>
      </w:r>
      <w:r w:rsidRPr="006D5155">
        <w:rPr>
          <w:rFonts w:cs="Times New Roman"/>
          <w:sz w:val="24"/>
          <w:szCs w:val="24"/>
        </w:rPr>
        <w:t xml:space="preserve">2010, also known as the Healthy Ageing Twin Study (HATS), which has focused on the age-related longitudinal phenotypes associated with ‘healthy ageing’ </w:t>
      </w:r>
      <w:r w:rsidR="0016134B">
        <w:rPr>
          <w:rFonts w:cs="Times New Roman"/>
          <w:noProof/>
          <w:sz w:val="24"/>
          <w:szCs w:val="24"/>
        </w:rPr>
        <w:t>(Moayyeri et al., 2013b)</w:t>
      </w:r>
      <w:r w:rsidRPr="006D5155">
        <w:rPr>
          <w:rFonts w:cs="Times New Roman"/>
          <w:sz w:val="24"/>
          <w:szCs w:val="24"/>
        </w:rPr>
        <w:t>. Another wave of visits is now underway. The study was approved by St. Thomas’ Hospital Research Ethics Committee, and all twins provided informed written consent. For this study, all female twins with at least 2 clinical visits were included. Male twins were excluded due to low numbers (&lt;5%).</w:t>
      </w:r>
    </w:p>
    <w:p w:rsidR="00FB706A" w:rsidRDefault="00FB706A">
      <w:pPr>
        <w:rPr>
          <w:rFonts w:cs="Times New Roman"/>
          <w:sz w:val="24"/>
          <w:szCs w:val="24"/>
        </w:rPr>
      </w:pPr>
      <w:r>
        <w:rPr>
          <w:rFonts w:cs="Times New Roman"/>
          <w:sz w:val="24"/>
          <w:szCs w:val="24"/>
        </w:rPr>
        <w:br w:type="page"/>
      </w:r>
    </w:p>
    <w:p w:rsidR="006D5155" w:rsidRPr="00FB706A" w:rsidRDefault="00FB706A" w:rsidP="00CD1ADF">
      <w:pPr>
        <w:spacing w:line="360" w:lineRule="auto"/>
        <w:jc w:val="both"/>
        <w:rPr>
          <w:rFonts w:cs="Times New Roman"/>
          <w:b/>
          <w:i/>
          <w:sz w:val="24"/>
          <w:szCs w:val="24"/>
        </w:rPr>
      </w:pPr>
      <w:r>
        <w:rPr>
          <w:rFonts w:cs="Times New Roman"/>
          <w:b/>
          <w:i/>
          <w:sz w:val="24"/>
          <w:szCs w:val="24"/>
        </w:rPr>
        <w:t>Ag</w:t>
      </w:r>
      <w:r w:rsidR="006D5155" w:rsidRPr="00FB706A">
        <w:rPr>
          <w:rFonts w:cs="Times New Roman"/>
          <w:b/>
          <w:i/>
          <w:sz w:val="24"/>
          <w:szCs w:val="24"/>
        </w:rPr>
        <w:t xml:space="preserve">ing </w:t>
      </w:r>
      <w:r>
        <w:rPr>
          <w:rFonts w:cs="Times New Roman"/>
          <w:b/>
          <w:i/>
          <w:sz w:val="24"/>
          <w:szCs w:val="24"/>
        </w:rPr>
        <w:t>S</w:t>
      </w:r>
      <w:r w:rsidR="006D5155" w:rsidRPr="00FB706A">
        <w:rPr>
          <w:rFonts w:cs="Times New Roman"/>
          <w:b/>
          <w:i/>
          <w:sz w:val="24"/>
          <w:szCs w:val="24"/>
        </w:rPr>
        <w:t>ystems</w:t>
      </w:r>
    </w:p>
    <w:p w:rsidR="006D5155" w:rsidRDefault="006D5155" w:rsidP="00CD1ADF">
      <w:pPr>
        <w:spacing w:line="360" w:lineRule="auto"/>
        <w:jc w:val="both"/>
        <w:rPr>
          <w:rFonts w:cs="Times New Roman"/>
          <w:sz w:val="24"/>
          <w:szCs w:val="24"/>
        </w:rPr>
      </w:pPr>
      <w:r w:rsidRPr="006D5155">
        <w:rPr>
          <w:rFonts w:cs="Times New Roman"/>
          <w:sz w:val="24"/>
          <w:szCs w:val="24"/>
        </w:rPr>
        <w:t>We investigated longitudinal changes in 5 body systems. These included cardiovascular, respiratory, skeletal, morphometric, and metabolic systems (</w:t>
      </w:r>
      <w:r w:rsidRPr="006D5155">
        <w:rPr>
          <w:rFonts w:cs="Times New Roman"/>
          <w:i/>
          <w:sz w:val="24"/>
          <w:szCs w:val="24"/>
        </w:rPr>
        <w:t>Supplementary</w:t>
      </w:r>
      <w:r w:rsidRPr="006D5155">
        <w:rPr>
          <w:rFonts w:cs="Times New Roman"/>
          <w:sz w:val="24"/>
          <w:szCs w:val="24"/>
        </w:rPr>
        <w:t xml:space="preserve"> </w:t>
      </w:r>
      <w:r w:rsidRPr="006D5155">
        <w:rPr>
          <w:rFonts w:cs="Times New Roman"/>
          <w:i/>
          <w:sz w:val="24"/>
          <w:szCs w:val="24"/>
        </w:rPr>
        <w:t>Table 1</w:t>
      </w:r>
      <w:r w:rsidRPr="006D5155">
        <w:rPr>
          <w:rFonts w:cs="Times New Roman"/>
          <w:sz w:val="24"/>
          <w:szCs w:val="24"/>
        </w:rPr>
        <w:t xml:space="preserve">). For the cardiovascular system, we included systolic and diastolic blood pressure, serum lipid profile, electrocardiography measures, and six serum cardiovascular biomarkers (emerging risk factors). Blood pressure was measured using Omron Mx3 Digital Blood Pressure Monitors. Three measurements were taken and the mean of second and third measures was used. People treated for hypertension were excluded from this analysis. Respiratory function was assessed in each visit using the </w:t>
      </w:r>
      <w:proofErr w:type="spellStart"/>
      <w:r w:rsidRPr="006D5155">
        <w:rPr>
          <w:rFonts w:cs="Times New Roman"/>
          <w:sz w:val="24"/>
          <w:szCs w:val="24"/>
        </w:rPr>
        <w:t>Vitalograph</w:t>
      </w:r>
      <w:proofErr w:type="spellEnd"/>
      <w:r w:rsidRPr="006D5155">
        <w:rPr>
          <w:rFonts w:cs="Times New Roman"/>
          <w:sz w:val="24"/>
          <w:szCs w:val="24"/>
        </w:rPr>
        <w:t xml:space="preserve"> 2150 volumetric </w:t>
      </w:r>
      <w:proofErr w:type="spellStart"/>
      <w:r w:rsidRPr="006D5155">
        <w:rPr>
          <w:rFonts w:cs="Times New Roman"/>
          <w:sz w:val="24"/>
          <w:szCs w:val="24"/>
        </w:rPr>
        <w:t>spirometer</w:t>
      </w:r>
      <w:proofErr w:type="spellEnd"/>
      <w:r w:rsidRPr="006D5155">
        <w:rPr>
          <w:rFonts w:cs="Times New Roman"/>
          <w:sz w:val="24"/>
          <w:szCs w:val="24"/>
        </w:rPr>
        <w:t xml:space="preserve"> (</w:t>
      </w:r>
      <w:proofErr w:type="spellStart"/>
      <w:r w:rsidRPr="006D5155">
        <w:rPr>
          <w:rFonts w:cs="Times New Roman"/>
          <w:sz w:val="24"/>
          <w:szCs w:val="24"/>
        </w:rPr>
        <w:t>Vitalograph</w:t>
      </w:r>
      <w:proofErr w:type="spellEnd"/>
      <w:r w:rsidRPr="006D5155">
        <w:rPr>
          <w:rFonts w:cs="Times New Roman"/>
          <w:sz w:val="24"/>
          <w:szCs w:val="24"/>
        </w:rPr>
        <w:t xml:space="preserve"> Ltd, Buckingham, UK). Morphometric measures including total body fat mass, lean mass and total body bone mineral content as well as skeletal measures of bone mineral density (BMD) at hip and spine regions were assessed using dual-energy X-ray </w:t>
      </w:r>
      <w:proofErr w:type="spellStart"/>
      <w:r w:rsidRPr="006D5155">
        <w:rPr>
          <w:rFonts w:cs="Times New Roman"/>
          <w:sz w:val="24"/>
          <w:szCs w:val="24"/>
        </w:rPr>
        <w:t>absorptiometry</w:t>
      </w:r>
      <w:proofErr w:type="spellEnd"/>
      <w:r w:rsidRPr="006D5155">
        <w:rPr>
          <w:rFonts w:cs="Times New Roman"/>
          <w:sz w:val="24"/>
          <w:szCs w:val="24"/>
        </w:rPr>
        <w:t xml:space="preserve"> (</w:t>
      </w:r>
      <w:proofErr w:type="spellStart"/>
      <w:r w:rsidRPr="006D5155">
        <w:rPr>
          <w:rFonts w:cs="Times New Roman"/>
          <w:sz w:val="24"/>
          <w:szCs w:val="24"/>
        </w:rPr>
        <w:t>Hologic</w:t>
      </w:r>
      <w:proofErr w:type="spellEnd"/>
      <w:r w:rsidRPr="006D5155">
        <w:rPr>
          <w:rFonts w:cs="Times New Roman"/>
          <w:sz w:val="24"/>
          <w:szCs w:val="24"/>
        </w:rPr>
        <w:t xml:space="preserve"> Discovery W, </w:t>
      </w:r>
      <w:proofErr w:type="spellStart"/>
      <w:r w:rsidRPr="006D5155">
        <w:rPr>
          <w:rFonts w:cs="Times New Roman"/>
          <w:sz w:val="24"/>
          <w:szCs w:val="24"/>
        </w:rPr>
        <w:t>Hologic</w:t>
      </w:r>
      <w:proofErr w:type="spellEnd"/>
      <w:r w:rsidRPr="006D5155">
        <w:rPr>
          <w:rFonts w:cs="Times New Roman"/>
          <w:sz w:val="24"/>
          <w:szCs w:val="24"/>
        </w:rPr>
        <w:t xml:space="preserve">, Bedford, MA, USA) </w:t>
      </w:r>
      <w:r w:rsidR="0016134B">
        <w:rPr>
          <w:rFonts w:cs="Times New Roman"/>
          <w:noProof/>
          <w:sz w:val="24"/>
          <w:szCs w:val="24"/>
        </w:rPr>
        <w:t>(Moayyeri et al., 2013b)</w:t>
      </w:r>
      <w:r w:rsidRPr="006D5155">
        <w:rPr>
          <w:rFonts w:cs="Times New Roman"/>
          <w:sz w:val="24"/>
          <w:szCs w:val="24"/>
        </w:rPr>
        <w:t xml:space="preserve">. Grip strength of the </w:t>
      </w:r>
      <w:r w:rsidRPr="006D5155">
        <w:rPr>
          <w:rFonts w:cs="Times New Roman"/>
          <w:sz w:val="24"/>
          <w:szCs w:val="24"/>
        </w:rPr>
        <w:lastRenderedPageBreak/>
        <w:t xml:space="preserve">dominant hand was measured (to the nearest kilogram) using a Jamar hand dynamometer (Sammons Preston Inc., Bolingbrook, IL). Participants were advised to exert maximal force and one test trial was allowed, followed by three test measurements. The best measure recorded was taken for the final analysis. We included grip strength in the morphometric system since it is recommended as a reliable surrogate for muscle function </w:t>
      </w:r>
      <w:r w:rsidR="0016134B">
        <w:rPr>
          <w:rFonts w:cs="Times New Roman"/>
          <w:noProof/>
          <w:sz w:val="24"/>
          <w:szCs w:val="24"/>
        </w:rPr>
        <w:t>(Cruz-Jentoft et al., 2010)</w:t>
      </w:r>
      <w:r w:rsidRPr="006D5155">
        <w:rPr>
          <w:rFonts w:cs="Times New Roman"/>
          <w:sz w:val="24"/>
          <w:szCs w:val="24"/>
        </w:rPr>
        <w:t xml:space="preserve">. Heel quantitative ultrasound measurements, broadband ultrasound attenuation (BUA) and velocity of sound (VOS), were measured at the left heel using a McCue Cuba clinical scanner (McCue </w:t>
      </w:r>
      <w:proofErr w:type="spellStart"/>
      <w:r w:rsidRPr="006D5155">
        <w:rPr>
          <w:rFonts w:cs="Times New Roman"/>
          <w:sz w:val="24"/>
          <w:szCs w:val="24"/>
        </w:rPr>
        <w:t>Ultrasonics</w:t>
      </w:r>
      <w:proofErr w:type="spellEnd"/>
      <w:r w:rsidRPr="006D5155">
        <w:rPr>
          <w:rFonts w:cs="Times New Roman"/>
          <w:sz w:val="24"/>
          <w:szCs w:val="24"/>
        </w:rPr>
        <w:t xml:space="preserve">, Hampshire, UK). For the metabolic system, we included serum urea levels and estimated glomerular filtration rate (as markers of renal function) and serum </w:t>
      </w:r>
      <w:proofErr w:type="spellStart"/>
      <w:r w:rsidRPr="006D5155">
        <w:rPr>
          <w:rFonts w:cs="Times New Roman"/>
          <w:sz w:val="24"/>
          <w:szCs w:val="24"/>
        </w:rPr>
        <w:t>dehydroepiandrosterone</w:t>
      </w:r>
      <w:proofErr w:type="spellEnd"/>
      <w:r w:rsidRPr="006D5155">
        <w:rPr>
          <w:rFonts w:cs="Times New Roman"/>
          <w:sz w:val="24"/>
          <w:szCs w:val="24"/>
        </w:rPr>
        <w:t xml:space="preserve"> sulphate (a known biomarker of ageing</w:t>
      </w:r>
      <w:r w:rsidR="00FB706A">
        <w:rPr>
          <w:rFonts w:cs="Times New Roman"/>
          <w:sz w:val="24"/>
          <w:szCs w:val="24"/>
        </w:rPr>
        <w:t>;</w:t>
      </w:r>
      <w:r w:rsidRPr="006D5155">
        <w:rPr>
          <w:rFonts w:cs="Times New Roman"/>
          <w:sz w:val="24"/>
          <w:szCs w:val="24"/>
        </w:rPr>
        <w:t xml:space="preserve"> </w:t>
      </w:r>
      <w:r w:rsidR="0016134B">
        <w:rPr>
          <w:rFonts w:cs="Times New Roman"/>
          <w:noProof/>
          <w:sz w:val="24"/>
          <w:szCs w:val="24"/>
        </w:rPr>
        <w:t>Kroboth et al., 1999)</w:t>
      </w:r>
      <w:r w:rsidR="00FB706A">
        <w:rPr>
          <w:rFonts w:cs="Times New Roman"/>
          <w:sz w:val="24"/>
          <w:szCs w:val="24"/>
        </w:rPr>
        <w:t xml:space="preserve">. </w:t>
      </w:r>
    </w:p>
    <w:p w:rsidR="00FB706A" w:rsidRPr="006D5155" w:rsidRDefault="00FB706A" w:rsidP="00CD1ADF">
      <w:pPr>
        <w:spacing w:line="360" w:lineRule="auto"/>
        <w:jc w:val="both"/>
        <w:rPr>
          <w:rFonts w:cs="Times New Roman"/>
          <w:sz w:val="24"/>
          <w:szCs w:val="24"/>
        </w:rPr>
      </w:pPr>
    </w:p>
    <w:p w:rsidR="00CD1ADF" w:rsidRPr="00FB706A" w:rsidRDefault="00CD1ADF" w:rsidP="00CD1ADF">
      <w:pPr>
        <w:spacing w:line="360" w:lineRule="auto"/>
        <w:jc w:val="both"/>
        <w:rPr>
          <w:rFonts w:cs="Times New Roman"/>
          <w:b/>
          <w:i/>
          <w:sz w:val="24"/>
          <w:szCs w:val="24"/>
        </w:rPr>
      </w:pPr>
      <w:r w:rsidRPr="00FB706A">
        <w:rPr>
          <w:rFonts w:cs="Times New Roman"/>
          <w:b/>
          <w:i/>
          <w:sz w:val="24"/>
          <w:szCs w:val="24"/>
        </w:rPr>
        <w:t xml:space="preserve">Statistical </w:t>
      </w:r>
      <w:r w:rsidR="00FB706A">
        <w:rPr>
          <w:rFonts w:cs="Times New Roman"/>
          <w:b/>
          <w:i/>
          <w:sz w:val="24"/>
          <w:szCs w:val="24"/>
        </w:rPr>
        <w:t>A</w:t>
      </w:r>
      <w:r w:rsidRPr="00FB706A">
        <w:rPr>
          <w:rFonts w:cs="Times New Roman"/>
          <w:b/>
          <w:i/>
          <w:sz w:val="24"/>
          <w:szCs w:val="24"/>
        </w:rPr>
        <w:t>nalysis</w:t>
      </w:r>
    </w:p>
    <w:p w:rsidR="006D5155" w:rsidRPr="006D5155" w:rsidRDefault="006D5155" w:rsidP="00CD1ADF">
      <w:pPr>
        <w:spacing w:line="360" w:lineRule="auto"/>
        <w:jc w:val="both"/>
        <w:rPr>
          <w:rFonts w:cs="Times New Roman"/>
          <w:sz w:val="24"/>
          <w:szCs w:val="24"/>
        </w:rPr>
      </w:pPr>
      <w:r w:rsidRPr="006D5155">
        <w:rPr>
          <w:rFonts w:cs="Times New Roman"/>
          <w:sz w:val="24"/>
          <w:szCs w:val="24"/>
        </w:rPr>
        <w:t xml:space="preserve">Database management and statistical modelling </w:t>
      </w:r>
      <w:r w:rsidR="00CD1ADF">
        <w:rPr>
          <w:rFonts w:cs="Times New Roman"/>
          <w:sz w:val="24"/>
          <w:szCs w:val="24"/>
        </w:rPr>
        <w:t xml:space="preserve">for estimation of longitudinal ‘ageing trajectories’ </w:t>
      </w:r>
      <w:r w:rsidRPr="006D5155">
        <w:rPr>
          <w:rFonts w:cs="Times New Roman"/>
          <w:sz w:val="24"/>
          <w:szCs w:val="24"/>
        </w:rPr>
        <w:t>were performed using Stata software, version 13 (</w:t>
      </w:r>
      <w:proofErr w:type="spellStart"/>
      <w:r w:rsidRPr="006D5155">
        <w:rPr>
          <w:rFonts w:cs="Times New Roman"/>
          <w:sz w:val="24"/>
          <w:szCs w:val="24"/>
        </w:rPr>
        <w:t>StataCorp</w:t>
      </w:r>
      <w:proofErr w:type="spellEnd"/>
      <w:r w:rsidRPr="006D5155">
        <w:rPr>
          <w:rFonts w:cs="Times New Roman"/>
          <w:sz w:val="24"/>
          <w:szCs w:val="24"/>
        </w:rPr>
        <w:t xml:space="preserve"> LP., College Station, TX, USA). </w:t>
      </w:r>
      <w:r w:rsidR="00BF5396">
        <w:rPr>
          <w:rFonts w:cs="Times New Roman"/>
          <w:sz w:val="24"/>
          <w:szCs w:val="24"/>
        </w:rPr>
        <w:t xml:space="preserve">Results of a simpler model (based on estimation of change in variables per year) are presented in </w:t>
      </w:r>
      <w:r w:rsidR="00BF5396" w:rsidRPr="00BF5396">
        <w:rPr>
          <w:rFonts w:cs="Times New Roman"/>
          <w:i/>
          <w:sz w:val="24"/>
          <w:szCs w:val="24"/>
        </w:rPr>
        <w:t>Supplementary Table 6</w:t>
      </w:r>
      <w:r w:rsidR="00BF5396">
        <w:rPr>
          <w:rFonts w:cs="Times New Roman"/>
          <w:sz w:val="24"/>
          <w:szCs w:val="24"/>
        </w:rPr>
        <w:t>.</w:t>
      </w:r>
    </w:p>
    <w:p w:rsidR="00FB706A" w:rsidRDefault="00FB706A">
      <w:pPr>
        <w:rPr>
          <w:rFonts w:cs="Times New Roman"/>
          <w:i/>
          <w:sz w:val="24"/>
          <w:szCs w:val="24"/>
        </w:rPr>
      </w:pPr>
      <w:r>
        <w:rPr>
          <w:rFonts w:cs="Times New Roman"/>
          <w:i/>
          <w:sz w:val="24"/>
          <w:szCs w:val="24"/>
        </w:rPr>
        <w:br w:type="page"/>
      </w:r>
    </w:p>
    <w:p w:rsidR="006D5155" w:rsidRPr="00FB706A" w:rsidRDefault="006D5155" w:rsidP="00CD1ADF">
      <w:pPr>
        <w:tabs>
          <w:tab w:val="center" w:pos="4513"/>
        </w:tabs>
        <w:spacing w:line="360" w:lineRule="auto"/>
        <w:jc w:val="both"/>
        <w:rPr>
          <w:rFonts w:cs="Times New Roman"/>
          <w:b/>
          <w:i/>
          <w:sz w:val="24"/>
          <w:szCs w:val="24"/>
        </w:rPr>
      </w:pPr>
      <w:r w:rsidRPr="00FB706A">
        <w:rPr>
          <w:rFonts w:cs="Times New Roman"/>
          <w:b/>
          <w:i/>
          <w:sz w:val="24"/>
          <w:szCs w:val="24"/>
        </w:rPr>
        <w:t xml:space="preserve">Structural </w:t>
      </w:r>
      <w:r w:rsidR="00FB706A" w:rsidRPr="00FB706A">
        <w:rPr>
          <w:rFonts w:cs="Times New Roman"/>
          <w:b/>
          <w:i/>
          <w:sz w:val="24"/>
          <w:szCs w:val="24"/>
        </w:rPr>
        <w:t>Equation Modelling (</w:t>
      </w:r>
      <w:r w:rsidRPr="00FB706A">
        <w:rPr>
          <w:rFonts w:cs="Times New Roman"/>
          <w:b/>
          <w:i/>
          <w:sz w:val="24"/>
          <w:szCs w:val="24"/>
        </w:rPr>
        <w:t>SEM</w:t>
      </w:r>
      <w:r w:rsidR="00FB706A" w:rsidRPr="00FB706A">
        <w:rPr>
          <w:rFonts w:cs="Times New Roman"/>
          <w:b/>
          <w:i/>
          <w:sz w:val="24"/>
          <w:szCs w:val="24"/>
        </w:rPr>
        <w:t>)</w:t>
      </w:r>
    </w:p>
    <w:p w:rsidR="006D5155" w:rsidRDefault="006D5155" w:rsidP="00CD1ADF">
      <w:pPr>
        <w:spacing w:line="360" w:lineRule="auto"/>
        <w:jc w:val="both"/>
      </w:pPr>
      <w:r w:rsidRPr="006D5155">
        <w:rPr>
          <w:rFonts w:cs="Times New Roman"/>
          <w:sz w:val="24"/>
          <w:szCs w:val="24"/>
        </w:rPr>
        <w:t xml:space="preserve">We used MX open-source software </w:t>
      </w:r>
      <w:r w:rsidR="0016134B">
        <w:rPr>
          <w:rFonts w:cs="Times New Roman"/>
          <w:noProof/>
          <w:sz w:val="24"/>
          <w:szCs w:val="24"/>
        </w:rPr>
        <w:t>(Neale &amp; Cardon, 1992)</w:t>
      </w:r>
      <w:r w:rsidRPr="006D5155">
        <w:rPr>
          <w:rFonts w:cs="Times New Roman"/>
          <w:sz w:val="24"/>
          <w:szCs w:val="24"/>
        </w:rPr>
        <w:t xml:space="preserve"> to separate the observed variance in ‘ageing trajectories’ into their genetic and environmental components. This approach is based on comparing the </w:t>
      </w:r>
      <w:proofErr w:type="spellStart"/>
      <w:r w:rsidRPr="006D5155">
        <w:rPr>
          <w:rFonts w:cs="Times New Roman"/>
          <w:sz w:val="24"/>
          <w:szCs w:val="24"/>
        </w:rPr>
        <w:t>covariances</w:t>
      </w:r>
      <w:proofErr w:type="spellEnd"/>
      <w:r w:rsidRPr="006D5155">
        <w:rPr>
          <w:rFonts w:cs="Times New Roman"/>
          <w:sz w:val="24"/>
          <w:szCs w:val="24"/>
        </w:rPr>
        <w:t xml:space="preserve"> of measured traits between monozygotic (MZ) and dizygotic (DZ) twin pairs. The observed phenotypic variance can be divided into additive genetic (A), common environmental (C), and unique environmental (E) components. The common environmental component (C) estimates the contribution of family environment, which is assumed to be equal in both MZ and DZ twin pairs </w:t>
      </w:r>
      <w:r w:rsidR="0016134B">
        <w:rPr>
          <w:rFonts w:cs="Times New Roman"/>
          <w:noProof/>
          <w:sz w:val="24"/>
          <w:szCs w:val="24"/>
        </w:rPr>
        <w:t>(Derks et al., 2006; Kendler et al., 1993; Scarr, 1968)</w:t>
      </w:r>
      <w:r w:rsidRPr="006D5155">
        <w:rPr>
          <w:rFonts w:cs="Times New Roman"/>
          <w:sz w:val="24"/>
          <w:szCs w:val="24"/>
        </w:rPr>
        <w:t>, whereas the unique environmental component (E) estimates the effects that apply only to each individual including measurement error.  Any greater similarity between MZ twins than DZ twins is attributed to greater sharing of genetic influences.  Heritability is defined as the proportion of the phenotypic variation attributable to genetic factors, and is given by the equation, h</w:t>
      </w:r>
      <w:r w:rsidRPr="006D5155">
        <w:rPr>
          <w:rFonts w:cs="Times New Roman"/>
          <w:sz w:val="24"/>
          <w:szCs w:val="24"/>
          <w:vertAlign w:val="superscript"/>
        </w:rPr>
        <w:t>2</w:t>
      </w:r>
      <w:r w:rsidRPr="006D5155">
        <w:rPr>
          <w:rFonts w:cs="Times New Roman"/>
          <w:sz w:val="24"/>
          <w:szCs w:val="24"/>
        </w:rPr>
        <w:t xml:space="preserve"> = (A)/(A + C + E). After running univariate models for all body systems, and in order to investigate whether the same genetic and environmental factors influence ageing in different body systems, we used a multivariate </w:t>
      </w:r>
      <w:proofErr w:type="spellStart"/>
      <w:r w:rsidRPr="006D5155">
        <w:rPr>
          <w:rFonts w:cs="Times New Roman"/>
          <w:sz w:val="24"/>
          <w:szCs w:val="24"/>
        </w:rPr>
        <w:t>Cholesky</w:t>
      </w:r>
      <w:proofErr w:type="spellEnd"/>
      <w:r w:rsidRPr="006D5155">
        <w:rPr>
          <w:rFonts w:cs="Times New Roman"/>
          <w:sz w:val="24"/>
          <w:szCs w:val="24"/>
        </w:rPr>
        <w:t xml:space="preserve"> decomposition model with correlated factors solution </w:t>
      </w:r>
      <w:r w:rsidR="0016134B">
        <w:rPr>
          <w:rFonts w:cs="Times New Roman"/>
          <w:noProof/>
          <w:sz w:val="24"/>
          <w:szCs w:val="24"/>
        </w:rPr>
        <w:t>(Gillespie &amp; Martin, 2005)</w:t>
      </w:r>
      <w:r w:rsidRPr="006D5155">
        <w:rPr>
          <w:rFonts w:cs="Times New Roman"/>
          <w:sz w:val="24"/>
          <w:szCs w:val="24"/>
        </w:rPr>
        <w:t xml:space="preserve">. In multivariate twin analysis, MZ and DZ correlations are compared across traits. If cross-trait twin correlations are greater for MZ than for DZ twins, this implies that genetic factors contribute to the </w:t>
      </w:r>
      <w:proofErr w:type="spellStart"/>
      <w:r w:rsidRPr="006D5155">
        <w:rPr>
          <w:rFonts w:cs="Times New Roman"/>
          <w:sz w:val="24"/>
          <w:szCs w:val="24"/>
        </w:rPr>
        <w:t>covariation</w:t>
      </w:r>
      <w:proofErr w:type="spellEnd"/>
      <w:r w:rsidRPr="006D5155">
        <w:rPr>
          <w:rFonts w:cs="Times New Roman"/>
          <w:sz w:val="24"/>
          <w:szCs w:val="24"/>
        </w:rPr>
        <w:t xml:space="preserve"> across traits. Correlated factor solution of the </w:t>
      </w:r>
      <w:proofErr w:type="spellStart"/>
      <w:r w:rsidRPr="006D5155">
        <w:rPr>
          <w:rFonts w:cs="Times New Roman"/>
          <w:sz w:val="24"/>
          <w:szCs w:val="24"/>
        </w:rPr>
        <w:t>Cholesky</w:t>
      </w:r>
      <w:proofErr w:type="spellEnd"/>
      <w:r w:rsidRPr="006D5155">
        <w:rPr>
          <w:rFonts w:cs="Times New Roman"/>
          <w:sz w:val="24"/>
          <w:szCs w:val="24"/>
        </w:rPr>
        <w:t xml:space="preserve"> model is mathematically equivalent to the original </w:t>
      </w:r>
      <w:proofErr w:type="spellStart"/>
      <w:r w:rsidRPr="006D5155">
        <w:rPr>
          <w:rFonts w:cs="Times New Roman"/>
          <w:sz w:val="24"/>
          <w:szCs w:val="24"/>
        </w:rPr>
        <w:t>Cholesky</w:t>
      </w:r>
      <w:proofErr w:type="spellEnd"/>
      <w:r w:rsidRPr="006D5155">
        <w:rPr>
          <w:rFonts w:cs="Times New Roman"/>
          <w:sz w:val="24"/>
          <w:szCs w:val="24"/>
        </w:rPr>
        <w:t xml:space="preserve"> model but avoids giving precedence to any latent variable over others </w:t>
      </w:r>
      <w:r w:rsidR="0016134B">
        <w:rPr>
          <w:rFonts w:cs="Times New Roman"/>
          <w:noProof/>
          <w:sz w:val="24"/>
          <w:szCs w:val="24"/>
        </w:rPr>
        <w:t>(Gillespie &amp; Martin, 2005)</w:t>
      </w:r>
      <w:r w:rsidRPr="006D5155">
        <w:rPr>
          <w:rFonts w:cs="Times New Roman"/>
          <w:sz w:val="24"/>
          <w:szCs w:val="24"/>
        </w:rPr>
        <w:t>. In order to avoid inflation of estimates of C due to shared age of twins, we entered the ‘ageing trajectories’, adjusted using the residual approach for chronological age into the models.</w:t>
      </w:r>
      <w:r w:rsidRPr="006D5155">
        <w:t xml:space="preserve"> </w:t>
      </w:r>
    </w:p>
    <w:p w:rsidR="00BF5396" w:rsidRPr="006D5155" w:rsidRDefault="00BF5396" w:rsidP="00BF5396">
      <w:pPr>
        <w:spacing w:line="360" w:lineRule="auto"/>
        <w:jc w:val="both"/>
        <w:rPr>
          <w:rFonts w:cs="Times New Roman"/>
          <w:sz w:val="24"/>
          <w:szCs w:val="24"/>
        </w:rPr>
      </w:pPr>
      <w:r w:rsidRPr="00BF5396">
        <w:rPr>
          <w:rFonts w:cs="Times New Roman"/>
          <w:sz w:val="24"/>
          <w:szCs w:val="24"/>
        </w:rPr>
        <w:t>We also fitted a common latent factor model which hypothesised a single common factor underpinning slopes of biological age predicted by all five organ systems (</w:t>
      </w:r>
      <w:r w:rsidRPr="00BF5396">
        <w:rPr>
          <w:rFonts w:cs="Times New Roman"/>
          <w:i/>
          <w:sz w:val="24"/>
          <w:szCs w:val="24"/>
        </w:rPr>
        <w:t>Supplementary Figure 3</w:t>
      </w:r>
      <w:r w:rsidRPr="00BF5396">
        <w:rPr>
          <w:rFonts w:cs="Times New Roman"/>
          <w:sz w:val="24"/>
          <w:szCs w:val="24"/>
        </w:rPr>
        <w:t xml:space="preserve">).  </w:t>
      </w:r>
      <w:proofErr w:type="spellStart"/>
      <w:r w:rsidRPr="00BF5396">
        <w:rPr>
          <w:rFonts w:cs="Times New Roman"/>
          <w:sz w:val="24"/>
          <w:szCs w:val="24"/>
        </w:rPr>
        <w:t>Akaike</w:t>
      </w:r>
      <w:proofErr w:type="spellEnd"/>
      <w:r w:rsidRPr="00BF5396">
        <w:rPr>
          <w:rFonts w:cs="Times New Roman"/>
          <w:sz w:val="24"/>
          <w:szCs w:val="24"/>
        </w:rPr>
        <w:t xml:space="preserve"> Information Criteria were used to compare the </w:t>
      </w:r>
      <w:proofErr w:type="spellStart"/>
      <w:r w:rsidRPr="00BF5396">
        <w:rPr>
          <w:rFonts w:cs="Times New Roman"/>
          <w:sz w:val="24"/>
          <w:szCs w:val="24"/>
        </w:rPr>
        <w:t>Cholesky</w:t>
      </w:r>
      <w:proofErr w:type="spellEnd"/>
      <w:r w:rsidRPr="00BF5396">
        <w:rPr>
          <w:rFonts w:cs="Times New Roman"/>
          <w:sz w:val="24"/>
          <w:szCs w:val="24"/>
        </w:rPr>
        <w:t xml:space="preserve"> model and the common factor solution according to Burnham and Anderson</w:t>
      </w:r>
      <w:r>
        <w:rPr>
          <w:rFonts w:cs="Times New Roman"/>
          <w:sz w:val="24"/>
          <w:szCs w:val="24"/>
        </w:rPr>
        <w:t xml:space="preserve"> </w:t>
      </w:r>
      <w:r w:rsidR="0016134B">
        <w:rPr>
          <w:rFonts w:cs="Times New Roman"/>
          <w:noProof/>
          <w:sz w:val="24"/>
          <w:szCs w:val="24"/>
        </w:rPr>
        <w:t>(Burnham &amp; Anderson, 2002)</w:t>
      </w:r>
      <w:r>
        <w:rPr>
          <w:rFonts w:cs="Times New Roman"/>
          <w:sz w:val="24"/>
          <w:szCs w:val="24"/>
        </w:rPr>
        <w:t>.</w:t>
      </w:r>
    </w:p>
    <w:p w:rsidR="006D5155" w:rsidRDefault="006D5155" w:rsidP="005C776E">
      <w:pPr>
        <w:spacing w:line="360" w:lineRule="auto"/>
        <w:jc w:val="both"/>
        <w:rPr>
          <w:rFonts w:cs="Times New Roman"/>
          <w:b/>
          <w:i/>
          <w:sz w:val="24"/>
        </w:rPr>
      </w:pPr>
    </w:p>
    <w:p w:rsidR="006D5155" w:rsidRDefault="006D5155" w:rsidP="005C776E">
      <w:pPr>
        <w:spacing w:line="360" w:lineRule="auto"/>
        <w:jc w:val="both"/>
        <w:rPr>
          <w:rFonts w:cs="Times New Roman"/>
          <w:b/>
          <w:i/>
          <w:sz w:val="24"/>
        </w:rPr>
      </w:pPr>
    </w:p>
    <w:p w:rsidR="006D5155" w:rsidRDefault="006D5155">
      <w:pPr>
        <w:rPr>
          <w:rFonts w:cs="Times New Roman"/>
          <w:b/>
          <w:i/>
          <w:sz w:val="24"/>
        </w:rPr>
      </w:pPr>
      <w:r>
        <w:rPr>
          <w:rFonts w:cs="Times New Roman"/>
          <w:b/>
          <w:i/>
          <w:sz w:val="24"/>
        </w:rPr>
        <w:br w:type="page"/>
      </w:r>
    </w:p>
    <w:p w:rsidR="005C776E" w:rsidRPr="005C776E" w:rsidRDefault="005C776E" w:rsidP="005C776E">
      <w:pPr>
        <w:spacing w:line="360" w:lineRule="auto"/>
        <w:jc w:val="both"/>
        <w:rPr>
          <w:rFonts w:cs="Times New Roman"/>
          <w:sz w:val="24"/>
        </w:rPr>
      </w:pPr>
      <w:r w:rsidRPr="00FB706A">
        <w:rPr>
          <w:rFonts w:cs="Times New Roman"/>
          <w:b/>
          <w:sz w:val="24"/>
        </w:rPr>
        <w:t>Supplementary Table 1</w:t>
      </w:r>
      <w:r w:rsidRPr="00FB706A">
        <w:rPr>
          <w:rFonts w:cs="Times New Roman"/>
          <w:sz w:val="24"/>
        </w:rPr>
        <w:t>:</w:t>
      </w:r>
      <w:r w:rsidRPr="005C776E">
        <w:rPr>
          <w:rFonts w:cs="Times New Roman"/>
          <w:sz w:val="24"/>
        </w:rPr>
        <w:t xml:space="preserve"> Details of clinical measures and their weights used for estimation of ageing trajectories in 5 body systems</w:t>
      </w:r>
      <w:r w:rsidR="00D17018">
        <w:rPr>
          <w:rFonts w:cs="Times New Roman"/>
          <w:sz w:val="24"/>
        </w:rPr>
        <w:t xml:space="preserve">. </w:t>
      </w:r>
    </w:p>
    <w:tbl>
      <w:tblPr>
        <w:tblStyle w:val="TableGrid"/>
        <w:tblW w:w="4966" w:type="pct"/>
        <w:tblBorders>
          <w:left w:val="none" w:sz="0" w:space="0" w:color="auto"/>
          <w:right w:val="none" w:sz="0" w:space="0" w:color="auto"/>
          <w:insideH w:val="none" w:sz="0" w:space="0" w:color="auto"/>
          <w:insideV w:val="none" w:sz="0" w:space="0" w:color="auto"/>
        </w:tblBorders>
        <w:tblLook w:val="04A0"/>
      </w:tblPr>
      <w:tblGrid>
        <w:gridCol w:w="2208"/>
        <w:gridCol w:w="4988"/>
        <w:gridCol w:w="1983"/>
      </w:tblGrid>
      <w:tr w:rsidR="005C776E" w:rsidRPr="005C776E">
        <w:trPr>
          <w:trHeight w:val="483"/>
        </w:trPr>
        <w:tc>
          <w:tcPr>
            <w:tcW w:w="1203" w:type="pct"/>
            <w:tcBorders>
              <w:top w:val="single" w:sz="4" w:space="0" w:color="auto"/>
              <w:bottom w:val="single" w:sz="12" w:space="0" w:color="auto"/>
            </w:tcBorders>
            <w:vAlign w:val="center"/>
          </w:tcPr>
          <w:p w:rsidR="005C776E" w:rsidRPr="005C776E" w:rsidRDefault="005C776E" w:rsidP="005C776E">
            <w:pPr>
              <w:rPr>
                <w:rFonts w:cs="Times New Roman"/>
                <w:b/>
                <w:sz w:val="24"/>
              </w:rPr>
            </w:pPr>
            <w:r w:rsidRPr="005C776E">
              <w:rPr>
                <w:rFonts w:cs="Times New Roman"/>
                <w:b/>
                <w:sz w:val="24"/>
              </w:rPr>
              <w:t>Body system</w:t>
            </w:r>
          </w:p>
        </w:tc>
        <w:tc>
          <w:tcPr>
            <w:tcW w:w="2717" w:type="pct"/>
            <w:tcBorders>
              <w:top w:val="single" w:sz="4" w:space="0" w:color="auto"/>
              <w:bottom w:val="single" w:sz="12" w:space="0" w:color="auto"/>
            </w:tcBorders>
            <w:vAlign w:val="center"/>
          </w:tcPr>
          <w:p w:rsidR="005C776E" w:rsidRPr="005C776E" w:rsidRDefault="005C776E" w:rsidP="005C776E">
            <w:pPr>
              <w:jc w:val="center"/>
              <w:rPr>
                <w:rFonts w:cs="Times New Roman"/>
                <w:b/>
                <w:sz w:val="24"/>
              </w:rPr>
            </w:pPr>
            <w:r w:rsidRPr="005C776E">
              <w:rPr>
                <w:rFonts w:cs="Times New Roman"/>
                <w:b/>
                <w:sz w:val="24"/>
              </w:rPr>
              <w:t>Measure</w:t>
            </w:r>
          </w:p>
        </w:tc>
        <w:tc>
          <w:tcPr>
            <w:tcW w:w="1080" w:type="pct"/>
            <w:tcBorders>
              <w:top w:val="single" w:sz="4" w:space="0" w:color="auto"/>
              <w:bottom w:val="single" w:sz="12" w:space="0" w:color="auto"/>
            </w:tcBorders>
            <w:vAlign w:val="center"/>
          </w:tcPr>
          <w:p w:rsidR="005C776E" w:rsidRPr="005C776E" w:rsidRDefault="005C776E" w:rsidP="005C776E">
            <w:pPr>
              <w:jc w:val="center"/>
              <w:rPr>
                <w:rFonts w:cs="Times New Roman"/>
                <w:b/>
                <w:sz w:val="24"/>
              </w:rPr>
            </w:pPr>
            <w:r w:rsidRPr="005C776E">
              <w:rPr>
                <w:rFonts w:cs="Times New Roman"/>
                <w:b/>
                <w:sz w:val="24"/>
              </w:rPr>
              <w:t>Weight</w:t>
            </w:r>
          </w:p>
        </w:tc>
      </w:tr>
      <w:tr w:rsidR="005C776E" w:rsidRPr="005C776E">
        <w:trPr>
          <w:trHeight w:val="5097"/>
        </w:trPr>
        <w:tc>
          <w:tcPr>
            <w:tcW w:w="1203" w:type="pct"/>
            <w:tcBorders>
              <w:top w:val="single" w:sz="12" w:space="0" w:color="auto"/>
              <w:bottom w:val="single" w:sz="2" w:space="0" w:color="auto"/>
            </w:tcBorders>
            <w:vAlign w:val="center"/>
          </w:tcPr>
          <w:p w:rsidR="005C776E" w:rsidRPr="005C776E" w:rsidRDefault="005C776E" w:rsidP="005C776E">
            <w:pPr>
              <w:textAlignment w:val="baseline"/>
              <w:rPr>
                <w:rFonts w:eastAsia="Times New Roman" w:cs="Times New Roman"/>
                <w:lang w:eastAsia="en-GB"/>
              </w:rPr>
            </w:pPr>
            <w:r w:rsidRPr="005C776E">
              <w:rPr>
                <w:rFonts w:eastAsia="MS PGothic" w:cs="Times New Roman"/>
                <w:color w:val="000000"/>
                <w:kern w:val="24"/>
                <w:position w:val="1"/>
                <w:lang w:eastAsia="en-GB"/>
              </w:rPr>
              <w:t>Cardiovascular</w:t>
            </w:r>
          </w:p>
        </w:tc>
        <w:tc>
          <w:tcPr>
            <w:tcW w:w="2717" w:type="pct"/>
            <w:tcBorders>
              <w:top w:val="single" w:sz="12" w:space="0" w:color="auto"/>
              <w:bottom w:val="single" w:sz="2" w:space="0" w:color="auto"/>
            </w:tcBorders>
            <w:vAlign w:val="center"/>
          </w:tcPr>
          <w:p w:rsidR="005C776E" w:rsidRPr="005C776E" w:rsidRDefault="005C776E" w:rsidP="005C776E">
            <w:pPr>
              <w:numPr>
                <w:ilvl w:val="0"/>
                <w:numId w:val="1"/>
              </w:numPr>
              <w:ind w:left="175" w:hanging="218"/>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 xml:space="preserve">Blood pressure: </w:t>
            </w:r>
          </w:p>
          <w:p w:rsidR="005C776E" w:rsidRPr="005C776E" w:rsidRDefault="005C776E" w:rsidP="005C776E">
            <w:pPr>
              <w:numPr>
                <w:ilvl w:val="1"/>
                <w:numId w:val="1"/>
              </w:numPr>
              <w:ind w:left="601"/>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 xml:space="preserve">Systolic </w:t>
            </w:r>
          </w:p>
          <w:p w:rsidR="005C776E" w:rsidRPr="005C776E" w:rsidRDefault="005C776E" w:rsidP="005C776E">
            <w:pPr>
              <w:numPr>
                <w:ilvl w:val="1"/>
                <w:numId w:val="1"/>
              </w:numPr>
              <w:ind w:left="601"/>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Diastolic</w:t>
            </w:r>
          </w:p>
          <w:p w:rsidR="005C776E" w:rsidRPr="005C776E" w:rsidRDefault="005C776E" w:rsidP="005C776E">
            <w:pPr>
              <w:numPr>
                <w:ilvl w:val="0"/>
                <w:numId w:val="1"/>
              </w:numPr>
              <w:ind w:left="175" w:hanging="218"/>
              <w:textAlignment w:val="baseline"/>
              <w:rPr>
                <w:rFonts w:eastAsia="Times New Roman" w:cs="Times New Roman"/>
                <w:lang w:eastAsia="en-GB"/>
              </w:rPr>
            </w:pPr>
            <w:r w:rsidRPr="005C776E">
              <w:rPr>
                <w:rFonts w:eastAsia="Times New Roman" w:cs="Times New Roman"/>
                <w:lang w:eastAsia="en-GB"/>
              </w:rPr>
              <w:t>Lipid profile:</w:t>
            </w:r>
          </w:p>
          <w:p w:rsidR="005C776E" w:rsidRPr="005C776E" w:rsidRDefault="005C776E" w:rsidP="005C776E">
            <w:pPr>
              <w:numPr>
                <w:ilvl w:val="1"/>
                <w:numId w:val="1"/>
              </w:numPr>
              <w:ind w:left="601"/>
              <w:textAlignment w:val="baseline"/>
              <w:rPr>
                <w:rFonts w:eastAsia="Times New Roman" w:cs="Times New Roman"/>
                <w:lang w:eastAsia="en-GB"/>
              </w:rPr>
            </w:pPr>
            <w:r w:rsidRPr="005C776E">
              <w:rPr>
                <w:rFonts w:eastAsia="MS PGothic" w:cs="Times New Roman"/>
                <w:color w:val="000000"/>
                <w:kern w:val="24"/>
                <w:position w:val="1"/>
                <w:lang w:eastAsia="en-GB"/>
              </w:rPr>
              <w:t xml:space="preserve">Total cholesterol </w:t>
            </w:r>
          </w:p>
          <w:p w:rsidR="005C776E" w:rsidRPr="005C776E" w:rsidRDefault="005C776E" w:rsidP="005C776E">
            <w:pPr>
              <w:numPr>
                <w:ilvl w:val="1"/>
                <w:numId w:val="1"/>
              </w:numPr>
              <w:ind w:left="601"/>
              <w:textAlignment w:val="baseline"/>
              <w:rPr>
                <w:rFonts w:eastAsia="Times New Roman" w:cs="Times New Roman"/>
                <w:lang w:eastAsia="en-GB"/>
              </w:rPr>
            </w:pPr>
            <w:r w:rsidRPr="005C776E">
              <w:rPr>
                <w:rFonts w:eastAsia="MS PGothic" w:cs="Times New Roman"/>
                <w:color w:val="000000"/>
                <w:kern w:val="24"/>
                <w:position w:val="1"/>
                <w:lang w:eastAsia="en-GB"/>
              </w:rPr>
              <w:t>High-density lipoprotein (HDL)</w:t>
            </w:r>
          </w:p>
          <w:p w:rsidR="005C776E" w:rsidRPr="005C776E" w:rsidRDefault="005C776E" w:rsidP="005C776E">
            <w:pPr>
              <w:numPr>
                <w:ilvl w:val="1"/>
                <w:numId w:val="1"/>
              </w:numPr>
              <w:ind w:left="601"/>
              <w:textAlignment w:val="baseline"/>
              <w:rPr>
                <w:rFonts w:eastAsia="Times New Roman" w:cs="Times New Roman"/>
                <w:lang w:eastAsia="en-GB"/>
              </w:rPr>
            </w:pPr>
            <w:r w:rsidRPr="005C776E">
              <w:rPr>
                <w:rFonts w:eastAsia="MS PGothic" w:cs="Times New Roman"/>
                <w:color w:val="000000"/>
                <w:kern w:val="24"/>
                <w:position w:val="1"/>
                <w:lang w:eastAsia="en-GB"/>
              </w:rPr>
              <w:t>Low-density lipoprotein (LDL)</w:t>
            </w:r>
          </w:p>
          <w:p w:rsidR="005C776E" w:rsidRPr="005C776E" w:rsidRDefault="005C776E" w:rsidP="005C776E">
            <w:pPr>
              <w:numPr>
                <w:ilvl w:val="1"/>
                <w:numId w:val="1"/>
              </w:numPr>
              <w:ind w:left="601"/>
              <w:textAlignment w:val="baseline"/>
              <w:rPr>
                <w:rFonts w:eastAsia="Times New Roman" w:cs="Times New Roman"/>
                <w:lang w:eastAsia="en-GB"/>
              </w:rPr>
            </w:pPr>
            <w:r w:rsidRPr="005C776E">
              <w:rPr>
                <w:rFonts w:eastAsia="MS PGothic" w:cs="Times New Roman"/>
                <w:color w:val="000000"/>
                <w:kern w:val="24"/>
                <w:position w:val="1"/>
                <w:lang w:eastAsia="en-GB"/>
              </w:rPr>
              <w:t>Triglyceride</w:t>
            </w:r>
          </w:p>
          <w:p w:rsidR="005C776E" w:rsidRPr="005C776E" w:rsidRDefault="005C776E" w:rsidP="005C776E">
            <w:pPr>
              <w:numPr>
                <w:ilvl w:val="0"/>
                <w:numId w:val="1"/>
              </w:numPr>
              <w:ind w:left="175" w:hanging="218"/>
              <w:textAlignment w:val="baseline"/>
              <w:rPr>
                <w:rFonts w:eastAsia="Times New Roman" w:cs="Times New Roman"/>
                <w:lang w:eastAsia="en-GB"/>
              </w:rPr>
            </w:pPr>
            <w:r w:rsidRPr="005C776E">
              <w:rPr>
                <w:rFonts w:eastAsia="MS PGothic" w:cs="Times New Roman"/>
                <w:color w:val="000000"/>
                <w:kern w:val="24"/>
                <w:position w:val="1"/>
                <w:lang w:eastAsia="en-GB"/>
              </w:rPr>
              <w:t>ECG measures:</w:t>
            </w:r>
          </w:p>
          <w:p w:rsidR="005C776E" w:rsidRPr="005C776E" w:rsidRDefault="005C776E" w:rsidP="005C776E">
            <w:pPr>
              <w:numPr>
                <w:ilvl w:val="0"/>
                <w:numId w:val="2"/>
              </w:numPr>
              <w:ind w:left="601"/>
              <w:textAlignment w:val="baseline"/>
              <w:rPr>
                <w:rFonts w:eastAsia="Times New Roman" w:cs="Times New Roman"/>
                <w:lang w:eastAsia="en-GB"/>
              </w:rPr>
            </w:pPr>
            <w:r w:rsidRPr="005C776E">
              <w:rPr>
                <w:rFonts w:eastAsia="Times New Roman" w:cs="Times New Roman"/>
                <w:lang w:eastAsia="en-GB"/>
              </w:rPr>
              <w:t>PR interval</w:t>
            </w:r>
          </w:p>
          <w:p w:rsidR="005C776E" w:rsidRPr="005C776E" w:rsidRDefault="005C776E" w:rsidP="005C776E">
            <w:pPr>
              <w:numPr>
                <w:ilvl w:val="0"/>
                <w:numId w:val="2"/>
              </w:numPr>
              <w:ind w:left="601"/>
              <w:textAlignment w:val="baseline"/>
              <w:rPr>
                <w:rFonts w:eastAsia="Times New Roman" w:cs="Times New Roman"/>
                <w:lang w:eastAsia="en-GB"/>
              </w:rPr>
            </w:pPr>
            <w:r w:rsidRPr="005C776E">
              <w:rPr>
                <w:rFonts w:eastAsia="Times New Roman" w:cs="Times New Roman"/>
                <w:lang w:eastAsia="en-GB"/>
              </w:rPr>
              <w:t>QRS axis</w:t>
            </w:r>
          </w:p>
          <w:p w:rsidR="005C776E" w:rsidRPr="005C776E" w:rsidRDefault="005C776E" w:rsidP="005C776E">
            <w:pPr>
              <w:numPr>
                <w:ilvl w:val="0"/>
                <w:numId w:val="2"/>
              </w:numPr>
              <w:ind w:left="601"/>
              <w:textAlignment w:val="baseline"/>
              <w:rPr>
                <w:rFonts w:eastAsia="Times New Roman" w:cs="Times New Roman"/>
                <w:lang w:eastAsia="en-GB"/>
              </w:rPr>
            </w:pPr>
            <w:r w:rsidRPr="005C776E">
              <w:rPr>
                <w:rFonts w:eastAsia="Times New Roman" w:cs="Times New Roman"/>
                <w:lang w:eastAsia="en-GB"/>
              </w:rPr>
              <w:t>QT interval</w:t>
            </w:r>
          </w:p>
          <w:p w:rsidR="005C776E" w:rsidRPr="005C776E" w:rsidRDefault="005C776E" w:rsidP="005C776E">
            <w:pPr>
              <w:numPr>
                <w:ilvl w:val="0"/>
                <w:numId w:val="1"/>
              </w:numPr>
              <w:ind w:left="175" w:hanging="218"/>
              <w:textAlignment w:val="baseline"/>
              <w:rPr>
                <w:rFonts w:eastAsia="Times New Roman" w:cs="Times New Roman"/>
                <w:lang w:eastAsia="en-GB"/>
              </w:rPr>
            </w:pPr>
            <w:r w:rsidRPr="005C776E">
              <w:rPr>
                <w:rFonts w:eastAsia="MS PGothic" w:cs="Times New Roman"/>
                <w:color w:val="000000"/>
                <w:kern w:val="24"/>
                <w:position w:val="1"/>
                <w:lang w:eastAsia="en-GB"/>
              </w:rPr>
              <w:t>Serum risk factors:</w:t>
            </w:r>
          </w:p>
          <w:p w:rsidR="005C776E" w:rsidRPr="005C776E" w:rsidRDefault="005C776E" w:rsidP="005C776E">
            <w:pPr>
              <w:numPr>
                <w:ilvl w:val="0"/>
                <w:numId w:val="3"/>
              </w:numPr>
              <w:ind w:left="601"/>
              <w:textAlignment w:val="baseline"/>
              <w:rPr>
                <w:rFonts w:eastAsia="Times New Roman" w:cs="Times New Roman"/>
                <w:lang w:eastAsia="en-GB"/>
              </w:rPr>
            </w:pPr>
            <w:proofErr w:type="spellStart"/>
            <w:r w:rsidRPr="005C776E">
              <w:rPr>
                <w:rFonts w:eastAsia="MS PGothic" w:cs="Times New Roman"/>
                <w:color w:val="000000"/>
                <w:kern w:val="24"/>
                <w:position w:val="1"/>
                <w:lang w:eastAsia="en-GB"/>
              </w:rPr>
              <w:t>Adiponectin</w:t>
            </w:r>
            <w:proofErr w:type="spellEnd"/>
          </w:p>
          <w:p w:rsidR="005C776E" w:rsidRPr="005C776E" w:rsidRDefault="005C776E" w:rsidP="005C776E">
            <w:pPr>
              <w:numPr>
                <w:ilvl w:val="0"/>
                <w:numId w:val="3"/>
              </w:numPr>
              <w:ind w:left="601"/>
              <w:textAlignment w:val="baseline"/>
              <w:rPr>
                <w:rFonts w:eastAsia="Times New Roman" w:cs="Times New Roman"/>
                <w:lang w:eastAsia="en-GB"/>
              </w:rPr>
            </w:pPr>
            <w:proofErr w:type="spellStart"/>
            <w:r w:rsidRPr="005C776E">
              <w:rPr>
                <w:rFonts w:eastAsia="MS PGothic" w:cs="Times New Roman"/>
                <w:color w:val="000000"/>
                <w:kern w:val="24"/>
                <w:position w:val="1"/>
                <w:lang w:eastAsia="en-GB"/>
              </w:rPr>
              <w:t>Homocysteine</w:t>
            </w:r>
            <w:proofErr w:type="spellEnd"/>
          </w:p>
          <w:p w:rsidR="005C776E" w:rsidRPr="005C776E" w:rsidRDefault="005C776E" w:rsidP="005C776E">
            <w:pPr>
              <w:numPr>
                <w:ilvl w:val="0"/>
                <w:numId w:val="3"/>
              </w:numPr>
              <w:ind w:left="601"/>
              <w:textAlignment w:val="baseline"/>
              <w:rPr>
                <w:rFonts w:eastAsia="Times New Roman" w:cs="Times New Roman"/>
                <w:lang w:eastAsia="en-GB"/>
              </w:rPr>
            </w:pPr>
            <w:r w:rsidRPr="005C776E">
              <w:rPr>
                <w:rFonts w:eastAsia="MS PGothic" w:cs="Times New Roman"/>
                <w:color w:val="000000"/>
                <w:kern w:val="24"/>
                <w:position w:val="1"/>
                <w:lang w:eastAsia="en-GB"/>
              </w:rPr>
              <w:t>Fibrinogen</w:t>
            </w:r>
          </w:p>
          <w:p w:rsidR="005C776E" w:rsidRPr="005C776E" w:rsidRDefault="005C776E" w:rsidP="005C776E">
            <w:pPr>
              <w:numPr>
                <w:ilvl w:val="0"/>
                <w:numId w:val="3"/>
              </w:numPr>
              <w:ind w:left="601"/>
              <w:textAlignment w:val="baseline"/>
              <w:rPr>
                <w:rFonts w:eastAsia="Times New Roman" w:cs="Times New Roman"/>
                <w:lang w:eastAsia="en-GB"/>
              </w:rPr>
            </w:pPr>
            <w:r w:rsidRPr="005C776E">
              <w:rPr>
                <w:rFonts w:eastAsia="MS PGothic" w:cs="Times New Roman"/>
                <w:color w:val="000000"/>
                <w:kern w:val="24"/>
                <w:position w:val="1"/>
                <w:lang w:eastAsia="en-GB"/>
              </w:rPr>
              <w:t xml:space="preserve">Leptin </w:t>
            </w:r>
          </w:p>
          <w:p w:rsidR="005C776E" w:rsidRPr="005C776E" w:rsidRDefault="005C776E" w:rsidP="005C776E">
            <w:pPr>
              <w:numPr>
                <w:ilvl w:val="0"/>
                <w:numId w:val="3"/>
              </w:numPr>
              <w:ind w:left="601"/>
              <w:textAlignment w:val="baseline"/>
              <w:rPr>
                <w:rFonts w:eastAsia="Times New Roman" w:cs="Times New Roman"/>
                <w:lang w:eastAsia="en-GB"/>
              </w:rPr>
            </w:pPr>
            <w:r w:rsidRPr="005C776E">
              <w:rPr>
                <w:rFonts w:eastAsia="MS PGothic" w:cs="Times New Roman"/>
                <w:color w:val="000000"/>
                <w:kern w:val="24"/>
                <w:position w:val="1"/>
                <w:lang w:eastAsia="en-GB"/>
              </w:rPr>
              <w:t xml:space="preserve">Apolipoprotein A-I </w:t>
            </w:r>
          </w:p>
          <w:p w:rsidR="005C776E" w:rsidRPr="005C776E" w:rsidRDefault="005C776E" w:rsidP="005C776E">
            <w:pPr>
              <w:numPr>
                <w:ilvl w:val="0"/>
                <w:numId w:val="3"/>
              </w:numPr>
              <w:ind w:left="601"/>
              <w:textAlignment w:val="baseline"/>
              <w:rPr>
                <w:rFonts w:eastAsia="Times New Roman" w:cs="Times New Roman"/>
                <w:lang w:eastAsia="en-GB"/>
              </w:rPr>
            </w:pPr>
            <w:r w:rsidRPr="005C776E">
              <w:rPr>
                <w:rFonts w:eastAsia="Times New Roman" w:cs="Times New Roman"/>
                <w:lang w:eastAsia="en-GB"/>
              </w:rPr>
              <w:t>Apolipoprotein B</w:t>
            </w:r>
          </w:p>
        </w:tc>
        <w:tc>
          <w:tcPr>
            <w:tcW w:w="1080" w:type="pct"/>
            <w:tcBorders>
              <w:top w:val="single" w:sz="12" w:space="0" w:color="auto"/>
              <w:bottom w:val="single" w:sz="2" w:space="0" w:color="auto"/>
            </w:tcBorders>
            <w:vAlign w:val="center"/>
          </w:tcPr>
          <w:p w:rsidR="005C776E" w:rsidRPr="005C776E" w:rsidRDefault="005C776E" w:rsidP="005C776E">
            <w:pPr>
              <w:numPr>
                <w:ilvl w:val="0"/>
                <w:numId w:val="4"/>
              </w:numPr>
              <w:ind w:left="355"/>
              <w:contextualSpacing/>
              <w:rPr>
                <w:rFonts w:cs="Times New Roman"/>
              </w:rPr>
            </w:pPr>
            <w:r w:rsidRPr="005C776E">
              <w:rPr>
                <w:rFonts w:cs="Times New Roman"/>
              </w:rPr>
              <w:t>1</w:t>
            </w:r>
          </w:p>
          <w:p w:rsidR="005C776E" w:rsidRPr="005C776E" w:rsidRDefault="005C776E" w:rsidP="005C776E">
            <w:pPr>
              <w:numPr>
                <w:ilvl w:val="1"/>
                <w:numId w:val="4"/>
              </w:numPr>
              <w:ind w:left="638"/>
              <w:contextualSpacing/>
              <w:rPr>
                <w:rFonts w:cs="Times New Roman"/>
              </w:rPr>
            </w:pPr>
            <w:r w:rsidRPr="005C776E">
              <w:rPr>
                <w:rFonts w:cs="Times New Roman"/>
              </w:rPr>
              <w:t>0.5</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0.5</w:t>
            </w:r>
            <w:r w:rsidR="00D17018">
              <w:rPr>
                <w:rFonts w:cs="Times New Roman"/>
              </w:rPr>
              <w:t>*</w:t>
            </w:r>
          </w:p>
          <w:p w:rsidR="005C776E" w:rsidRPr="005C776E" w:rsidRDefault="005C776E" w:rsidP="005C776E">
            <w:pPr>
              <w:numPr>
                <w:ilvl w:val="0"/>
                <w:numId w:val="4"/>
              </w:numPr>
              <w:ind w:left="355"/>
              <w:contextualSpacing/>
              <w:rPr>
                <w:rFonts w:cs="Times New Roman"/>
              </w:rPr>
            </w:pPr>
            <w:r w:rsidRPr="005C776E">
              <w:rPr>
                <w:rFonts w:cs="Times New Roman"/>
              </w:rPr>
              <w:t>1</w:t>
            </w:r>
          </w:p>
          <w:p w:rsidR="005C776E" w:rsidRPr="005C776E" w:rsidRDefault="005C776E" w:rsidP="005C776E">
            <w:pPr>
              <w:numPr>
                <w:ilvl w:val="1"/>
                <w:numId w:val="4"/>
              </w:numPr>
              <w:ind w:left="638"/>
              <w:contextualSpacing/>
              <w:rPr>
                <w:rFonts w:cs="Times New Roman"/>
              </w:rPr>
            </w:pPr>
            <w:r w:rsidRPr="005C776E">
              <w:rPr>
                <w:rFonts w:cs="Times New Roman"/>
              </w:rPr>
              <w:t>0.25</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0.25</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0.25</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0.25</w:t>
            </w:r>
            <w:r w:rsidR="00D17018">
              <w:rPr>
                <w:rFonts w:cs="Times New Roman"/>
              </w:rPr>
              <w:t>*</w:t>
            </w:r>
          </w:p>
          <w:p w:rsidR="005C776E" w:rsidRPr="005C776E" w:rsidRDefault="005C776E" w:rsidP="005C776E">
            <w:pPr>
              <w:numPr>
                <w:ilvl w:val="0"/>
                <w:numId w:val="4"/>
              </w:numPr>
              <w:ind w:left="355"/>
              <w:contextualSpacing/>
              <w:rPr>
                <w:rFonts w:cs="Times New Roman"/>
              </w:rPr>
            </w:pPr>
            <w:r w:rsidRPr="005C776E">
              <w:rPr>
                <w:rFonts w:cs="Times New Roman"/>
              </w:rPr>
              <w:t>1</w:t>
            </w:r>
          </w:p>
          <w:p w:rsidR="005C776E" w:rsidRPr="005C776E" w:rsidRDefault="005C776E" w:rsidP="005C776E">
            <w:pPr>
              <w:numPr>
                <w:ilvl w:val="1"/>
                <w:numId w:val="4"/>
              </w:numPr>
              <w:ind w:left="638"/>
              <w:contextualSpacing/>
              <w:rPr>
                <w:rFonts w:cs="Times New Roman"/>
              </w:rPr>
            </w:pPr>
            <w:r w:rsidRPr="005C776E">
              <w:rPr>
                <w:rFonts w:cs="Times New Roman"/>
              </w:rPr>
              <w:t>0.33</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0.33</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0.33</w:t>
            </w:r>
            <w:r w:rsidR="00D17018">
              <w:rPr>
                <w:rFonts w:cs="Times New Roman"/>
              </w:rPr>
              <w:t>*</w:t>
            </w:r>
          </w:p>
          <w:p w:rsidR="005C776E" w:rsidRPr="005C776E" w:rsidRDefault="005C776E" w:rsidP="005C776E">
            <w:pPr>
              <w:numPr>
                <w:ilvl w:val="0"/>
                <w:numId w:val="4"/>
              </w:numPr>
              <w:ind w:left="355"/>
              <w:contextualSpacing/>
              <w:rPr>
                <w:rFonts w:cs="Times New Roman"/>
              </w:rPr>
            </w:pPr>
            <w:r w:rsidRPr="005C776E">
              <w:rPr>
                <w:rFonts w:cs="Times New Roman"/>
              </w:rPr>
              <w:t>1</w:t>
            </w:r>
          </w:p>
          <w:p w:rsidR="005C776E" w:rsidRPr="005C776E" w:rsidRDefault="005C776E" w:rsidP="005C776E">
            <w:pPr>
              <w:numPr>
                <w:ilvl w:val="1"/>
                <w:numId w:val="4"/>
              </w:numPr>
              <w:ind w:left="638"/>
              <w:contextualSpacing/>
              <w:rPr>
                <w:rFonts w:cs="Times New Roman"/>
              </w:rPr>
            </w:pPr>
            <w:r w:rsidRPr="005C776E">
              <w:rPr>
                <w:rFonts w:cs="Times New Roman"/>
              </w:rPr>
              <w:t>0.16</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0.16</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0.16</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0.16</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0.16</w:t>
            </w:r>
            <w:r w:rsidR="00D17018">
              <w:rPr>
                <w:rFonts w:cs="Times New Roman"/>
              </w:rPr>
              <w:t>*</w:t>
            </w:r>
          </w:p>
          <w:p w:rsidR="005C776E" w:rsidRPr="005C776E" w:rsidRDefault="005C776E" w:rsidP="005C776E">
            <w:pPr>
              <w:numPr>
                <w:ilvl w:val="1"/>
                <w:numId w:val="4"/>
              </w:numPr>
              <w:ind w:left="638"/>
              <w:contextualSpacing/>
              <w:rPr>
                <w:rFonts w:cs="Times New Roman"/>
              </w:rPr>
            </w:pPr>
            <w:r w:rsidRPr="005C776E">
              <w:rPr>
                <w:rFonts w:cs="Times New Roman"/>
              </w:rPr>
              <w:t>0.16</w:t>
            </w:r>
            <w:r w:rsidR="00D17018">
              <w:rPr>
                <w:rFonts w:cs="Times New Roman"/>
              </w:rPr>
              <w:t>*</w:t>
            </w:r>
          </w:p>
        </w:tc>
      </w:tr>
      <w:tr w:rsidR="005C776E" w:rsidRPr="005C776E">
        <w:trPr>
          <w:trHeight w:val="987"/>
        </w:trPr>
        <w:tc>
          <w:tcPr>
            <w:tcW w:w="1203" w:type="pct"/>
            <w:tcBorders>
              <w:top w:val="single" w:sz="2" w:space="0" w:color="auto"/>
              <w:bottom w:val="single" w:sz="2" w:space="0" w:color="auto"/>
            </w:tcBorders>
            <w:vAlign w:val="center"/>
          </w:tcPr>
          <w:p w:rsidR="005C776E" w:rsidRPr="005C776E" w:rsidRDefault="005C776E" w:rsidP="005C776E">
            <w:pPr>
              <w:textAlignment w:val="baseline"/>
              <w:rPr>
                <w:rFonts w:eastAsia="Times New Roman" w:cs="Times New Roman"/>
                <w:lang w:eastAsia="en-GB"/>
              </w:rPr>
            </w:pPr>
            <w:r w:rsidRPr="005C776E">
              <w:rPr>
                <w:rFonts w:eastAsia="MS PGothic" w:cs="Times New Roman"/>
                <w:color w:val="000000"/>
                <w:kern w:val="24"/>
                <w:position w:val="1"/>
                <w:lang w:eastAsia="en-GB"/>
              </w:rPr>
              <w:t>Respiratory</w:t>
            </w:r>
          </w:p>
        </w:tc>
        <w:tc>
          <w:tcPr>
            <w:tcW w:w="2717" w:type="pct"/>
            <w:tcBorders>
              <w:top w:val="single" w:sz="2" w:space="0" w:color="auto"/>
              <w:bottom w:val="single" w:sz="2" w:space="0" w:color="auto"/>
            </w:tcBorders>
            <w:vAlign w:val="center"/>
          </w:tcPr>
          <w:p w:rsidR="005C776E" w:rsidRPr="005C776E" w:rsidRDefault="005C776E" w:rsidP="005C776E">
            <w:pPr>
              <w:numPr>
                <w:ilvl w:val="0"/>
                <w:numId w:val="5"/>
              </w:numPr>
              <w:ind w:left="202" w:hanging="218"/>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Forced expiratory volume in 1 sec (FEV</w:t>
            </w:r>
            <w:r w:rsidRPr="005C776E">
              <w:rPr>
                <w:rFonts w:eastAsia="MS PGothic" w:cs="Times New Roman"/>
                <w:color w:val="000000"/>
                <w:kern w:val="24"/>
                <w:position w:val="1"/>
                <w:vertAlign w:val="subscript"/>
                <w:lang w:eastAsia="en-GB"/>
              </w:rPr>
              <w:t>1</w:t>
            </w:r>
            <w:r w:rsidRPr="005C776E">
              <w:rPr>
                <w:rFonts w:eastAsia="MS PGothic" w:cs="Times New Roman"/>
                <w:color w:val="000000"/>
                <w:kern w:val="24"/>
                <w:position w:val="1"/>
                <w:lang w:eastAsia="en-GB"/>
              </w:rPr>
              <w:t>)</w:t>
            </w:r>
          </w:p>
          <w:p w:rsidR="005C776E" w:rsidRPr="005C776E" w:rsidRDefault="005C776E" w:rsidP="005C776E">
            <w:pPr>
              <w:numPr>
                <w:ilvl w:val="0"/>
                <w:numId w:val="5"/>
              </w:numPr>
              <w:ind w:left="202" w:hanging="218"/>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 xml:space="preserve">Forced vital capacity (FVC) </w:t>
            </w:r>
          </w:p>
          <w:p w:rsidR="005C776E" w:rsidRPr="005C776E" w:rsidRDefault="005C776E" w:rsidP="005C776E">
            <w:pPr>
              <w:numPr>
                <w:ilvl w:val="0"/>
                <w:numId w:val="5"/>
              </w:numPr>
              <w:ind w:left="202" w:hanging="218"/>
              <w:textAlignment w:val="baseline"/>
              <w:rPr>
                <w:rFonts w:eastAsia="Times New Roman" w:cs="Times New Roman"/>
                <w:lang w:eastAsia="en-GB"/>
              </w:rPr>
            </w:pPr>
            <w:r w:rsidRPr="005C776E">
              <w:rPr>
                <w:rFonts w:eastAsia="MS PGothic" w:cs="Times New Roman"/>
                <w:color w:val="000000"/>
                <w:kern w:val="24"/>
                <w:position w:val="1"/>
                <w:lang w:eastAsia="en-GB"/>
              </w:rPr>
              <w:t>FEV</w:t>
            </w:r>
            <w:r w:rsidRPr="005C776E">
              <w:rPr>
                <w:rFonts w:eastAsia="MS PGothic" w:cs="Times New Roman"/>
                <w:color w:val="000000"/>
                <w:kern w:val="24"/>
                <w:position w:val="1"/>
                <w:vertAlign w:val="subscript"/>
                <w:lang w:eastAsia="en-GB"/>
              </w:rPr>
              <w:t>1</w:t>
            </w:r>
            <w:r w:rsidRPr="005C776E">
              <w:rPr>
                <w:rFonts w:eastAsia="MS PGothic" w:cs="Times New Roman"/>
                <w:color w:val="000000"/>
                <w:kern w:val="24"/>
                <w:position w:val="1"/>
                <w:lang w:eastAsia="en-GB"/>
              </w:rPr>
              <w:t>/FVC ratio</w:t>
            </w:r>
          </w:p>
        </w:tc>
        <w:tc>
          <w:tcPr>
            <w:tcW w:w="1080" w:type="pct"/>
            <w:tcBorders>
              <w:top w:val="single" w:sz="2" w:space="0" w:color="auto"/>
              <w:bottom w:val="single" w:sz="2" w:space="0" w:color="auto"/>
            </w:tcBorders>
            <w:vAlign w:val="center"/>
          </w:tcPr>
          <w:p w:rsidR="005C776E" w:rsidRPr="005C776E" w:rsidRDefault="005C776E" w:rsidP="005C776E">
            <w:pPr>
              <w:numPr>
                <w:ilvl w:val="0"/>
                <w:numId w:val="6"/>
              </w:numPr>
              <w:ind w:left="318"/>
              <w:contextualSpacing/>
              <w:rPr>
                <w:rFonts w:cs="Times New Roman"/>
              </w:rPr>
            </w:pPr>
            <w:r w:rsidRPr="005C776E">
              <w:rPr>
                <w:rFonts w:cs="Times New Roman"/>
              </w:rPr>
              <w:t>1</w:t>
            </w:r>
          </w:p>
          <w:p w:rsidR="005C776E" w:rsidRPr="005C776E" w:rsidRDefault="005C776E" w:rsidP="005C776E">
            <w:pPr>
              <w:numPr>
                <w:ilvl w:val="0"/>
                <w:numId w:val="6"/>
              </w:numPr>
              <w:ind w:left="318"/>
              <w:contextualSpacing/>
              <w:rPr>
                <w:rFonts w:cs="Times New Roman"/>
              </w:rPr>
            </w:pPr>
            <w:r w:rsidRPr="005C776E">
              <w:rPr>
                <w:rFonts w:cs="Times New Roman"/>
              </w:rPr>
              <w:t>1</w:t>
            </w:r>
          </w:p>
          <w:p w:rsidR="005C776E" w:rsidRPr="005C776E" w:rsidRDefault="005C776E" w:rsidP="005C776E">
            <w:pPr>
              <w:numPr>
                <w:ilvl w:val="0"/>
                <w:numId w:val="6"/>
              </w:numPr>
              <w:ind w:left="318"/>
              <w:contextualSpacing/>
              <w:rPr>
                <w:rFonts w:cs="Times New Roman"/>
              </w:rPr>
            </w:pPr>
            <w:r w:rsidRPr="005C776E">
              <w:rPr>
                <w:rFonts w:cs="Times New Roman"/>
              </w:rPr>
              <w:t>1</w:t>
            </w:r>
          </w:p>
        </w:tc>
      </w:tr>
      <w:tr w:rsidR="005C776E" w:rsidRPr="005C776E">
        <w:trPr>
          <w:trHeight w:val="1257"/>
        </w:trPr>
        <w:tc>
          <w:tcPr>
            <w:tcW w:w="1203" w:type="pct"/>
            <w:tcBorders>
              <w:top w:val="single" w:sz="2" w:space="0" w:color="auto"/>
              <w:bottom w:val="single" w:sz="2" w:space="0" w:color="auto"/>
            </w:tcBorders>
            <w:vAlign w:val="center"/>
          </w:tcPr>
          <w:p w:rsidR="005C776E" w:rsidRPr="005C776E" w:rsidRDefault="005C776E" w:rsidP="005C776E">
            <w:pPr>
              <w:textAlignment w:val="baseline"/>
              <w:rPr>
                <w:rFonts w:eastAsia="Times New Roman" w:cs="Times New Roman"/>
                <w:lang w:eastAsia="en-GB"/>
              </w:rPr>
            </w:pPr>
            <w:r w:rsidRPr="005C776E">
              <w:rPr>
                <w:rFonts w:eastAsia="MS PGothic" w:cs="Times New Roman"/>
                <w:color w:val="000000"/>
                <w:kern w:val="24"/>
                <w:position w:val="1"/>
                <w:lang w:eastAsia="en-GB"/>
              </w:rPr>
              <w:t>Morphometric</w:t>
            </w:r>
          </w:p>
        </w:tc>
        <w:tc>
          <w:tcPr>
            <w:tcW w:w="2717" w:type="pct"/>
            <w:tcBorders>
              <w:top w:val="single" w:sz="2" w:space="0" w:color="auto"/>
              <w:bottom w:val="single" w:sz="2" w:space="0" w:color="auto"/>
            </w:tcBorders>
            <w:vAlign w:val="center"/>
          </w:tcPr>
          <w:p w:rsidR="005C776E" w:rsidRPr="005C776E" w:rsidRDefault="005C776E" w:rsidP="005C776E">
            <w:pPr>
              <w:numPr>
                <w:ilvl w:val="0"/>
                <w:numId w:val="7"/>
              </w:numPr>
              <w:ind w:left="201" w:hanging="218"/>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Total body fat mass</w:t>
            </w:r>
          </w:p>
          <w:p w:rsidR="005C776E" w:rsidRPr="005C776E" w:rsidRDefault="005C776E" w:rsidP="005C776E">
            <w:pPr>
              <w:numPr>
                <w:ilvl w:val="0"/>
                <w:numId w:val="7"/>
              </w:numPr>
              <w:ind w:left="201" w:hanging="218"/>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Total body lean mass</w:t>
            </w:r>
          </w:p>
          <w:p w:rsidR="005C776E" w:rsidRPr="005C776E" w:rsidRDefault="005C776E" w:rsidP="005C776E">
            <w:pPr>
              <w:numPr>
                <w:ilvl w:val="0"/>
                <w:numId w:val="7"/>
              </w:numPr>
              <w:ind w:left="201" w:hanging="218"/>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Total body bone mineral content</w:t>
            </w:r>
          </w:p>
          <w:p w:rsidR="005C776E" w:rsidRPr="005C776E" w:rsidRDefault="005C776E" w:rsidP="005C776E">
            <w:pPr>
              <w:numPr>
                <w:ilvl w:val="0"/>
                <w:numId w:val="7"/>
              </w:numPr>
              <w:ind w:left="201" w:hanging="218"/>
              <w:textAlignment w:val="baseline"/>
              <w:rPr>
                <w:rFonts w:eastAsia="Times New Roman" w:cs="Times New Roman"/>
                <w:lang w:eastAsia="en-GB"/>
              </w:rPr>
            </w:pPr>
            <w:r w:rsidRPr="005C776E">
              <w:rPr>
                <w:rFonts w:eastAsia="MS PGothic" w:cs="Times New Roman"/>
                <w:color w:val="000000"/>
                <w:kern w:val="24"/>
                <w:position w:val="1"/>
                <w:lang w:eastAsia="en-GB"/>
              </w:rPr>
              <w:t>Grip strength</w:t>
            </w:r>
          </w:p>
        </w:tc>
        <w:tc>
          <w:tcPr>
            <w:tcW w:w="1080" w:type="pct"/>
            <w:tcBorders>
              <w:top w:val="single" w:sz="2" w:space="0" w:color="auto"/>
              <w:bottom w:val="single" w:sz="2" w:space="0" w:color="auto"/>
            </w:tcBorders>
            <w:vAlign w:val="center"/>
          </w:tcPr>
          <w:p w:rsidR="005C776E" w:rsidRPr="005C776E" w:rsidRDefault="005C776E" w:rsidP="005C776E">
            <w:pPr>
              <w:numPr>
                <w:ilvl w:val="0"/>
                <w:numId w:val="6"/>
              </w:numPr>
              <w:ind w:left="318"/>
              <w:contextualSpacing/>
              <w:rPr>
                <w:rFonts w:cs="Times New Roman"/>
              </w:rPr>
            </w:pPr>
            <w:r w:rsidRPr="005C776E">
              <w:rPr>
                <w:rFonts w:cs="Times New Roman"/>
              </w:rPr>
              <w:t>1</w:t>
            </w:r>
          </w:p>
          <w:p w:rsidR="005C776E" w:rsidRPr="005C776E" w:rsidRDefault="005C776E" w:rsidP="005C776E">
            <w:pPr>
              <w:numPr>
                <w:ilvl w:val="0"/>
                <w:numId w:val="6"/>
              </w:numPr>
              <w:ind w:left="318"/>
              <w:contextualSpacing/>
              <w:rPr>
                <w:rFonts w:cs="Times New Roman"/>
              </w:rPr>
            </w:pPr>
            <w:r w:rsidRPr="005C776E">
              <w:rPr>
                <w:rFonts w:cs="Times New Roman"/>
              </w:rPr>
              <w:t>1</w:t>
            </w:r>
          </w:p>
          <w:p w:rsidR="005C776E" w:rsidRPr="005C776E" w:rsidRDefault="005C776E" w:rsidP="005C776E">
            <w:pPr>
              <w:numPr>
                <w:ilvl w:val="0"/>
                <w:numId w:val="6"/>
              </w:numPr>
              <w:ind w:left="318"/>
              <w:contextualSpacing/>
              <w:rPr>
                <w:rFonts w:cs="Times New Roman"/>
              </w:rPr>
            </w:pPr>
            <w:r w:rsidRPr="005C776E">
              <w:rPr>
                <w:rFonts w:cs="Times New Roman"/>
              </w:rPr>
              <w:t>1</w:t>
            </w:r>
          </w:p>
          <w:p w:rsidR="005C776E" w:rsidRPr="005C776E" w:rsidRDefault="005C776E" w:rsidP="005C776E">
            <w:pPr>
              <w:numPr>
                <w:ilvl w:val="0"/>
                <w:numId w:val="6"/>
              </w:numPr>
              <w:ind w:left="318"/>
              <w:contextualSpacing/>
              <w:rPr>
                <w:rFonts w:cs="Times New Roman"/>
              </w:rPr>
            </w:pPr>
            <w:r w:rsidRPr="005C776E">
              <w:rPr>
                <w:rFonts w:cs="Times New Roman"/>
              </w:rPr>
              <w:t>1</w:t>
            </w:r>
          </w:p>
        </w:tc>
      </w:tr>
      <w:tr w:rsidR="005C776E" w:rsidRPr="005C776E">
        <w:trPr>
          <w:trHeight w:val="1970"/>
        </w:trPr>
        <w:tc>
          <w:tcPr>
            <w:tcW w:w="1203" w:type="pct"/>
            <w:tcBorders>
              <w:top w:val="single" w:sz="2" w:space="0" w:color="auto"/>
              <w:bottom w:val="single" w:sz="2" w:space="0" w:color="auto"/>
            </w:tcBorders>
            <w:vAlign w:val="center"/>
          </w:tcPr>
          <w:p w:rsidR="005C776E" w:rsidRPr="005C776E" w:rsidRDefault="005C776E" w:rsidP="005C776E">
            <w:pPr>
              <w:textAlignment w:val="baseline"/>
              <w:rPr>
                <w:rFonts w:eastAsia="Times New Roman" w:cs="Times New Roman"/>
                <w:lang w:eastAsia="en-GB"/>
              </w:rPr>
            </w:pPr>
            <w:r w:rsidRPr="005C776E">
              <w:rPr>
                <w:rFonts w:eastAsia="MS PGothic" w:cs="Times New Roman"/>
                <w:color w:val="000000"/>
                <w:kern w:val="24"/>
                <w:position w:val="1"/>
                <w:lang w:eastAsia="en-GB"/>
              </w:rPr>
              <w:t>Skeletal</w:t>
            </w:r>
          </w:p>
        </w:tc>
        <w:tc>
          <w:tcPr>
            <w:tcW w:w="2717" w:type="pct"/>
            <w:tcBorders>
              <w:top w:val="single" w:sz="2" w:space="0" w:color="auto"/>
              <w:bottom w:val="single" w:sz="2" w:space="0" w:color="auto"/>
            </w:tcBorders>
            <w:vAlign w:val="center"/>
          </w:tcPr>
          <w:p w:rsidR="005C776E" w:rsidRPr="005C776E" w:rsidRDefault="005C776E" w:rsidP="005C776E">
            <w:pPr>
              <w:numPr>
                <w:ilvl w:val="0"/>
                <w:numId w:val="8"/>
              </w:numPr>
              <w:ind w:left="201" w:hanging="218"/>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Hip bone mineral density (BMD):</w:t>
            </w:r>
          </w:p>
          <w:p w:rsidR="005C776E" w:rsidRPr="005C776E" w:rsidRDefault="005C776E" w:rsidP="005C776E">
            <w:pPr>
              <w:numPr>
                <w:ilvl w:val="1"/>
                <w:numId w:val="8"/>
              </w:numPr>
              <w:ind w:left="626"/>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 xml:space="preserve">Femoral neck </w:t>
            </w:r>
          </w:p>
          <w:p w:rsidR="005C776E" w:rsidRPr="005C776E" w:rsidRDefault="005C776E" w:rsidP="005C776E">
            <w:pPr>
              <w:numPr>
                <w:ilvl w:val="1"/>
                <w:numId w:val="8"/>
              </w:numPr>
              <w:ind w:left="626"/>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 xml:space="preserve">Total hip </w:t>
            </w:r>
          </w:p>
          <w:p w:rsidR="005C776E" w:rsidRPr="005C776E" w:rsidRDefault="005C776E" w:rsidP="005C776E">
            <w:pPr>
              <w:numPr>
                <w:ilvl w:val="0"/>
                <w:numId w:val="8"/>
              </w:numPr>
              <w:ind w:left="201" w:hanging="218"/>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 xml:space="preserve">Lumbar spine BMD </w:t>
            </w:r>
          </w:p>
          <w:p w:rsidR="005C776E" w:rsidRPr="005C776E" w:rsidRDefault="005C776E" w:rsidP="005C776E">
            <w:pPr>
              <w:numPr>
                <w:ilvl w:val="0"/>
                <w:numId w:val="8"/>
              </w:numPr>
              <w:ind w:left="201" w:hanging="218"/>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Heel quantitative ultrasound measures:</w:t>
            </w:r>
          </w:p>
          <w:p w:rsidR="005C776E" w:rsidRPr="005C776E" w:rsidRDefault="005C776E" w:rsidP="005C776E">
            <w:pPr>
              <w:numPr>
                <w:ilvl w:val="1"/>
                <w:numId w:val="8"/>
              </w:numPr>
              <w:ind w:left="626"/>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Broadband ultrasound attenuation (BUA)</w:t>
            </w:r>
          </w:p>
          <w:p w:rsidR="005C776E" w:rsidRPr="005C776E" w:rsidRDefault="005C776E" w:rsidP="005C776E">
            <w:pPr>
              <w:numPr>
                <w:ilvl w:val="1"/>
                <w:numId w:val="8"/>
              </w:numPr>
              <w:ind w:left="626"/>
              <w:textAlignment w:val="baseline"/>
              <w:rPr>
                <w:rFonts w:eastAsia="Times New Roman" w:cs="Times New Roman"/>
                <w:lang w:eastAsia="en-GB"/>
              </w:rPr>
            </w:pPr>
            <w:r w:rsidRPr="005C776E">
              <w:rPr>
                <w:rFonts w:eastAsia="MS PGothic" w:cs="Times New Roman"/>
                <w:color w:val="000000"/>
                <w:kern w:val="24"/>
                <w:position w:val="1"/>
                <w:lang w:eastAsia="en-GB"/>
              </w:rPr>
              <w:t>Velocity of sound (VOS)</w:t>
            </w:r>
          </w:p>
        </w:tc>
        <w:tc>
          <w:tcPr>
            <w:tcW w:w="1080" w:type="pct"/>
            <w:tcBorders>
              <w:top w:val="single" w:sz="2" w:space="0" w:color="auto"/>
              <w:bottom w:val="single" w:sz="2" w:space="0" w:color="auto"/>
            </w:tcBorders>
            <w:vAlign w:val="center"/>
          </w:tcPr>
          <w:p w:rsidR="005C776E" w:rsidRPr="005C776E" w:rsidRDefault="005C776E" w:rsidP="005C776E">
            <w:pPr>
              <w:numPr>
                <w:ilvl w:val="0"/>
                <w:numId w:val="6"/>
              </w:numPr>
              <w:ind w:left="318"/>
              <w:contextualSpacing/>
              <w:rPr>
                <w:rFonts w:cs="Times New Roman"/>
              </w:rPr>
            </w:pPr>
            <w:r w:rsidRPr="005C776E">
              <w:rPr>
                <w:rFonts w:cs="Times New Roman"/>
              </w:rPr>
              <w:t>1</w:t>
            </w:r>
          </w:p>
          <w:p w:rsidR="005C776E" w:rsidRPr="005C776E" w:rsidRDefault="005C776E" w:rsidP="005C776E">
            <w:pPr>
              <w:numPr>
                <w:ilvl w:val="0"/>
                <w:numId w:val="9"/>
              </w:numPr>
              <w:contextualSpacing/>
              <w:rPr>
                <w:rFonts w:cs="Times New Roman"/>
              </w:rPr>
            </w:pPr>
            <w:r w:rsidRPr="005C776E">
              <w:rPr>
                <w:rFonts w:cs="Times New Roman"/>
              </w:rPr>
              <w:t>0.5</w:t>
            </w:r>
            <w:r w:rsidR="00D17018">
              <w:rPr>
                <w:rFonts w:cs="Times New Roman"/>
              </w:rPr>
              <w:t>*</w:t>
            </w:r>
          </w:p>
          <w:p w:rsidR="005C776E" w:rsidRPr="005C776E" w:rsidRDefault="005C776E" w:rsidP="005C776E">
            <w:pPr>
              <w:numPr>
                <w:ilvl w:val="0"/>
                <w:numId w:val="9"/>
              </w:numPr>
              <w:contextualSpacing/>
              <w:rPr>
                <w:rFonts w:cs="Times New Roman"/>
              </w:rPr>
            </w:pPr>
            <w:r w:rsidRPr="005C776E">
              <w:rPr>
                <w:rFonts w:cs="Times New Roman"/>
              </w:rPr>
              <w:t>0.5</w:t>
            </w:r>
            <w:r w:rsidR="00D17018">
              <w:rPr>
                <w:rFonts w:cs="Times New Roman"/>
              </w:rPr>
              <w:t>*</w:t>
            </w:r>
          </w:p>
          <w:p w:rsidR="005C776E" w:rsidRPr="005C776E" w:rsidRDefault="005C776E" w:rsidP="005C776E">
            <w:pPr>
              <w:numPr>
                <w:ilvl w:val="0"/>
                <w:numId w:val="6"/>
              </w:numPr>
              <w:ind w:left="318"/>
              <w:contextualSpacing/>
              <w:rPr>
                <w:rFonts w:cs="Times New Roman"/>
              </w:rPr>
            </w:pPr>
            <w:r w:rsidRPr="005C776E">
              <w:rPr>
                <w:rFonts w:cs="Times New Roman"/>
              </w:rPr>
              <w:t>1</w:t>
            </w:r>
          </w:p>
          <w:p w:rsidR="005C776E" w:rsidRPr="005C776E" w:rsidRDefault="005C776E" w:rsidP="005C776E">
            <w:pPr>
              <w:numPr>
                <w:ilvl w:val="0"/>
                <w:numId w:val="6"/>
              </w:numPr>
              <w:ind w:left="318"/>
              <w:contextualSpacing/>
              <w:rPr>
                <w:rFonts w:cs="Times New Roman"/>
              </w:rPr>
            </w:pPr>
            <w:r w:rsidRPr="005C776E">
              <w:rPr>
                <w:rFonts w:cs="Times New Roman"/>
              </w:rPr>
              <w:t>1</w:t>
            </w:r>
          </w:p>
          <w:p w:rsidR="005C776E" w:rsidRPr="005C776E" w:rsidRDefault="005C776E" w:rsidP="005C776E">
            <w:pPr>
              <w:numPr>
                <w:ilvl w:val="0"/>
                <w:numId w:val="10"/>
              </w:numPr>
              <w:contextualSpacing/>
              <w:rPr>
                <w:rFonts w:cs="Times New Roman"/>
              </w:rPr>
            </w:pPr>
            <w:r w:rsidRPr="005C776E">
              <w:rPr>
                <w:rFonts w:cs="Times New Roman"/>
              </w:rPr>
              <w:t>0.5</w:t>
            </w:r>
            <w:r w:rsidR="00D17018">
              <w:rPr>
                <w:rFonts w:cs="Times New Roman"/>
              </w:rPr>
              <w:t>*</w:t>
            </w:r>
          </w:p>
          <w:p w:rsidR="005C776E" w:rsidRPr="005C776E" w:rsidRDefault="005C776E" w:rsidP="005C776E">
            <w:pPr>
              <w:numPr>
                <w:ilvl w:val="0"/>
                <w:numId w:val="10"/>
              </w:numPr>
              <w:contextualSpacing/>
              <w:rPr>
                <w:rFonts w:cs="Times New Roman"/>
              </w:rPr>
            </w:pPr>
            <w:r w:rsidRPr="005C776E">
              <w:rPr>
                <w:rFonts w:cs="Times New Roman"/>
              </w:rPr>
              <w:t>0.5</w:t>
            </w:r>
            <w:r w:rsidR="00D17018">
              <w:rPr>
                <w:rFonts w:cs="Times New Roman"/>
              </w:rPr>
              <w:t>*</w:t>
            </w:r>
          </w:p>
        </w:tc>
      </w:tr>
      <w:tr w:rsidR="005C776E" w:rsidRPr="005C776E">
        <w:trPr>
          <w:trHeight w:val="860"/>
        </w:trPr>
        <w:tc>
          <w:tcPr>
            <w:tcW w:w="1203" w:type="pct"/>
            <w:tcBorders>
              <w:top w:val="single" w:sz="2" w:space="0" w:color="auto"/>
            </w:tcBorders>
            <w:vAlign w:val="center"/>
          </w:tcPr>
          <w:p w:rsidR="005C776E" w:rsidRPr="005C776E" w:rsidRDefault="005C776E" w:rsidP="005C776E">
            <w:pPr>
              <w:textAlignment w:val="baseline"/>
              <w:rPr>
                <w:rFonts w:eastAsia="Times New Roman" w:cs="Times New Roman"/>
                <w:lang w:eastAsia="en-GB"/>
              </w:rPr>
            </w:pPr>
            <w:r w:rsidRPr="005C776E">
              <w:rPr>
                <w:rFonts w:eastAsia="MS PGothic" w:cs="Times New Roman"/>
                <w:color w:val="000000"/>
                <w:kern w:val="24"/>
                <w:position w:val="1"/>
                <w:lang w:eastAsia="en-GB"/>
              </w:rPr>
              <w:t>Metabolic</w:t>
            </w:r>
          </w:p>
        </w:tc>
        <w:tc>
          <w:tcPr>
            <w:tcW w:w="2717" w:type="pct"/>
            <w:tcBorders>
              <w:top w:val="single" w:sz="2" w:space="0" w:color="auto"/>
            </w:tcBorders>
            <w:vAlign w:val="center"/>
          </w:tcPr>
          <w:p w:rsidR="005C776E" w:rsidRPr="005C776E" w:rsidRDefault="005C776E" w:rsidP="005C776E">
            <w:pPr>
              <w:numPr>
                <w:ilvl w:val="0"/>
                <w:numId w:val="11"/>
              </w:numPr>
              <w:ind w:left="201" w:hanging="218"/>
              <w:textAlignment w:val="baseline"/>
              <w:rPr>
                <w:rFonts w:eastAsia="MS PGothic" w:cs="Times New Roman"/>
                <w:color w:val="000000"/>
                <w:kern w:val="24"/>
                <w:position w:val="1"/>
                <w:lang w:eastAsia="en-GB"/>
              </w:rPr>
            </w:pPr>
            <w:r w:rsidRPr="005C776E">
              <w:rPr>
                <w:rFonts w:eastAsia="MS PGothic" w:cs="Times New Roman"/>
                <w:color w:val="000000"/>
                <w:kern w:val="24"/>
                <w:position w:val="1"/>
                <w:lang w:eastAsia="en-GB"/>
              </w:rPr>
              <w:t>Serum urea levels</w:t>
            </w:r>
          </w:p>
          <w:p w:rsidR="005C776E" w:rsidRPr="005C776E" w:rsidRDefault="005C776E" w:rsidP="005C776E">
            <w:pPr>
              <w:numPr>
                <w:ilvl w:val="0"/>
                <w:numId w:val="11"/>
              </w:numPr>
              <w:ind w:left="201" w:hanging="218"/>
              <w:textAlignment w:val="baseline"/>
              <w:rPr>
                <w:rFonts w:eastAsia="MS PGothic" w:cs="Times New Roman"/>
                <w:color w:val="000000"/>
                <w:kern w:val="24"/>
                <w:position w:val="1"/>
                <w:lang w:eastAsia="en-GB"/>
              </w:rPr>
            </w:pPr>
            <w:proofErr w:type="spellStart"/>
            <w:r w:rsidRPr="005C776E">
              <w:rPr>
                <w:rFonts w:eastAsia="MS PGothic" w:cs="Times New Roman"/>
                <w:color w:val="000000"/>
                <w:kern w:val="24"/>
                <w:position w:val="1"/>
                <w:lang w:eastAsia="en-GB"/>
              </w:rPr>
              <w:t>Dehydroepiandrosterone</w:t>
            </w:r>
            <w:proofErr w:type="spellEnd"/>
            <w:r w:rsidRPr="005C776E">
              <w:rPr>
                <w:rFonts w:eastAsia="MS PGothic" w:cs="Times New Roman"/>
                <w:color w:val="000000"/>
                <w:kern w:val="24"/>
                <w:position w:val="1"/>
                <w:lang w:eastAsia="en-GB"/>
              </w:rPr>
              <w:t xml:space="preserve"> sulphate (DHEAS) </w:t>
            </w:r>
          </w:p>
          <w:p w:rsidR="005C776E" w:rsidRPr="005C776E" w:rsidRDefault="005C776E" w:rsidP="005C776E">
            <w:pPr>
              <w:numPr>
                <w:ilvl w:val="0"/>
                <w:numId w:val="11"/>
              </w:numPr>
              <w:ind w:left="201" w:hanging="218"/>
              <w:textAlignment w:val="baseline"/>
              <w:rPr>
                <w:rFonts w:eastAsia="Times New Roman" w:cs="Times New Roman"/>
                <w:lang w:eastAsia="en-GB"/>
              </w:rPr>
            </w:pPr>
            <w:r w:rsidRPr="005C776E">
              <w:rPr>
                <w:rFonts w:eastAsia="MS PGothic" w:cs="Times New Roman"/>
                <w:color w:val="000000"/>
                <w:kern w:val="24"/>
                <w:position w:val="1"/>
                <w:lang w:eastAsia="en-GB"/>
              </w:rPr>
              <w:t>Estimated glomerular filtration rate (eGFR)</w:t>
            </w:r>
          </w:p>
        </w:tc>
        <w:tc>
          <w:tcPr>
            <w:tcW w:w="1080" w:type="pct"/>
            <w:tcBorders>
              <w:top w:val="single" w:sz="2" w:space="0" w:color="auto"/>
            </w:tcBorders>
            <w:vAlign w:val="center"/>
          </w:tcPr>
          <w:p w:rsidR="005C776E" w:rsidRPr="005C776E" w:rsidRDefault="005C776E" w:rsidP="005C776E">
            <w:pPr>
              <w:numPr>
                <w:ilvl w:val="0"/>
                <w:numId w:val="6"/>
              </w:numPr>
              <w:ind w:left="318"/>
              <w:contextualSpacing/>
              <w:rPr>
                <w:rFonts w:cs="Times New Roman"/>
              </w:rPr>
            </w:pPr>
            <w:r w:rsidRPr="005C776E">
              <w:rPr>
                <w:rFonts w:cs="Times New Roman"/>
              </w:rPr>
              <w:t>1</w:t>
            </w:r>
          </w:p>
          <w:p w:rsidR="005C776E" w:rsidRPr="005C776E" w:rsidRDefault="005C776E" w:rsidP="005C776E">
            <w:pPr>
              <w:numPr>
                <w:ilvl w:val="0"/>
                <w:numId w:val="6"/>
              </w:numPr>
              <w:ind w:left="318"/>
              <w:contextualSpacing/>
              <w:rPr>
                <w:rFonts w:cs="Times New Roman"/>
              </w:rPr>
            </w:pPr>
            <w:r w:rsidRPr="005C776E">
              <w:rPr>
                <w:rFonts w:cs="Times New Roman"/>
              </w:rPr>
              <w:t>1</w:t>
            </w:r>
          </w:p>
          <w:p w:rsidR="005C776E" w:rsidRPr="005C776E" w:rsidRDefault="005C776E" w:rsidP="005C776E">
            <w:pPr>
              <w:numPr>
                <w:ilvl w:val="0"/>
                <w:numId w:val="6"/>
              </w:numPr>
              <w:ind w:left="318"/>
              <w:contextualSpacing/>
              <w:rPr>
                <w:rFonts w:cs="Times New Roman"/>
              </w:rPr>
            </w:pPr>
            <w:r w:rsidRPr="005C776E">
              <w:rPr>
                <w:rFonts w:cs="Times New Roman"/>
              </w:rPr>
              <w:t>1</w:t>
            </w:r>
          </w:p>
        </w:tc>
      </w:tr>
    </w:tbl>
    <w:p w:rsidR="005C776E" w:rsidRPr="005C776E" w:rsidRDefault="005C776E" w:rsidP="00CD1ADF">
      <w:pPr>
        <w:spacing w:after="0" w:line="240" w:lineRule="auto"/>
        <w:rPr>
          <w:rFonts w:cs="Times New Roman"/>
        </w:rPr>
      </w:pPr>
    </w:p>
    <w:p w:rsidR="005C776E" w:rsidRPr="00FB706A" w:rsidRDefault="00FB706A" w:rsidP="00CD1ADF">
      <w:pPr>
        <w:spacing w:after="0" w:line="240" w:lineRule="auto"/>
        <w:rPr>
          <w:rFonts w:cs="Times New Roman"/>
        </w:rPr>
      </w:pPr>
      <w:r w:rsidRPr="00FB706A">
        <w:rPr>
          <w:rFonts w:cs="Times New Roman"/>
          <w:sz w:val="24"/>
        </w:rPr>
        <w:t xml:space="preserve">Note: </w:t>
      </w:r>
      <w:r w:rsidR="00CD1ADF" w:rsidRPr="00FB706A">
        <w:rPr>
          <w:rFonts w:cs="Times New Roman"/>
          <w:sz w:val="24"/>
        </w:rPr>
        <w:t>* For individuals with missing data, scalars for each components was 1/</w:t>
      </w:r>
      <w:r w:rsidR="00CD1ADF" w:rsidRPr="00FB706A">
        <w:rPr>
          <w:rFonts w:cs="Times New Roman"/>
          <w:i/>
          <w:sz w:val="24"/>
        </w:rPr>
        <w:t>n</w:t>
      </w:r>
      <w:r w:rsidR="00CD1ADF" w:rsidRPr="00FB706A">
        <w:rPr>
          <w:rFonts w:cs="Times New Roman"/>
          <w:sz w:val="24"/>
        </w:rPr>
        <w:t xml:space="preserve">, where </w:t>
      </w:r>
      <w:r w:rsidR="00CD1ADF" w:rsidRPr="00FB706A">
        <w:rPr>
          <w:rFonts w:cs="Times New Roman"/>
          <w:i/>
          <w:sz w:val="24"/>
        </w:rPr>
        <w:t>n</w:t>
      </w:r>
      <w:r>
        <w:rPr>
          <w:rFonts w:cs="Times New Roman"/>
          <w:sz w:val="24"/>
        </w:rPr>
        <w:t xml:space="preserve"> </w:t>
      </w:r>
      <w:r w:rsidR="00CD1ADF" w:rsidRPr="00FB706A">
        <w:rPr>
          <w:rFonts w:cs="Times New Roman"/>
          <w:sz w:val="24"/>
        </w:rPr>
        <w:t>= number of non-missing components.</w:t>
      </w:r>
      <w:r w:rsidR="005C776E" w:rsidRPr="00FB706A">
        <w:rPr>
          <w:rFonts w:cs="Times New Roman"/>
        </w:rPr>
        <w:br w:type="page"/>
      </w:r>
    </w:p>
    <w:p w:rsidR="005C776E" w:rsidRPr="005C776E" w:rsidRDefault="00551A4C" w:rsidP="005C776E">
      <w:pPr>
        <w:rPr>
          <w:rFonts w:eastAsia="Calibri" w:cs="Times New Roman"/>
          <w:sz w:val="24"/>
        </w:rPr>
      </w:pPr>
      <w:r w:rsidRPr="00FB706A">
        <w:rPr>
          <w:rFonts w:eastAsia="Calibri" w:cs="Times New Roman"/>
          <w:b/>
          <w:sz w:val="24"/>
        </w:rPr>
        <w:t>Supplementary Table 2</w:t>
      </w:r>
      <w:r w:rsidRPr="00FB706A">
        <w:rPr>
          <w:rFonts w:eastAsia="Calibri" w:cs="Times New Roman"/>
          <w:sz w:val="24"/>
        </w:rPr>
        <w:t>:</w:t>
      </w:r>
      <w:r w:rsidRPr="005C776E">
        <w:rPr>
          <w:rFonts w:eastAsia="Calibri" w:cs="Times New Roman"/>
          <w:sz w:val="24"/>
        </w:rPr>
        <w:t xml:space="preserve"> </w:t>
      </w:r>
      <w:r w:rsidR="00FB706A">
        <w:rPr>
          <w:rFonts w:eastAsia="Calibri" w:cs="Times New Roman"/>
          <w:sz w:val="24"/>
        </w:rPr>
        <w:t>C</w:t>
      </w:r>
      <w:r w:rsidR="005C776E" w:rsidRPr="005C776E">
        <w:rPr>
          <w:rFonts w:eastAsia="Calibri" w:cs="Times New Roman"/>
          <w:sz w:val="24"/>
        </w:rPr>
        <w:t>orrelation between ageing trajectories in 5 body systems for shared and unique environmental latent factors. The top-right side of the matrix depicts the correlation coefficients in shared environmental factors (C) and the bottom-left side shows the correlation coefficients for unique environmental factors (E).</w:t>
      </w:r>
    </w:p>
    <w:tbl>
      <w:tblPr>
        <w:tblStyle w:val="TableGrid1"/>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8"/>
        <w:gridCol w:w="1523"/>
        <w:gridCol w:w="1523"/>
        <w:gridCol w:w="1523"/>
        <w:gridCol w:w="1523"/>
        <w:gridCol w:w="1523"/>
      </w:tblGrid>
      <w:tr w:rsidR="005C776E" w:rsidRPr="005C776E">
        <w:trPr>
          <w:trHeight w:val="696"/>
        </w:trPr>
        <w:tc>
          <w:tcPr>
            <w:tcW w:w="959" w:type="pct"/>
            <w:tcBorders>
              <w:top w:val="single" w:sz="12" w:space="0" w:color="auto"/>
            </w:tcBorders>
            <w:noWrap/>
            <w:vAlign w:val="center"/>
          </w:tcPr>
          <w:p w:rsidR="005C776E" w:rsidRPr="005C776E" w:rsidRDefault="005C776E" w:rsidP="005C776E">
            <w:pPr>
              <w:rPr>
                <w:rFonts w:eastAsia="Calibri" w:cs="Times New Roman"/>
                <w:b/>
                <w:sz w:val="19"/>
                <w:szCs w:val="19"/>
              </w:rPr>
            </w:pPr>
          </w:p>
        </w:tc>
        <w:tc>
          <w:tcPr>
            <w:tcW w:w="808" w:type="pct"/>
            <w:tcBorders>
              <w:top w:val="single" w:sz="12" w:space="0" w:color="auto"/>
            </w:tcBorders>
            <w:noWrap/>
            <w:vAlign w:val="center"/>
          </w:tcPr>
          <w:p w:rsidR="005C776E" w:rsidRPr="005C776E" w:rsidRDefault="005C776E" w:rsidP="005C776E">
            <w:pPr>
              <w:jc w:val="center"/>
              <w:rPr>
                <w:rFonts w:eastAsia="Calibri" w:cs="Times New Roman"/>
                <w:b/>
                <w:sz w:val="19"/>
                <w:szCs w:val="19"/>
              </w:rPr>
            </w:pPr>
          </w:p>
        </w:tc>
        <w:tc>
          <w:tcPr>
            <w:tcW w:w="808" w:type="pct"/>
            <w:tcBorders>
              <w:top w:val="single" w:sz="12" w:space="0" w:color="auto"/>
            </w:tcBorders>
            <w:noWrap/>
            <w:vAlign w:val="center"/>
          </w:tcPr>
          <w:p w:rsidR="005C776E" w:rsidRPr="005C776E" w:rsidRDefault="005C776E" w:rsidP="005C776E">
            <w:pPr>
              <w:jc w:val="center"/>
              <w:rPr>
                <w:rFonts w:eastAsia="Calibri" w:cs="Times New Roman"/>
                <w:b/>
                <w:sz w:val="19"/>
                <w:szCs w:val="19"/>
              </w:rPr>
            </w:pPr>
          </w:p>
        </w:tc>
        <w:tc>
          <w:tcPr>
            <w:tcW w:w="2424" w:type="pct"/>
            <w:gridSpan w:val="3"/>
            <w:tcBorders>
              <w:top w:val="single" w:sz="12" w:space="0" w:color="auto"/>
            </w:tcBorders>
            <w:noWrap/>
            <w:vAlign w:val="bottom"/>
          </w:tcPr>
          <w:p w:rsidR="005C776E" w:rsidRPr="005C776E" w:rsidRDefault="005C776E" w:rsidP="005C776E">
            <w:pPr>
              <w:rPr>
                <w:rFonts w:eastAsia="Calibri" w:cs="Times New Roman"/>
                <w:b/>
                <w:i/>
                <w:szCs w:val="19"/>
              </w:rPr>
            </w:pPr>
            <w:r w:rsidRPr="005C776E">
              <w:rPr>
                <w:rFonts w:eastAsia="Calibri" w:cs="Times New Roman"/>
                <w:b/>
                <w:i/>
                <w:szCs w:val="19"/>
              </w:rPr>
              <w:t>Shared environmental factors (C)</w:t>
            </w:r>
          </w:p>
        </w:tc>
      </w:tr>
      <w:tr w:rsidR="005C776E" w:rsidRPr="005C776E">
        <w:trPr>
          <w:trHeight w:val="696"/>
        </w:trPr>
        <w:tc>
          <w:tcPr>
            <w:tcW w:w="959" w:type="pct"/>
            <w:noWrap/>
            <w:vAlign w:val="center"/>
          </w:tcPr>
          <w:p w:rsidR="005C776E" w:rsidRPr="005C776E" w:rsidRDefault="005C776E" w:rsidP="005C776E">
            <w:pPr>
              <w:rPr>
                <w:rFonts w:eastAsia="Calibri" w:cs="Times New Roman"/>
                <w:b/>
                <w:sz w:val="19"/>
                <w:szCs w:val="19"/>
              </w:rPr>
            </w:pPr>
          </w:p>
        </w:tc>
        <w:tc>
          <w:tcPr>
            <w:tcW w:w="808" w:type="pct"/>
            <w:tcBorders>
              <w:bottom w:val="single" w:sz="4" w:space="0" w:color="auto"/>
            </w:tcBorders>
            <w:noWrap/>
            <w:vAlign w:val="center"/>
          </w:tcPr>
          <w:p w:rsidR="005C776E" w:rsidRPr="005C776E" w:rsidRDefault="005C776E" w:rsidP="005C776E">
            <w:pPr>
              <w:jc w:val="center"/>
              <w:rPr>
                <w:rFonts w:eastAsia="Calibri" w:cs="Times New Roman"/>
                <w:b/>
                <w:sz w:val="19"/>
                <w:szCs w:val="19"/>
              </w:rPr>
            </w:pPr>
            <w:r w:rsidRPr="005C776E">
              <w:rPr>
                <w:rFonts w:eastAsia="Calibri" w:cs="Times New Roman"/>
                <w:b/>
                <w:sz w:val="19"/>
                <w:szCs w:val="19"/>
              </w:rPr>
              <w:t>Cardiovascular</w:t>
            </w:r>
          </w:p>
        </w:tc>
        <w:tc>
          <w:tcPr>
            <w:tcW w:w="808" w:type="pct"/>
            <w:tcBorders>
              <w:bottom w:val="single" w:sz="4" w:space="0" w:color="auto"/>
            </w:tcBorders>
            <w:noWrap/>
            <w:vAlign w:val="center"/>
          </w:tcPr>
          <w:p w:rsidR="005C776E" w:rsidRPr="005C776E" w:rsidRDefault="005C776E" w:rsidP="005C776E">
            <w:pPr>
              <w:jc w:val="center"/>
              <w:rPr>
                <w:rFonts w:eastAsia="Calibri" w:cs="Times New Roman"/>
                <w:b/>
                <w:sz w:val="19"/>
                <w:szCs w:val="19"/>
              </w:rPr>
            </w:pPr>
            <w:r w:rsidRPr="005C776E">
              <w:rPr>
                <w:rFonts w:eastAsia="Calibri" w:cs="Times New Roman"/>
                <w:b/>
                <w:sz w:val="19"/>
                <w:szCs w:val="19"/>
              </w:rPr>
              <w:t>Respiratory</w:t>
            </w:r>
          </w:p>
        </w:tc>
        <w:tc>
          <w:tcPr>
            <w:tcW w:w="808" w:type="pct"/>
            <w:tcBorders>
              <w:bottom w:val="single" w:sz="4" w:space="0" w:color="auto"/>
            </w:tcBorders>
            <w:noWrap/>
            <w:vAlign w:val="center"/>
          </w:tcPr>
          <w:p w:rsidR="005C776E" w:rsidRPr="005C776E" w:rsidRDefault="005C776E" w:rsidP="005C776E">
            <w:pPr>
              <w:jc w:val="center"/>
              <w:rPr>
                <w:rFonts w:eastAsia="Calibri" w:cs="Times New Roman"/>
                <w:b/>
                <w:sz w:val="19"/>
                <w:szCs w:val="19"/>
              </w:rPr>
            </w:pPr>
            <w:r w:rsidRPr="005C776E">
              <w:rPr>
                <w:rFonts w:eastAsia="Calibri" w:cs="Times New Roman"/>
                <w:b/>
                <w:sz w:val="19"/>
                <w:szCs w:val="19"/>
              </w:rPr>
              <w:t>Morphometric</w:t>
            </w:r>
          </w:p>
        </w:tc>
        <w:tc>
          <w:tcPr>
            <w:tcW w:w="808" w:type="pct"/>
            <w:tcBorders>
              <w:bottom w:val="single" w:sz="4" w:space="0" w:color="auto"/>
            </w:tcBorders>
            <w:noWrap/>
            <w:vAlign w:val="center"/>
          </w:tcPr>
          <w:p w:rsidR="005C776E" w:rsidRPr="005C776E" w:rsidRDefault="005C776E" w:rsidP="005C776E">
            <w:pPr>
              <w:jc w:val="center"/>
              <w:rPr>
                <w:rFonts w:eastAsia="Calibri" w:cs="Times New Roman"/>
                <w:b/>
                <w:sz w:val="19"/>
                <w:szCs w:val="19"/>
              </w:rPr>
            </w:pPr>
            <w:r w:rsidRPr="005C776E">
              <w:rPr>
                <w:rFonts w:eastAsia="Calibri" w:cs="Times New Roman"/>
                <w:b/>
                <w:sz w:val="19"/>
                <w:szCs w:val="19"/>
              </w:rPr>
              <w:t>Skeletal</w:t>
            </w:r>
          </w:p>
        </w:tc>
        <w:tc>
          <w:tcPr>
            <w:tcW w:w="808" w:type="pct"/>
            <w:tcBorders>
              <w:bottom w:val="single" w:sz="4" w:space="0" w:color="auto"/>
            </w:tcBorders>
            <w:noWrap/>
            <w:vAlign w:val="center"/>
          </w:tcPr>
          <w:p w:rsidR="005C776E" w:rsidRPr="005C776E" w:rsidRDefault="005C776E" w:rsidP="005C776E">
            <w:pPr>
              <w:jc w:val="center"/>
              <w:rPr>
                <w:rFonts w:eastAsia="Calibri" w:cs="Times New Roman"/>
                <w:b/>
                <w:sz w:val="19"/>
                <w:szCs w:val="19"/>
              </w:rPr>
            </w:pPr>
            <w:r w:rsidRPr="005C776E">
              <w:rPr>
                <w:rFonts w:eastAsia="Calibri" w:cs="Times New Roman"/>
                <w:b/>
                <w:sz w:val="19"/>
                <w:szCs w:val="19"/>
              </w:rPr>
              <w:t>Metabolic</w:t>
            </w:r>
          </w:p>
        </w:tc>
      </w:tr>
      <w:tr w:rsidR="005C776E" w:rsidRPr="005C776E">
        <w:trPr>
          <w:trHeight w:val="696"/>
        </w:trPr>
        <w:tc>
          <w:tcPr>
            <w:tcW w:w="959" w:type="pct"/>
            <w:tcBorders>
              <w:right w:val="single" w:sz="4" w:space="0" w:color="auto"/>
            </w:tcBorders>
            <w:noWrap/>
            <w:vAlign w:val="center"/>
          </w:tcPr>
          <w:p w:rsidR="005C776E" w:rsidRPr="005C776E" w:rsidRDefault="005C776E" w:rsidP="005C776E">
            <w:pPr>
              <w:rPr>
                <w:rFonts w:eastAsia="Calibri" w:cs="Times New Roman"/>
                <w:b/>
                <w:sz w:val="20"/>
                <w:szCs w:val="20"/>
              </w:rPr>
            </w:pPr>
            <w:r w:rsidRPr="005C776E">
              <w:rPr>
                <w:rFonts w:eastAsia="Calibri" w:cs="Times New Roman"/>
                <w:b/>
                <w:sz w:val="20"/>
                <w:szCs w:val="20"/>
              </w:rPr>
              <w:t>Cardiovascular</w:t>
            </w:r>
          </w:p>
        </w:tc>
        <w:tc>
          <w:tcPr>
            <w:tcW w:w="808" w:type="pct"/>
            <w:tcBorders>
              <w:top w:val="single" w:sz="4" w:space="0" w:color="auto"/>
              <w:left w:val="single" w:sz="4" w:space="0" w:color="auto"/>
            </w:tcBorders>
            <w:shd w:val="diagStripe" w:color="auto" w:fill="auto"/>
            <w:noWrap/>
            <w:vAlign w:val="center"/>
          </w:tcPr>
          <w:p w:rsidR="005C776E" w:rsidRPr="005C776E" w:rsidRDefault="005C776E" w:rsidP="005C776E">
            <w:pPr>
              <w:jc w:val="center"/>
              <w:rPr>
                <w:rFonts w:eastAsia="Calibri" w:cs="Times New Roman"/>
                <w:sz w:val="18"/>
              </w:rPr>
            </w:pPr>
          </w:p>
        </w:tc>
        <w:tc>
          <w:tcPr>
            <w:tcW w:w="808" w:type="pct"/>
            <w:tcBorders>
              <w:top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w:t>
            </w:r>
            <w:r w:rsidR="009B31D4">
              <w:rPr>
                <w:rFonts w:eastAsia="Calibri" w:cs="Times New Roman"/>
                <w:sz w:val="18"/>
              </w:rPr>
              <w:t>57</w:t>
            </w:r>
          </w:p>
          <w:p w:rsidR="005C776E" w:rsidRPr="005C776E" w:rsidRDefault="009B31D4" w:rsidP="009B31D4">
            <w:pPr>
              <w:jc w:val="center"/>
              <w:rPr>
                <w:rFonts w:eastAsia="Calibri" w:cs="Times New Roman"/>
                <w:sz w:val="18"/>
              </w:rPr>
            </w:pPr>
            <w:r>
              <w:rPr>
                <w:rFonts w:eastAsia="Calibri" w:cs="Times New Roman"/>
                <w:sz w:val="18"/>
              </w:rPr>
              <w:t>(0.28</w:t>
            </w:r>
            <w:r w:rsidR="005C776E" w:rsidRPr="005C776E">
              <w:rPr>
                <w:rFonts w:eastAsia="Calibri" w:cs="Times New Roman"/>
                <w:sz w:val="18"/>
              </w:rPr>
              <w:t>, 0.9</w:t>
            </w:r>
            <w:r>
              <w:rPr>
                <w:rFonts w:eastAsia="Calibri" w:cs="Times New Roman"/>
                <w:sz w:val="18"/>
              </w:rPr>
              <w:t>2</w:t>
            </w:r>
            <w:r w:rsidR="005C776E" w:rsidRPr="005C776E">
              <w:rPr>
                <w:rFonts w:eastAsia="Calibri" w:cs="Times New Roman"/>
                <w:sz w:val="18"/>
              </w:rPr>
              <w:t>)</w:t>
            </w:r>
          </w:p>
        </w:tc>
        <w:tc>
          <w:tcPr>
            <w:tcW w:w="808" w:type="pct"/>
            <w:tcBorders>
              <w:top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 xml:space="preserve">0.02 </w:t>
            </w:r>
          </w:p>
          <w:p w:rsidR="005C776E" w:rsidRPr="005C776E" w:rsidRDefault="005C776E" w:rsidP="009B31D4">
            <w:pPr>
              <w:jc w:val="center"/>
              <w:rPr>
                <w:rFonts w:eastAsia="Calibri" w:cs="Times New Roman"/>
                <w:sz w:val="18"/>
              </w:rPr>
            </w:pPr>
            <w:r w:rsidRPr="005C776E">
              <w:rPr>
                <w:rFonts w:eastAsia="Calibri" w:cs="Times New Roman"/>
                <w:sz w:val="18"/>
              </w:rPr>
              <w:t>(-0.1</w:t>
            </w:r>
            <w:r w:rsidR="009B31D4">
              <w:rPr>
                <w:rFonts w:eastAsia="Calibri" w:cs="Times New Roman"/>
                <w:sz w:val="18"/>
              </w:rPr>
              <w:t>2</w:t>
            </w:r>
            <w:r w:rsidRPr="005C776E">
              <w:rPr>
                <w:rFonts w:eastAsia="Calibri" w:cs="Times New Roman"/>
                <w:sz w:val="18"/>
              </w:rPr>
              <w:t>, 0.1</w:t>
            </w:r>
            <w:r w:rsidR="009B31D4">
              <w:rPr>
                <w:rFonts w:eastAsia="Calibri" w:cs="Times New Roman"/>
                <w:sz w:val="18"/>
              </w:rPr>
              <w:t>4</w:t>
            </w:r>
            <w:r w:rsidRPr="005C776E">
              <w:rPr>
                <w:rFonts w:eastAsia="Calibri" w:cs="Times New Roman"/>
                <w:sz w:val="18"/>
              </w:rPr>
              <w:t>)</w:t>
            </w:r>
          </w:p>
        </w:tc>
        <w:tc>
          <w:tcPr>
            <w:tcW w:w="808" w:type="pct"/>
            <w:tcBorders>
              <w:top w:val="single" w:sz="4" w:space="0" w:color="auto"/>
            </w:tcBorders>
            <w:noWrap/>
            <w:vAlign w:val="center"/>
          </w:tcPr>
          <w:p w:rsidR="005C776E" w:rsidRPr="005C776E" w:rsidRDefault="009B31D4" w:rsidP="005C776E">
            <w:pPr>
              <w:jc w:val="center"/>
              <w:rPr>
                <w:rFonts w:eastAsia="Calibri" w:cs="Times New Roman"/>
                <w:sz w:val="18"/>
              </w:rPr>
            </w:pPr>
            <w:r>
              <w:rPr>
                <w:rFonts w:eastAsia="Calibri" w:cs="Times New Roman"/>
                <w:sz w:val="18"/>
              </w:rPr>
              <w:t>0.12</w:t>
            </w:r>
          </w:p>
          <w:p w:rsidR="005C776E" w:rsidRPr="005C776E" w:rsidRDefault="009B31D4" w:rsidP="009B31D4">
            <w:pPr>
              <w:jc w:val="center"/>
              <w:rPr>
                <w:rFonts w:eastAsia="Calibri" w:cs="Times New Roman"/>
                <w:sz w:val="18"/>
              </w:rPr>
            </w:pPr>
            <w:r>
              <w:rPr>
                <w:rFonts w:eastAsia="Calibri" w:cs="Times New Roman"/>
                <w:sz w:val="18"/>
              </w:rPr>
              <w:t>(-0.10</w:t>
            </w:r>
            <w:r w:rsidR="005C776E" w:rsidRPr="005C776E">
              <w:rPr>
                <w:rFonts w:eastAsia="Calibri" w:cs="Times New Roman"/>
                <w:sz w:val="18"/>
              </w:rPr>
              <w:t>, 0.2</w:t>
            </w:r>
            <w:r>
              <w:rPr>
                <w:rFonts w:eastAsia="Calibri" w:cs="Times New Roman"/>
                <w:sz w:val="18"/>
              </w:rPr>
              <w:t>7</w:t>
            </w:r>
            <w:r w:rsidR="005C776E" w:rsidRPr="005C776E">
              <w:rPr>
                <w:rFonts w:eastAsia="Calibri" w:cs="Times New Roman"/>
                <w:sz w:val="18"/>
              </w:rPr>
              <w:t>)</w:t>
            </w:r>
          </w:p>
        </w:tc>
        <w:tc>
          <w:tcPr>
            <w:tcW w:w="808" w:type="pct"/>
            <w:tcBorders>
              <w:top w:val="single" w:sz="4" w:space="0" w:color="auto"/>
              <w:right w:val="single" w:sz="4" w:space="0" w:color="auto"/>
            </w:tcBorders>
            <w:noWrap/>
            <w:vAlign w:val="center"/>
          </w:tcPr>
          <w:p w:rsidR="005C776E" w:rsidRPr="005C776E" w:rsidRDefault="009B31D4" w:rsidP="005C776E">
            <w:pPr>
              <w:jc w:val="center"/>
              <w:rPr>
                <w:rFonts w:eastAsia="Calibri" w:cs="Times New Roman"/>
                <w:sz w:val="18"/>
              </w:rPr>
            </w:pPr>
            <w:r>
              <w:rPr>
                <w:rFonts w:eastAsia="Calibri" w:cs="Times New Roman"/>
                <w:sz w:val="18"/>
              </w:rPr>
              <w:t>-0.24</w:t>
            </w:r>
          </w:p>
          <w:p w:rsidR="005C776E" w:rsidRPr="005C776E" w:rsidRDefault="009B31D4" w:rsidP="009B31D4">
            <w:pPr>
              <w:jc w:val="center"/>
              <w:rPr>
                <w:rFonts w:eastAsia="Calibri" w:cs="Times New Roman"/>
                <w:sz w:val="18"/>
              </w:rPr>
            </w:pPr>
            <w:r>
              <w:rPr>
                <w:rFonts w:eastAsia="Calibri" w:cs="Times New Roman"/>
                <w:sz w:val="18"/>
              </w:rPr>
              <w:t>(-0.4</w:t>
            </w:r>
            <w:r w:rsidR="005C776E" w:rsidRPr="005C776E">
              <w:rPr>
                <w:rFonts w:eastAsia="Calibri" w:cs="Times New Roman"/>
                <w:sz w:val="18"/>
              </w:rPr>
              <w:t xml:space="preserve">0, </w:t>
            </w:r>
            <w:r>
              <w:rPr>
                <w:rFonts w:eastAsia="Calibri" w:cs="Times New Roman"/>
                <w:sz w:val="18"/>
              </w:rPr>
              <w:t>-</w:t>
            </w:r>
            <w:r w:rsidR="005C776E" w:rsidRPr="005C776E">
              <w:rPr>
                <w:rFonts w:eastAsia="Calibri" w:cs="Times New Roman"/>
                <w:sz w:val="18"/>
              </w:rPr>
              <w:t>0.</w:t>
            </w:r>
            <w:r>
              <w:rPr>
                <w:rFonts w:eastAsia="Calibri" w:cs="Times New Roman"/>
                <w:sz w:val="18"/>
              </w:rPr>
              <w:t>11</w:t>
            </w:r>
            <w:r w:rsidR="005C776E" w:rsidRPr="005C776E">
              <w:rPr>
                <w:rFonts w:eastAsia="Calibri" w:cs="Times New Roman"/>
                <w:sz w:val="18"/>
              </w:rPr>
              <w:t>)</w:t>
            </w:r>
          </w:p>
        </w:tc>
      </w:tr>
      <w:tr w:rsidR="005C776E" w:rsidRPr="005C776E">
        <w:trPr>
          <w:trHeight w:val="696"/>
        </w:trPr>
        <w:tc>
          <w:tcPr>
            <w:tcW w:w="959" w:type="pct"/>
            <w:tcBorders>
              <w:right w:val="single" w:sz="4" w:space="0" w:color="auto"/>
            </w:tcBorders>
            <w:noWrap/>
            <w:vAlign w:val="center"/>
          </w:tcPr>
          <w:p w:rsidR="005C776E" w:rsidRPr="005C776E" w:rsidRDefault="005C776E" w:rsidP="005C776E">
            <w:pPr>
              <w:rPr>
                <w:rFonts w:eastAsia="Calibri" w:cs="Times New Roman"/>
                <w:b/>
                <w:sz w:val="20"/>
                <w:szCs w:val="20"/>
              </w:rPr>
            </w:pPr>
            <w:r w:rsidRPr="005C776E">
              <w:rPr>
                <w:rFonts w:eastAsia="Calibri" w:cs="Times New Roman"/>
                <w:b/>
                <w:sz w:val="20"/>
                <w:szCs w:val="20"/>
              </w:rPr>
              <w:t>Respiratory</w:t>
            </w:r>
          </w:p>
        </w:tc>
        <w:tc>
          <w:tcPr>
            <w:tcW w:w="808" w:type="pct"/>
            <w:tcBorders>
              <w:left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0.43</w:t>
            </w:r>
          </w:p>
          <w:p w:rsidR="005C776E" w:rsidRPr="005C776E" w:rsidRDefault="005C776E" w:rsidP="005C776E">
            <w:pPr>
              <w:jc w:val="center"/>
              <w:rPr>
                <w:rFonts w:eastAsia="Calibri" w:cs="Times New Roman"/>
                <w:sz w:val="18"/>
              </w:rPr>
            </w:pPr>
            <w:r w:rsidRPr="005C776E">
              <w:rPr>
                <w:rFonts w:eastAsia="Calibri" w:cs="Times New Roman"/>
                <w:sz w:val="18"/>
              </w:rPr>
              <w:t>(0.35, 0.50)</w:t>
            </w:r>
          </w:p>
        </w:tc>
        <w:tc>
          <w:tcPr>
            <w:tcW w:w="808" w:type="pct"/>
            <w:shd w:val="diagStripe" w:color="auto" w:fill="auto"/>
            <w:noWrap/>
            <w:vAlign w:val="center"/>
          </w:tcPr>
          <w:p w:rsidR="005C776E" w:rsidRPr="005C776E" w:rsidRDefault="005C776E" w:rsidP="005C776E">
            <w:pPr>
              <w:jc w:val="center"/>
              <w:rPr>
                <w:rFonts w:eastAsia="Calibri" w:cs="Times New Roman"/>
                <w:sz w:val="18"/>
              </w:rPr>
            </w:pPr>
          </w:p>
        </w:tc>
        <w:tc>
          <w:tcPr>
            <w:tcW w:w="808" w:type="pct"/>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0.3</w:t>
            </w:r>
            <w:r w:rsidR="009B31D4">
              <w:rPr>
                <w:rFonts w:eastAsia="Calibri" w:cs="Times New Roman"/>
                <w:sz w:val="18"/>
              </w:rPr>
              <w:t>2</w:t>
            </w:r>
          </w:p>
          <w:p w:rsidR="005C776E" w:rsidRPr="005C776E" w:rsidRDefault="009B31D4" w:rsidP="009B31D4">
            <w:pPr>
              <w:jc w:val="center"/>
              <w:rPr>
                <w:rFonts w:eastAsia="Calibri" w:cs="Times New Roman"/>
                <w:sz w:val="18"/>
              </w:rPr>
            </w:pPr>
            <w:r>
              <w:rPr>
                <w:rFonts w:eastAsia="Calibri" w:cs="Times New Roman"/>
                <w:sz w:val="18"/>
              </w:rPr>
              <w:t>(-0.02</w:t>
            </w:r>
            <w:r w:rsidR="005C776E" w:rsidRPr="005C776E">
              <w:rPr>
                <w:rFonts w:eastAsia="Calibri" w:cs="Times New Roman"/>
                <w:sz w:val="18"/>
              </w:rPr>
              <w:t>, 0.7</w:t>
            </w:r>
            <w:r>
              <w:rPr>
                <w:rFonts w:eastAsia="Calibri" w:cs="Times New Roman"/>
                <w:sz w:val="18"/>
              </w:rPr>
              <w:t>4</w:t>
            </w:r>
            <w:r w:rsidR="005C776E" w:rsidRPr="005C776E">
              <w:rPr>
                <w:rFonts w:eastAsia="Calibri" w:cs="Times New Roman"/>
                <w:sz w:val="18"/>
              </w:rPr>
              <w:t>)</w:t>
            </w:r>
          </w:p>
        </w:tc>
        <w:tc>
          <w:tcPr>
            <w:tcW w:w="808" w:type="pct"/>
            <w:noWrap/>
            <w:vAlign w:val="center"/>
          </w:tcPr>
          <w:p w:rsidR="005C776E" w:rsidRPr="005C776E" w:rsidRDefault="009B31D4" w:rsidP="005C776E">
            <w:pPr>
              <w:jc w:val="center"/>
              <w:rPr>
                <w:rFonts w:eastAsia="Calibri" w:cs="Times New Roman"/>
                <w:sz w:val="18"/>
              </w:rPr>
            </w:pPr>
            <w:r>
              <w:rPr>
                <w:rFonts w:eastAsia="Calibri" w:cs="Times New Roman"/>
                <w:sz w:val="18"/>
              </w:rPr>
              <w:t>0.58</w:t>
            </w:r>
          </w:p>
          <w:p w:rsidR="005C776E" w:rsidRPr="005C776E" w:rsidRDefault="009B31D4" w:rsidP="005C776E">
            <w:pPr>
              <w:jc w:val="center"/>
              <w:rPr>
                <w:rFonts w:eastAsia="Calibri" w:cs="Times New Roman"/>
                <w:sz w:val="18"/>
              </w:rPr>
            </w:pPr>
            <w:r>
              <w:rPr>
                <w:rFonts w:eastAsia="Calibri" w:cs="Times New Roman"/>
                <w:sz w:val="18"/>
              </w:rPr>
              <w:t>(0.18, 0.94</w:t>
            </w:r>
            <w:r w:rsidR="005C776E" w:rsidRPr="005C776E">
              <w:rPr>
                <w:rFonts w:eastAsia="Calibri" w:cs="Times New Roman"/>
                <w:sz w:val="18"/>
              </w:rPr>
              <w:t>)</w:t>
            </w:r>
          </w:p>
        </w:tc>
        <w:tc>
          <w:tcPr>
            <w:tcW w:w="808" w:type="pct"/>
            <w:tcBorders>
              <w:right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w:t>
            </w:r>
            <w:r w:rsidR="009B31D4">
              <w:rPr>
                <w:rFonts w:eastAsia="Calibri" w:cs="Times New Roman"/>
                <w:sz w:val="18"/>
              </w:rPr>
              <w:t>0</w:t>
            </w:r>
            <w:r w:rsidRPr="005C776E">
              <w:rPr>
                <w:rFonts w:eastAsia="Calibri" w:cs="Times New Roman"/>
                <w:sz w:val="18"/>
              </w:rPr>
              <w:t xml:space="preserve"> </w:t>
            </w:r>
          </w:p>
          <w:p w:rsidR="005C776E" w:rsidRPr="005C776E" w:rsidRDefault="009B31D4" w:rsidP="009B31D4">
            <w:pPr>
              <w:jc w:val="center"/>
              <w:rPr>
                <w:rFonts w:eastAsia="Calibri" w:cs="Times New Roman"/>
                <w:sz w:val="18"/>
              </w:rPr>
            </w:pPr>
            <w:r>
              <w:rPr>
                <w:rFonts w:eastAsia="Calibri" w:cs="Times New Roman"/>
                <w:sz w:val="18"/>
              </w:rPr>
              <w:t>(-0.39</w:t>
            </w:r>
            <w:r w:rsidR="005C776E" w:rsidRPr="005C776E">
              <w:rPr>
                <w:rFonts w:eastAsia="Calibri" w:cs="Times New Roman"/>
                <w:sz w:val="18"/>
              </w:rPr>
              <w:t>, 0.</w:t>
            </w:r>
            <w:r>
              <w:rPr>
                <w:rFonts w:eastAsia="Calibri" w:cs="Times New Roman"/>
                <w:sz w:val="18"/>
              </w:rPr>
              <w:t>43</w:t>
            </w:r>
            <w:r w:rsidR="005C776E" w:rsidRPr="005C776E">
              <w:rPr>
                <w:rFonts w:eastAsia="Calibri" w:cs="Times New Roman"/>
                <w:sz w:val="18"/>
              </w:rPr>
              <w:t>)</w:t>
            </w:r>
          </w:p>
        </w:tc>
      </w:tr>
      <w:tr w:rsidR="005C776E" w:rsidRPr="005C776E">
        <w:trPr>
          <w:trHeight w:val="696"/>
        </w:trPr>
        <w:tc>
          <w:tcPr>
            <w:tcW w:w="959" w:type="pct"/>
            <w:tcBorders>
              <w:right w:val="single" w:sz="4" w:space="0" w:color="auto"/>
            </w:tcBorders>
            <w:noWrap/>
            <w:vAlign w:val="center"/>
          </w:tcPr>
          <w:p w:rsidR="005C776E" w:rsidRPr="005C776E" w:rsidRDefault="005C776E" w:rsidP="005C776E">
            <w:pPr>
              <w:rPr>
                <w:rFonts w:eastAsia="Calibri" w:cs="Times New Roman"/>
                <w:b/>
                <w:sz w:val="20"/>
                <w:szCs w:val="20"/>
              </w:rPr>
            </w:pPr>
            <w:r w:rsidRPr="005C776E">
              <w:rPr>
                <w:rFonts w:eastAsia="Calibri" w:cs="Times New Roman"/>
                <w:b/>
                <w:sz w:val="20"/>
                <w:szCs w:val="20"/>
              </w:rPr>
              <w:t>Morphometric</w:t>
            </w:r>
          </w:p>
        </w:tc>
        <w:tc>
          <w:tcPr>
            <w:tcW w:w="808" w:type="pct"/>
            <w:tcBorders>
              <w:left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0.27</w:t>
            </w:r>
          </w:p>
          <w:p w:rsidR="005C776E" w:rsidRPr="005C776E" w:rsidRDefault="005C776E" w:rsidP="005C776E">
            <w:pPr>
              <w:jc w:val="center"/>
              <w:rPr>
                <w:rFonts w:eastAsia="Calibri" w:cs="Times New Roman"/>
                <w:sz w:val="18"/>
              </w:rPr>
            </w:pPr>
            <w:r w:rsidRPr="005C776E">
              <w:rPr>
                <w:rFonts w:eastAsia="Calibri" w:cs="Times New Roman"/>
                <w:sz w:val="18"/>
              </w:rPr>
              <w:t>(0.20, 0.33)</w:t>
            </w:r>
          </w:p>
        </w:tc>
        <w:tc>
          <w:tcPr>
            <w:tcW w:w="808" w:type="pct"/>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0.1</w:t>
            </w:r>
            <w:r w:rsidR="00551A4C">
              <w:rPr>
                <w:rFonts w:eastAsia="Calibri" w:cs="Times New Roman"/>
                <w:sz w:val="18"/>
              </w:rPr>
              <w:t>8</w:t>
            </w:r>
          </w:p>
          <w:p w:rsidR="005C776E" w:rsidRPr="005C776E" w:rsidRDefault="005C776E" w:rsidP="005C776E">
            <w:pPr>
              <w:jc w:val="center"/>
              <w:rPr>
                <w:rFonts w:eastAsia="Calibri" w:cs="Times New Roman"/>
                <w:sz w:val="18"/>
              </w:rPr>
            </w:pPr>
            <w:r w:rsidRPr="005C776E">
              <w:rPr>
                <w:rFonts w:eastAsia="Calibri" w:cs="Times New Roman"/>
                <w:sz w:val="18"/>
              </w:rPr>
              <w:t>(0.09, 0.25)</w:t>
            </w:r>
          </w:p>
        </w:tc>
        <w:tc>
          <w:tcPr>
            <w:tcW w:w="808" w:type="pct"/>
            <w:shd w:val="diagStripe" w:color="auto" w:fill="auto"/>
            <w:noWrap/>
            <w:vAlign w:val="center"/>
          </w:tcPr>
          <w:p w:rsidR="005C776E" w:rsidRPr="005C776E" w:rsidRDefault="005C776E" w:rsidP="005C776E">
            <w:pPr>
              <w:jc w:val="center"/>
              <w:rPr>
                <w:rFonts w:eastAsia="Calibri" w:cs="Times New Roman"/>
                <w:sz w:val="18"/>
              </w:rPr>
            </w:pPr>
          </w:p>
        </w:tc>
        <w:tc>
          <w:tcPr>
            <w:tcW w:w="808" w:type="pct"/>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0.3</w:t>
            </w:r>
            <w:r w:rsidR="009B31D4">
              <w:rPr>
                <w:rFonts w:eastAsia="Calibri" w:cs="Times New Roman"/>
                <w:sz w:val="18"/>
              </w:rPr>
              <w:t>9</w:t>
            </w:r>
          </w:p>
          <w:p w:rsidR="005C776E" w:rsidRPr="005C776E" w:rsidRDefault="009B31D4" w:rsidP="005C776E">
            <w:pPr>
              <w:jc w:val="center"/>
              <w:rPr>
                <w:rFonts w:eastAsia="Calibri" w:cs="Times New Roman"/>
                <w:sz w:val="18"/>
              </w:rPr>
            </w:pPr>
            <w:r>
              <w:rPr>
                <w:rFonts w:eastAsia="Calibri" w:cs="Times New Roman"/>
                <w:sz w:val="18"/>
              </w:rPr>
              <w:t>(0.24, 0.53</w:t>
            </w:r>
            <w:r w:rsidR="005C776E" w:rsidRPr="005C776E">
              <w:rPr>
                <w:rFonts w:eastAsia="Calibri" w:cs="Times New Roman"/>
                <w:sz w:val="18"/>
              </w:rPr>
              <w:t>)</w:t>
            </w:r>
          </w:p>
        </w:tc>
        <w:tc>
          <w:tcPr>
            <w:tcW w:w="808" w:type="pct"/>
            <w:tcBorders>
              <w:right w:val="single" w:sz="4" w:space="0" w:color="auto"/>
            </w:tcBorders>
            <w:noWrap/>
            <w:vAlign w:val="center"/>
          </w:tcPr>
          <w:p w:rsidR="005C776E" w:rsidRPr="005C776E" w:rsidRDefault="009B31D4" w:rsidP="005C776E">
            <w:pPr>
              <w:jc w:val="center"/>
              <w:rPr>
                <w:rFonts w:eastAsia="Calibri" w:cs="Times New Roman"/>
                <w:sz w:val="18"/>
              </w:rPr>
            </w:pPr>
            <w:r>
              <w:rPr>
                <w:rFonts w:eastAsia="Calibri" w:cs="Times New Roman"/>
                <w:sz w:val="18"/>
              </w:rPr>
              <w:t>0.13</w:t>
            </w:r>
          </w:p>
          <w:p w:rsidR="005C776E" w:rsidRPr="005C776E" w:rsidRDefault="005C776E" w:rsidP="009B31D4">
            <w:pPr>
              <w:jc w:val="center"/>
              <w:rPr>
                <w:rFonts w:eastAsia="Calibri" w:cs="Times New Roman"/>
                <w:sz w:val="18"/>
              </w:rPr>
            </w:pPr>
            <w:r w:rsidRPr="005C776E">
              <w:rPr>
                <w:rFonts w:eastAsia="Calibri" w:cs="Times New Roman"/>
                <w:sz w:val="18"/>
              </w:rPr>
              <w:t>(-0.01, 0.</w:t>
            </w:r>
            <w:r w:rsidR="009B31D4">
              <w:rPr>
                <w:rFonts w:eastAsia="Calibri" w:cs="Times New Roman"/>
                <w:sz w:val="18"/>
              </w:rPr>
              <w:t>27</w:t>
            </w:r>
            <w:r w:rsidRPr="005C776E">
              <w:rPr>
                <w:rFonts w:eastAsia="Calibri" w:cs="Times New Roman"/>
                <w:sz w:val="18"/>
              </w:rPr>
              <w:t>)</w:t>
            </w:r>
          </w:p>
        </w:tc>
      </w:tr>
      <w:tr w:rsidR="005C776E" w:rsidRPr="005C776E">
        <w:trPr>
          <w:trHeight w:val="696"/>
        </w:trPr>
        <w:tc>
          <w:tcPr>
            <w:tcW w:w="959" w:type="pct"/>
            <w:tcBorders>
              <w:right w:val="single" w:sz="4" w:space="0" w:color="auto"/>
            </w:tcBorders>
            <w:noWrap/>
            <w:vAlign w:val="center"/>
          </w:tcPr>
          <w:p w:rsidR="005C776E" w:rsidRPr="005C776E" w:rsidRDefault="005C776E" w:rsidP="005C776E">
            <w:pPr>
              <w:rPr>
                <w:rFonts w:eastAsia="Calibri" w:cs="Times New Roman"/>
                <w:b/>
                <w:sz w:val="20"/>
                <w:szCs w:val="20"/>
              </w:rPr>
            </w:pPr>
            <w:r w:rsidRPr="005C776E">
              <w:rPr>
                <w:rFonts w:eastAsia="Calibri" w:cs="Times New Roman"/>
                <w:b/>
                <w:sz w:val="20"/>
                <w:szCs w:val="20"/>
              </w:rPr>
              <w:t>Skeletal</w:t>
            </w:r>
          </w:p>
        </w:tc>
        <w:tc>
          <w:tcPr>
            <w:tcW w:w="808" w:type="pct"/>
            <w:tcBorders>
              <w:left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0.57</w:t>
            </w:r>
          </w:p>
          <w:p w:rsidR="005C776E" w:rsidRPr="005C776E" w:rsidRDefault="005C776E" w:rsidP="009B31D4">
            <w:pPr>
              <w:jc w:val="center"/>
              <w:rPr>
                <w:rFonts w:eastAsia="Calibri" w:cs="Times New Roman"/>
                <w:sz w:val="18"/>
              </w:rPr>
            </w:pPr>
            <w:r w:rsidRPr="005C776E">
              <w:rPr>
                <w:rFonts w:eastAsia="Calibri" w:cs="Times New Roman"/>
                <w:sz w:val="18"/>
              </w:rPr>
              <w:t>(0.5</w:t>
            </w:r>
            <w:r w:rsidR="009B31D4">
              <w:rPr>
                <w:rFonts w:eastAsia="Calibri" w:cs="Times New Roman"/>
                <w:sz w:val="18"/>
              </w:rPr>
              <w:t>2</w:t>
            </w:r>
            <w:r w:rsidRPr="005C776E">
              <w:rPr>
                <w:rFonts w:eastAsia="Calibri" w:cs="Times New Roman"/>
                <w:sz w:val="18"/>
              </w:rPr>
              <w:t>, 0.62)</w:t>
            </w:r>
          </w:p>
        </w:tc>
        <w:tc>
          <w:tcPr>
            <w:tcW w:w="808" w:type="pct"/>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0.43</w:t>
            </w:r>
          </w:p>
          <w:p w:rsidR="005C776E" w:rsidRPr="005C776E" w:rsidRDefault="005C776E" w:rsidP="009B31D4">
            <w:pPr>
              <w:jc w:val="center"/>
              <w:rPr>
                <w:rFonts w:eastAsia="Calibri" w:cs="Times New Roman"/>
                <w:sz w:val="18"/>
              </w:rPr>
            </w:pPr>
            <w:r w:rsidRPr="005C776E">
              <w:rPr>
                <w:rFonts w:eastAsia="Calibri" w:cs="Times New Roman"/>
                <w:sz w:val="18"/>
              </w:rPr>
              <w:t>(0.3</w:t>
            </w:r>
            <w:r w:rsidR="009B31D4">
              <w:rPr>
                <w:rFonts w:eastAsia="Calibri" w:cs="Times New Roman"/>
                <w:sz w:val="18"/>
              </w:rPr>
              <w:t>5</w:t>
            </w:r>
            <w:r w:rsidRPr="005C776E">
              <w:rPr>
                <w:rFonts w:eastAsia="Calibri" w:cs="Times New Roman"/>
                <w:sz w:val="18"/>
              </w:rPr>
              <w:t>, 0.50)</w:t>
            </w:r>
          </w:p>
        </w:tc>
        <w:tc>
          <w:tcPr>
            <w:tcW w:w="808" w:type="pct"/>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0.41</w:t>
            </w:r>
          </w:p>
          <w:p w:rsidR="005C776E" w:rsidRPr="005C776E" w:rsidRDefault="005C776E" w:rsidP="005C776E">
            <w:pPr>
              <w:jc w:val="center"/>
              <w:rPr>
                <w:rFonts w:eastAsia="Calibri" w:cs="Times New Roman"/>
                <w:sz w:val="18"/>
              </w:rPr>
            </w:pPr>
            <w:r w:rsidRPr="005C776E">
              <w:rPr>
                <w:rFonts w:eastAsia="Calibri" w:cs="Times New Roman"/>
                <w:sz w:val="18"/>
              </w:rPr>
              <w:t>(0.35, 0.46)</w:t>
            </w:r>
          </w:p>
        </w:tc>
        <w:tc>
          <w:tcPr>
            <w:tcW w:w="808" w:type="pct"/>
            <w:shd w:val="diagStripe" w:color="auto" w:fill="auto"/>
            <w:noWrap/>
            <w:vAlign w:val="center"/>
          </w:tcPr>
          <w:p w:rsidR="005C776E" w:rsidRPr="005C776E" w:rsidRDefault="005C776E" w:rsidP="005C776E">
            <w:pPr>
              <w:jc w:val="center"/>
              <w:rPr>
                <w:rFonts w:eastAsia="Calibri" w:cs="Times New Roman"/>
                <w:sz w:val="18"/>
              </w:rPr>
            </w:pPr>
          </w:p>
        </w:tc>
        <w:tc>
          <w:tcPr>
            <w:tcW w:w="808" w:type="pct"/>
            <w:tcBorders>
              <w:right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0.1</w:t>
            </w:r>
            <w:r w:rsidR="009B31D4">
              <w:rPr>
                <w:rFonts w:eastAsia="Calibri" w:cs="Times New Roman"/>
                <w:sz w:val="18"/>
              </w:rPr>
              <w:t>1</w:t>
            </w:r>
            <w:r w:rsidRPr="005C776E">
              <w:rPr>
                <w:rFonts w:eastAsia="Calibri" w:cs="Times New Roman"/>
                <w:sz w:val="18"/>
              </w:rPr>
              <w:t xml:space="preserve"> </w:t>
            </w:r>
          </w:p>
          <w:p w:rsidR="005C776E" w:rsidRPr="005C776E" w:rsidRDefault="009B31D4" w:rsidP="009B31D4">
            <w:pPr>
              <w:jc w:val="center"/>
              <w:rPr>
                <w:rFonts w:eastAsia="Calibri" w:cs="Times New Roman"/>
                <w:sz w:val="18"/>
              </w:rPr>
            </w:pPr>
            <w:r>
              <w:rPr>
                <w:rFonts w:eastAsia="Calibri" w:cs="Times New Roman"/>
                <w:sz w:val="18"/>
              </w:rPr>
              <w:t>(-0.0</w:t>
            </w:r>
            <w:r w:rsidR="005C776E" w:rsidRPr="005C776E">
              <w:rPr>
                <w:rFonts w:eastAsia="Calibri" w:cs="Times New Roman"/>
                <w:sz w:val="18"/>
              </w:rPr>
              <w:t>7, 0.</w:t>
            </w:r>
            <w:r>
              <w:rPr>
                <w:rFonts w:eastAsia="Calibri" w:cs="Times New Roman"/>
                <w:sz w:val="18"/>
              </w:rPr>
              <w:t>28</w:t>
            </w:r>
            <w:r w:rsidR="005C776E" w:rsidRPr="005C776E">
              <w:rPr>
                <w:rFonts w:eastAsia="Calibri" w:cs="Times New Roman"/>
                <w:sz w:val="18"/>
              </w:rPr>
              <w:t>)</w:t>
            </w:r>
          </w:p>
        </w:tc>
      </w:tr>
      <w:tr w:rsidR="005C776E" w:rsidRPr="005C776E">
        <w:trPr>
          <w:trHeight w:val="696"/>
        </w:trPr>
        <w:tc>
          <w:tcPr>
            <w:tcW w:w="959" w:type="pct"/>
            <w:tcBorders>
              <w:right w:val="single" w:sz="4" w:space="0" w:color="auto"/>
            </w:tcBorders>
            <w:noWrap/>
            <w:vAlign w:val="center"/>
          </w:tcPr>
          <w:p w:rsidR="005C776E" w:rsidRPr="005C776E" w:rsidRDefault="005C776E" w:rsidP="005C776E">
            <w:pPr>
              <w:rPr>
                <w:rFonts w:eastAsia="Calibri" w:cs="Times New Roman"/>
                <w:b/>
                <w:sz w:val="20"/>
                <w:szCs w:val="20"/>
              </w:rPr>
            </w:pPr>
            <w:r w:rsidRPr="005C776E">
              <w:rPr>
                <w:rFonts w:eastAsia="Calibri" w:cs="Times New Roman"/>
                <w:b/>
                <w:sz w:val="20"/>
                <w:szCs w:val="20"/>
              </w:rPr>
              <w:t>Metabolic</w:t>
            </w:r>
          </w:p>
        </w:tc>
        <w:tc>
          <w:tcPr>
            <w:tcW w:w="808" w:type="pct"/>
            <w:tcBorders>
              <w:left w:val="single" w:sz="4" w:space="0" w:color="auto"/>
              <w:bottom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0.1</w:t>
            </w:r>
            <w:r w:rsidR="009B31D4">
              <w:rPr>
                <w:rFonts w:eastAsia="Calibri" w:cs="Times New Roman"/>
                <w:sz w:val="18"/>
              </w:rPr>
              <w:t>2</w:t>
            </w:r>
          </w:p>
          <w:p w:rsidR="005C776E" w:rsidRPr="005C776E" w:rsidRDefault="005C776E" w:rsidP="009B31D4">
            <w:pPr>
              <w:jc w:val="center"/>
              <w:rPr>
                <w:rFonts w:eastAsia="Calibri" w:cs="Times New Roman"/>
                <w:sz w:val="18"/>
              </w:rPr>
            </w:pPr>
            <w:r w:rsidRPr="005C776E">
              <w:rPr>
                <w:rFonts w:eastAsia="Calibri" w:cs="Times New Roman"/>
                <w:sz w:val="18"/>
              </w:rPr>
              <w:t>(0.0</w:t>
            </w:r>
            <w:r w:rsidR="009B31D4">
              <w:rPr>
                <w:rFonts w:eastAsia="Calibri" w:cs="Times New Roman"/>
                <w:sz w:val="18"/>
              </w:rPr>
              <w:t>4</w:t>
            </w:r>
            <w:r w:rsidRPr="005C776E">
              <w:rPr>
                <w:rFonts w:eastAsia="Calibri" w:cs="Times New Roman"/>
                <w:sz w:val="18"/>
              </w:rPr>
              <w:t>, 0.2</w:t>
            </w:r>
            <w:r w:rsidR="009B31D4">
              <w:rPr>
                <w:rFonts w:eastAsia="Calibri" w:cs="Times New Roman"/>
                <w:sz w:val="18"/>
              </w:rPr>
              <w:t>0</w:t>
            </w:r>
            <w:r w:rsidRPr="005C776E">
              <w:rPr>
                <w:rFonts w:eastAsia="Calibri" w:cs="Times New Roman"/>
                <w:sz w:val="18"/>
              </w:rPr>
              <w:t>)</w:t>
            </w:r>
          </w:p>
        </w:tc>
        <w:tc>
          <w:tcPr>
            <w:tcW w:w="808" w:type="pct"/>
            <w:tcBorders>
              <w:bottom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0.1</w:t>
            </w:r>
            <w:r w:rsidR="009B31D4">
              <w:rPr>
                <w:rFonts w:eastAsia="Calibri" w:cs="Times New Roman"/>
                <w:sz w:val="18"/>
              </w:rPr>
              <w:t>1</w:t>
            </w:r>
          </w:p>
          <w:p w:rsidR="005C776E" w:rsidRPr="005C776E" w:rsidRDefault="005C776E" w:rsidP="009B31D4">
            <w:pPr>
              <w:jc w:val="center"/>
              <w:rPr>
                <w:rFonts w:eastAsia="Calibri" w:cs="Times New Roman"/>
                <w:sz w:val="18"/>
              </w:rPr>
            </w:pPr>
            <w:r w:rsidRPr="005C776E">
              <w:rPr>
                <w:rFonts w:eastAsia="Calibri" w:cs="Times New Roman"/>
                <w:sz w:val="18"/>
              </w:rPr>
              <w:t>(0.03, 0.2</w:t>
            </w:r>
            <w:r w:rsidR="009B31D4">
              <w:rPr>
                <w:rFonts w:eastAsia="Calibri" w:cs="Times New Roman"/>
                <w:sz w:val="18"/>
              </w:rPr>
              <w:t>0</w:t>
            </w:r>
            <w:r w:rsidRPr="005C776E">
              <w:rPr>
                <w:rFonts w:eastAsia="Calibri" w:cs="Times New Roman"/>
                <w:sz w:val="18"/>
              </w:rPr>
              <w:t>)</w:t>
            </w:r>
          </w:p>
        </w:tc>
        <w:tc>
          <w:tcPr>
            <w:tcW w:w="808" w:type="pct"/>
            <w:tcBorders>
              <w:bottom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0.0</w:t>
            </w:r>
            <w:r w:rsidR="009B31D4">
              <w:rPr>
                <w:rFonts w:eastAsia="Calibri" w:cs="Times New Roman"/>
                <w:sz w:val="18"/>
              </w:rPr>
              <w:t>7</w:t>
            </w:r>
            <w:r w:rsidRPr="005C776E">
              <w:rPr>
                <w:rFonts w:eastAsia="Calibri" w:cs="Times New Roman"/>
                <w:sz w:val="18"/>
              </w:rPr>
              <w:t xml:space="preserve"> </w:t>
            </w:r>
          </w:p>
          <w:p w:rsidR="005C776E" w:rsidRPr="005C776E" w:rsidRDefault="009B31D4" w:rsidP="009B31D4">
            <w:pPr>
              <w:jc w:val="center"/>
              <w:rPr>
                <w:rFonts w:eastAsia="Calibri" w:cs="Times New Roman"/>
                <w:sz w:val="18"/>
              </w:rPr>
            </w:pPr>
            <w:r>
              <w:rPr>
                <w:rFonts w:eastAsia="Calibri" w:cs="Times New Roman"/>
                <w:sz w:val="18"/>
              </w:rPr>
              <w:t>(-0.01</w:t>
            </w:r>
            <w:r w:rsidR="005C776E" w:rsidRPr="005C776E">
              <w:rPr>
                <w:rFonts w:eastAsia="Calibri" w:cs="Times New Roman"/>
                <w:sz w:val="18"/>
              </w:rPr>
              <w:t>, 0.1</w:t>
            </w:r>
            <w:r>
              <w:rPr>
                <w:rFonts w:eastAsia="Calibri" w:cs="Times New Roman"/>
                <w:sz w:val="18"/>
              </w:rPr>
              <w:t>4</w:t>
            </w:r>
            <w:r w:rsidR="005C776E" w:rsidRPr="005C776E">
              <w:rPr>
                <w:rFonts w:eastAsia="Calibri" w:cs="Times New Roman"/>
                <w:sz w:val="18"/>
              </w:rPr>
              <w:t>)</w:t>
            </w:r>
          </w:p>
        </w:tc>
        <w:tc>
          <w:tcPr>
            <w:tcW w:w="808" w:type="pct"/>
            <w:tcBorders>
              <w:bottom w:val="single" w:sz="4" w:space="0" w:color="auto"/>
            </w:tcBorders>
            <w:noWrap/>
            <w:vAlign w:val="center"/>
          </w:tcPr>
          <w:p w:rsidR="005C776E" w:rsidRPr="005C776E" w:rsidRDefault="005C776E" w:rsidP="005C776E">
            <w:pPr>
              <w:jc w:val="center"/>
              <w:rPr>
                <w:rFonts w:eastAsia="Calibri" w:cs="Times New Roman"/>
                <w:sz w:val="18"/>
              </w:rPr>
            </w:pPr>
            <w:r w:rsidRPr="005C776E">
              <w:rPr>
                <w:rFonts w:eastAsia="Calibri" w:cs="Times New Roman"/>
                <w:sz w:val="18"/>
              </w:rPr>
              <w:t>0.1</w:t>
            </w:r>
            <w:r w:rsidR="00551A4C">
              <w:rPr>
                <w:rFonts w:eastAsia="Calibri" w:cs="Times New Roman"/>
                <w:sz w:val="18"/>
              </w:rPr>
              <w:t>2</w:t>
            </w:r>
          </w:p>
          <w:p w:rsidR="005C776E" w:rsidRPr="005C776E" w:rsidRDefault="005C776E" w:rsidP="00551A4C">
            <w:pPr>
              <w:jc w:val="center"/>
              <w:rPr>
                <w:rFonts w:eastAsia="Calibri" w:cs="Times New Roman"/>
                <w:sz w:val="18"/>
              </w:rPr>
            </w:pPr>
            <w:r w:rsidRPr="005C776E">
              <w:rPr>
                <w:rFonts w:eastAsia="Calibri" w:cs="Times New Roman"/>
                <w:sz w:val="18"/>
              </w:rPr>
              <w:t>(0.0</w:t>
            </w:r>
            <w:r w:rsidR="00551A4C">
              <w:rPr>
                <w:rFonts w:eastAsia="Calibri" w:cs="Times New Roman"/>
                <w:sz w:val="18"/>
              </w:rPr>
              <w:t>4</w:t>
            </w:r>
            <w:r w:rsidRPr="005C776E">
              <w:rPr>
                <w:rFonts w:eastAsia="Calibri" w:cs="Times New Roman"/>
                <w:sz w:val="18"/>
              </w:rPr>
              <w:t>, 0.</w:t>
            </w:r>
            <w:r w:rsidR="00551A4C">
              <w:rPr>
                <w:rFonts w:eastAsia="Calibri" w:cs="Times New Roman"/>
                <w:sz w:val="18"/>
              </w:rPr>
              <w:t>19</w:t>
            </w:r>
            <w:r w:rsidRPr="005C776E">
              <w:rPr>
                <w:rFonts w:eastAsia="Calibri" w:cs="Times New Roman"/>
                <w:sz w:val="18"/>
              </w:rPr>
              <w:t>)</w:t>
            </w:r>
          </w:p>
        </w:tc>
        <w:tc>
          <w:tcPr>
            <w:tcW w:w="808" w:type="pct"/>
            <w:tcBorders>
              <w:bottom w:val="single" w:sz="4" w:space="0" w:color="auto"/>
              <w:right w:val="single" w:sz="4" w:space="0" w:color="auto"/>
            </w:tcBorders>
            <w:shd w:val="diagStripe" w:color="auto" w:fill="auto"/>
            <w:noWrap/>
            <w:vAlign w:val="center"/>
          </w:tcPr>
          <w:p w:rsidR="005C776E" w:rsidRPr="005C776E" w:rsidRDefault="005C776E" w:rsidP="005C776E">
            <w:pPr>
              <w:jc w:val="center"/>
              <w:rPr>
                <w:rFonts w:eastAsia="Calibri" w:cs="Times New Roman"/>
                <w:sz w:val="18"/>
              </w:rPr>
            </w:pPr>
          </w:p>
        </w:tc>
      </w:tr>
      <w:tr w:rsidR="005C776E" w:rsidRPr="005C776E">
        <w:trPr>
          <w:trHeight w:val="696"/>
        </w:trPr>
        <w:tc>
          <w:tcPr>
            <w:tcW w:w="959" w:type="pct"/>
            <w:tcBorders>
              <w:bottom w:val="single" w:sz="12" w:space="0" w:color="auto"/>
            </w:tcBorders>
            <w:noWrap/>
            <w:vAlign w:val="center"/>
          </w:tcPr>
          <w:p w:rsidR="005C776E" w:rsidRPr="005C776E" w:rsidRDefault="005C776E" w:rsidP="005C776E">
            <w:pPr>
              <w:rPr>
                <w:rFonts w:eastAsia="Calibri" w:cs="Times New Roman"/>
                <w:b/>
                <w:sz w:val="20"/>
                <w:szCs w:val="20"/>
              </w:rPr>
            </w:pPr>
          </w:p>
        </w:tc>
        <w:tc>
          <w:tcPr>
            <w:tcW w:w="2424" w:type="pct"/>
            <w:gridSpan w:val="3"/>
            <w:tcBorders>
              <w:top w:val="single" w:sz="4" w:space="0" w:color="auto"/>
              <w:bottom w:val="single" w:sz="12" w:space="0" w:color="auto"/>
            </w:tcBorders>
            <w:noWrap/>
          </w:tcPr>
          <w:p w:rsidR="005C776E" w:rsidRPr="005C776E" w:rsidRDefault="005C776E" w:rsidP="005C776E">
            <w:pPr>
              <w:rPr>
                <w:rFonts w:eastAsia="Calibri" w:cs="Times New Roman"/>
                <w:b/>
                <w:i/>
              </w:rPr>
            </w:pPr>
            <w:r w:rsidRPr="005C776E">
              <w:rPr>
                <w:rFonts w:eastAsia="Calibri" w:cs="Times New Roman"/>
                <w:b/>
                <w:i/>
              </w:rPr>
              <w:t>Unique environmental factors (E)</w:t>
            </w:r>
          </w:p>
        </w:tc>
        <w:tc>
          <w:tcPr>
            <w:tcW w:w="808" w:type="pct"/>
            <w:tcBorders>
              <w:top w:val="single" w:sz="4" w:space="0" w:color="auto"/>
              <w:bottom w:val="single" w:sz="12" w:space="0" w:color="auto"/>
            </w:tcBorders>
            <w:noWrap/>
            <w:vAlign w:val="center"/>
          </w:tcPr>
          <w:p w:rsidR="005C776E" w:rsidRPr="005C776E" w:rsidRDefault="005C776E" w:rsidP="005C776E">
            <w:pPr>
              <w:jc w:val="center"/>
              <w:rPr>
                <w:rFonts w:eastAsia="Calibri" w:cs="Times New Roman"/>
                <w:sz w:val="18"/>
              </w:rPr>
            </w:pPr>
          </w:p>
        </w:tc>
        <w:tc>
          <w:tcPr>
            <w:tcW w:w="808" w:type="pct"/>
            <w:tcBorders>
              <w:top w:val="single" w:sz="4" w:space="0" w:color="auto"/>
              <w:bottom w:val="single" w:sz="12" w:space="0" w:color="auto"/>
            </w:tcBorders>
            <w:shd w:val="clear" w:color="auto" w:fill="auto"/>
            <w:noWrap/>
            <w:vAlign w:val="center"/>
          </w:tcPr>
          <w:p w:rsidR="005C776E" w:rsidRPr="005C776E" w:rsidRDefault="005C776E" w:rsidP="005C776E">
            <w:pPr>
              <w:jc w:val="center"/>
              <w:rPr>
                <w:rFonts w:eastAsia="Calibri" w:cs="Times New Roman"/>
                <w:sz w:val="18"/>
              </w:rPr>
            </w:pPr>
          </w:p>
        </w:tc>
      </w:tr>
    </w:tbl>
    <w:p w:rsidR="005C776E" w:rsidRPr="005C776E" w:rsidRDefault="005C776E" w:rsidP="005C776E">
      <w:pPr>
        <w:rPr>
          <w:rFonts w:eastAsia="Calibri" w:cs="Times New Roman"/>
          <w:sz w:val="24"/>
        </w:rPr>
      </w:pPr>
    </w:p>
    <w:p w:rsidR="006D7C41" w:rsidRDefault="006D7C41">
      <w:pPr>
        <w:rPr>
          <w:rFonts w:eastAsia="Calibri" w:cs="Times New Roman"/>
          <w:sz w:val="24"/>
        </w:rPr>
      </w:pPr>
      <w:r>
        <w:rPr>
          <w:rFonts w:eastAsia="Calibri" w:cs="Times New Roman"/>
          <w:sz w:val="24"/>
        </w:rPr>
        <w:br w:type="page"/>
      </w:r>
    </w:p>
    <w:p w:rsidR="006D7C41" w:rsidRDefault="006D7C41" w:rsidP="006D7C41">
      <w:pPr>
        <w:rPr>
          <w:rFonts w:eastAsia="Calibri" w:cs="Times New Roman"/>
          <w:sz w:val="24"/>
        </w:rPr>
      </w:pPr>
      <w:r w:rsidRPr="00FB706A">
        <w:rPr>
          <w:rFonts w:eastAsia="Calibri" w:cs="Times New Roman"/>
          <w:b/>
          <w:sz w:val="24"/>
        </w:rPr>
        <w:t>Supplementary Table 3:</w:t>
      </w:r>
      <w:r>
        <w:rPr>
          <w:rFonts w:eastAsia="Calibri" w:cs="Times New Roman"/>
          <w:b/>
          <w:sz w:val="24"/>
        </w:rPr>
        <w:t xml:space="preserve"> </w:t>
      </w:r>
      <w:r>
        <w:rPr>
          <w:rFonts w:eastAsia="Calibri" w:cs="Times New Roman"/>
          <w:sz w:val="24"/>
        </w:rPr>
        <w:t>E</w:t>
      </w:r>
      <w:r w:rsidRPr="006D6628">
        <w:rPr>
          <w:rFonts w:eastAsia="Calibri" w:cs="Times New Roman"/>
          <w:sz w:val="24"/>
        </w:rPr>
        <w:t xml:space="preserve">stimated </w:t>
      </w:r>
      <w:r>
        <w:rPr>
          <w:rFonts w:eastAsia="Calibri" w:cs="Times New Roman"/>
          <w:sz w:val="24"/>
        </w:rPr>
        <w:t>v</w:t>
      </w:r>
      <w:r w:rsidRPr="006D6628">
        <w:rPr>
          <w:rFonts w:eastAsia="Calibri" w:cs="Times New Roman"/>
          <w:sz w:val="24"/>
        </w:rPr>
        <w:t xml:space="preserve">ariance </w:t>
      </w:r>
      <w:r>
        <w:rPr>
          <w:rFonts w:eastAsia="Calibri" w:cs="Times New Roman"/>
          <w:sz w:val="24"/>
        </w:rPr>
        <w:t>c</w:t>
      </w:r>
      <w:r w:rsidRPr="006D6628">
        <w:rPr>
          <w:rFonts w:eastAsia="Calibri" w:cs="Times New Roman"/>
          <w:sz w:val="24"/>
        </w:rPr>
        <w:t xml:space="preserve">omponents from the </w:t>
      </w:r>
      <w:r>
        <w:rPr>
          <w:rFonts w:eastAsia="Calibri" w:cs="Times New Roman"/>
          <w:sz w:val="24"/>
        </w:rPr>
        <w:t>‘</w:t>
      </w:r>
      <w:r w:rsidRPr="006D6628">
        <w:rPr>
          <w:rFonts w:eastAsia="Calibri" w:cs="Times New Roman"/>
          <w:sz w:val="24"/>
        </w:rPr>
        <w:t>Common Factor Model</w:t>
      </w:r>
      <w:r>
        <w:rPr>
          <w:rFonts w:eastAsia="Calibri" w:cs="Times New Roman"/>
          <w:sz w:val="24"/>
        </w:rPr>
        <w:t>’ This</w:t>
      </w:r>
      <w:r w:rsidRPr="00E84D14">
        <w:rPr>
          <w:rFonts w:eastAsia="Calibri" w:cs="Times New Roman"/>
          <w:sz w:val="24"/>
        </w:rPr>
        <w:t xml:space="preserve"> model had 14909 degrees of free</w:t>
      </w:r>
      <w:r w:rsidR="00FB706A">
        <w:rPr>
          <w:rFonts w:eastAsia="Calibri" w:cs="Times New Roman"/>
          <w:sz w:val="24"/>
        </w:rPr>
        <w:t xml:space="preserve">dom; </w:t>
      </w:r>
      <w:proofErr w:type="gramStart"/>
      <w:r w:rsidR="00FB706A">
        <w:rPr>
          <w:rFonts w:eastAsia="Calibri" w:cs="Times New Roman"/>
          <w:sz w:val="24"/>
        </w:rPr>
        <w:t xml:space="preserve">-2 Log-Likelihood of data </w:t>
      </w:r>
      <w:r w:rsidRPr="00E84D14">
        <w:rPr>
          <w:rFonts w:eastAsia="Calibri" w:cs="Times New Roman"/>
          <w:sz w:val="24"/>
        </w:rPr>
        <w:t>-1862.760</w:t>
      </w:r>
      <w:proofErr w:type="gramEnd"/>
      <w:r w:rsidRPr="00E84D14">
        <w:rPr>
          <w:rFonts w:eastAsia="Calibri" w:cs="Times New Roman"/>
          <w:sz w:val="24"/>
        </w:rPr>
        <w:t xml:space="preserve">; </w:t>
      </w:r>
      <w:proofErr w:type="spellStart"/>
      <w:r w:rsidRPr="00E84D14">
        <w:rPr>
          <w:rFonts w:eastAsia="Calibri" w:cs="Times New Roman"/>
          <w:sz w:val="24"/>
        </w:rPr>
        <w:t>Akaike</w:t>
      </w:r>
      <w:r w:rsidR="00FB706A">
        <w:rPr>
          <w:rFonts w:eastAsia="Calibri" w:cs="Times New Roman"/>
          <w:sz w:val="24"/>
        </w:rPr>
        <w:t>’</w:t>
      </w:r>
      <w:r w:rsidRPr="00E84D14">
        <w:rPr>
          <w:rFonts w:eastAsia="Calibri" w:cs="Times New Roman"/>
          <w:sz w:val="24"/>
        </w:rPr>
        <w:t>s</w:t>
      </w:r>
      <w:proofErr w:type="spellEnd"/>
      <w:r w:rsidRPr="00E84D14">
        <w:rPr>
          <w:rFonts w:eastAsia="Calibri" w:cs="Times New Roman"/>
          <w:sz w:val="24"/>
        </w:rPr>
        <w:t xml:space="preserve"> Information Criterion -31680. ΔAIC compared to </w:t>
      </w:r>
      <w:proofErr w:type="spellStart"/>
      <w:r w:rsidRPr="00E84D14">
        <w:rPr>
          <w:rFonts w:eastAsia="Calibri" w:cs="Times New Roman"/>
          <w:sz w:val="24"/>
        </w:rPr>
        <w:t>Cholesky</w:t>
      </w:r>
      <w:proofErr w:type="spellEnd"/>
      <w:r w:rsidRPr="00E84D14">
        <w:rPr>
          <w:rFonts w:eastAsia="Calibri" w:cs="Times New Roman"/>
          <w:sz w:val="24"/>
        </w:rPr>
        <w:t xml:space="preserve"> model =</w:t>
      </w:r>
      <w:r w:rsidR="00FB706A">
        <w:rPr>
          <w:rFonts w:eastAsia="Calibri" w:cs="Times New Roman"/>
          <w:sz w:val="24"/>
        </w:rPr>
        <w:t xml:space="preserve"> </w:t>
      </w:r>
      <w:r w:rsidRPr="00E84D14">
        <w:rPr>
          <w:rFonts w:eastAsia="Calibri" w:cs="Times New Roman"/>
          <w:sz w:val="24"/>
        </w:rPr>
        <w:t>146 indicating that this model is very unlikely.</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454"/>
        <w:gridCol w:w="796"/>
        <w:gridCol w:w="778"/>
        <w:gridCol w:w="601"/>
        <w:gridCol w:w="797"/>
        <w:gridCol w:w="778"/>
        <w:gridCol w:w="601"/>
        <w:gridCol w:w="797"/>
        <w:gridCol w:w="778"/>
        <w:gridCol w:w="601"/>
        <w:gridCol w:w="1261"/>
      </w:tblGrid>
      <w:tr w:rsidR="006D7C41" w:rsidRPr="006D7C41">
        <w:trPr>
          <w:trHeight w:val="467"/>
        </w:trPr>
        <w:tc>
          <w:tcPr>
            <w:tcW w:w="787" w:type="pct"/>
            <w:tcBorders>
              <w:top w:val="nil"/>
              <w:bottom w:val="single" w:sz="4" w:space="0" w:color="auto"/>
            </w:tcBorders>
            <w:noWrap/>
            <w:vAlign w:val="center"/>
          </w:tcPr>
          <w:p w:rsidR="006D7C41" w:rsidRPr="006D7C41" w:rsidRDefault="006D7C41" w:rsidP="003B1C70">
            <w:pPr>
              <w:jc w:val="center"/>
              <w:rPr>
                <w:rFonts w:cs="Times New Roman"/>
                <w:sz w:val="16"/>
                <w:szCs w:val="18"/>
              </w:rPr>
            </w:pPr>
          </w:p>
        </w:tc>
        <w:tc>
          <w:tcPr>
            <w:tcW w:w="1177" w:type="pct"/>
            <w:gridSpan w:val="3"/>
            <w:tcBorders>
              <w:top w:val="nil"/>
              <w:bottom w:val="single" w:sz="4"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Genetic</w:t>
            </w:r>
          </w:p>
        </w:tc>
        <w:tc>
          <w:tcPr>
            <w:tcW w:w="1177" w:type="pct"/>
            <w:gridSpan w:val="3"/>
            <w:tcBorders>
              <w:top w:val="nil"/>
              <w:bottom w:val="single" w:sz="4"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Shared Environment</w:t>
            </w:r>
          </w:p>
        </w:tc>
        <w:tc>
          <w:tcPr>
            <w:tcW w:w="1177" w:type="pct"/>
            <w:gridSpan w:val="3"/>
            <w:tcBorders>
              <w:top w:val="nil"/>
              <w:bottom w:val="single" w:sz="4"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Unique Environment</w:t>
            </w:r>
          </w:p>
        </w:tc>
        <w:tc>
          <w:tcPr>
            <w:tcW w:w="682" w:type="pct"/>
            <w:tcBorders>
              <w:top w:val="nil"/>
              <w:bottom w:val="single" w:sz="4" w:space="0" w:color="auto"/>
            </w:tcBorders>
            <w:noWrap/>
            <w:vAlign w:val="center"/>
          </w:tcPr>
          <w:p w:rsidR="006D7C41" w:rsidRPr="006D7C41" w:rsidRDefault="006D7C41" w:rsidP="003B1C70">
            <w:pPr>
              <w:jc w:val="center"/>
              <w:rPr>
                <w:rFonts w:cs="Times New Roman"/>
                <w:b/>
                <w:sz w:val="16"/>
                <w:szCs w:val="18"/>
              </w:rPr>
            </w:pPr>
          </w:p>
        </w:tc>
      </w:tr>
      <w:tr w:rsidR="006D7C41" w:rsidRPr="006D7C41">
        <w:trPr>
          <w:trHeight w:val="467"/>
        </w:trPr>
        <w:tc>
          <w:tcPr>
            <w:tcW w:w="787" w:type="pct"/>
            <w:tcBorders>
              <w:top w:val="single" w:sz="4" w:space="0" w:color="auto"/>
              <w:bottom w:val="single" w:sz="12" w:space="0" w:color="auto"/>
            </w:tcBorders>
            <w:noWrap/>
            <w:vAlign w:val="center"/>
          </w:tcPr>
          <w:p w:rsidR="006D7C41" w:rsidRPr="006D7C41" w:rsidRDefault="006D7C41" w:rsidP="003B1C70">
            <w:pPr>
              <w:jc w:val="center"/>
              <w:rPr>
                <w:rFonts w:cs="Times New Roman"/>
                <w:sz w:val="16"/>
                <w:szCs w:val="18"/>
              </w:rPr>
            </w:pPr>
          </w:p>
        </w:tc>
        <w:tc>
          <w:tcPr>
            <w:tcW w:w="431" w:type="pct"/>
            <w:tcBorders>
              <w:top w:val="single" w:sz="4" w:space="0" w:color="auto"/>
              <w:bottom w:val="single" w:sz="12"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General</w:t>
            </w:r>
          </w:p>
        </w:tc>
        <w:tc>
          <w:tcPr>
            <w:tcW w:w="421" w:type="pct"/>
            <w:tcBorders>
              <w:top w:val="single" w:sz="4" w:space="0" w:color="auto"/>
              <w:bottom w:val="single" w:sz="12"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Specific</w:t>
            </w:r>
          </w:p>
        </w:tc>
        <w:tc>
          <w:tcPr>
            <w:tcW w:w="325" w:type="pct"/>
            <w:tcBorders>
              <w:top w:val="single" w:sz="4" w:space="0" w:color="auto"/>
              <w:bottom w:val="single" w:sz="12" w:space="0" w:color="auto"/>
              <w:right w:val="single" w:sz="4"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Total</w:t>
            </w:r>
          </w:p>
        </w:tc>
        <w:tc>
          <w:tcPr>
            <w:tcW w:w="431" w:type="pct"/>
            <w:tcBorders>
              <w:top w:val="single" w:sz="4" w:space="0" w:color="auto"/>
              <w:left w:val="single" w:sz="4" w:space="0" w:color="auto"/>
              <w:bottom w:val="single" w:sz="12"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General</w:t>
            </w:r>
          </w:p>
        </w:tc>
        <w:tc>
          <w:tcPr>
            <w:tcW w:w="421" w:type="pct"/>
            <w:tcBorders>
              <w:top w:val="single" w:sz="4" w:space="0" w:color="auto"/>
              <w:bottom w:val="single" w:sz="12"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Specific</w:t>
            </w:r>
          </w:p>
        </w:tc>
        <w:tc>
          <w:tcPr>
            <w:tcW w:w="325" w:type="pct"/>
            <w:tcBorders>
              <w:top w:val="single" w:sz="4" w:space="0" w:color="auto"/>
              <w:bottom w:val="single" w:sz="12" w:space="0" w:color="auto"/>
              <w:right w:val="single" w:sz="4"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Total</w:t>
            </w:r>
          </w:p>
        </w:tc>
        <w:tc>
          <w:tcPr>
            <w:tcW w:w="431" w:type="pct"/>
            <w:tcBorders>
              <w:top w:val="single" w:sz="4" w:space="0" w:color="auto"/>
              <w:left w:val="single" w:sz="4" w:space="0" w:color="auto"/>
              <w:bottom w:val="single" w:sz="12"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General</w:t>
            </w:r>
          </w:p>
        </w:tc>
        <w:tc>
          <w:tcPr>
            <w:tcW w:w="421" w:type="pct"/>
            <w:tcBorders>
              <w:top w:val="single" w:sz="4" w:space="0" w:color="auto"/>
              <w:bottom w:val="single" w:sz="12"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Specific</w:t>
            </w:r>
          </w:p>
        </w:tc>
        <w:tc>
          <w:tcPr>
            <w:tcW w:w="325" w:type="pct"/>
            <w:tcBorders>
              <w:top w:val="single" w:sz="4" w:space="0" w:color="auto"/>
              <w:bottom w:val="single" w:sz="12" w:space="0" w:color="auto"/>
              <w:right w:val="single" w:sz="4"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Total</w:t>
            </w:r>
          </w:p>
        </w:tc>
        <w:tc>
          <w:tcPr>
            <w:tcW w:w="682" w:type="pct"/>
            <w:tcBorders>
              <w:top w:val="single" w:sz="4" w:space="0" w:color="auto"/>
              <w:left w:val="single" w:sz="4" w:space="0" w:color="auto"/>
              <w:bottom w:val="single" w:sz="12" w:space="0" w:color="auto"/>
            </w:tcBorders>
            <w:noWrap/>
            <w:vAlign w:val="center"/>
          </w:tcPr>
          <w:p w:rsidR="006D7C41" w:rsidRPr="006D7C41" w:rsidRDefault="006D7C41" w:rsidP="003B1C70">
            <w:pPr>
              <w:jc w:val="center"/>
              <w:rPr>
                <w:rFonts w:cs="Times New Roman"/>
                <w:b/>
                <w:sz w:val="16"/>
                <w:szCs w:val="18"/>
              </w:rPr>
            </w:pPr>
            <w:r w:rsidRPr="006D7C41">
              <w:rPr>
                <w:rFonts w:cs="Times New Roman"/>
                <w:b/>
                <w:sz w:val="16"/>
                <w:szCs w:val="18"/>
              </w:rPr>
              <w:t xml:space="preserve">Total variance </w:t>
            </w:r>
          </w:p>
          <w:p w:rsidR="006D7C41" w:rsidRPr="006D7C41" w:rsidRDefault="006D7C41" w:rsidP="003B1C70">
            <w:pPr>
              <w:jc w:val="center"/>
              <w:rPr>
                <w:rFonts w:cs="Times New Roman"/>
                <w:b/>
                <w:sz w:val="16"/>
                <w:szCs w:val="18"/>
              </w:rPr>
            </w:pPr>
            <w:r w:rsidRPr="006D7C41">
              <w:rPr>
                <w:rFonts w:cs="Times New Roman"/>
                <w:b/>
                <w:sz w:val="16"/>
                <w:szCs w:val="18"/>
              </w:rPr>
              <w:t>accounted for</w:t>
            </w:r>
          </w:p>
        </w:tc>
      </w:tr>
      <w:tr w:rsidR="006D7C41" w:rsidRPr="006D7C41">
        <w:trPr>
          <w:trHeight w:val="467"/>
        </w:trPr>
        <w:tc>
          <w:tcPr>
            <w:tcW w:w="787" w:type="pct"/>
            <w:tcBorders>
              <w:top w:val="single" w:sz="12" w:space="0" w:color="auto"/>
            </w:tcBorders>
            <w:noWrap/>
            <w:vAlign w:val="center"/>
          </w:tcPr>
          <w:p w:rsidR="006D7C41" w:rsidRPr="006D7C41" w:rsidRDefault="006D7C41" w:rsidP="003B1C70">
            <w:pPr>
              <w:jc w:val="center"/>
              <w:rPr>
                <w:rFonts w:cs="Times New Roman"/>
                <w:b/>
                <w:sz w:val="16"/>
                <w:szCs w:val="20"/>
              </w:rPr>
            </w:pPr>
            <w:r w:rsidRPr="006D7C41">
              <w:rPr>
                <w:rFonts w:eastAsia="Calibri" w:cs="Times New Roman"/>
                <w:b/>
                <w:sz w:val="16"/>
                <w:szCs w:val="20"/>
              </w:rPr>
              <w:t>Cardiovascular</w:t>
            </w:r>
          </w:p>
        </w:tc>
        <w:tc>
          <w:tcPr>
            <w:tcW w:w="431" w:type="pct"/>
            <w:tcBorders>
              <w:top w:val="single" w:sz="12"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0.03</w:t>
            </w:r>
          </w:p>
        </w:tc>
        <w:tc>
          <w:tcPr>
            <w:tcW w:w="421" w:type="pct"/>
            <w:tcBorders>
              <w:top w:val="single" w:sz="12"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0.04</w:t>
            </w:r>
          </w:p>
        </w:tc>
        <w:tc>
          <w:tcPr>
            <w:tcW w:w="325" w:type="pct"/>
            <w:tcBorders>
              <w:top w:val="single" w:sz="12" w:space="0" w:color="auto"/>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0.07</w:t>
            </w:r>
          </w:p>
        </w:tc>
        <w:tc>
          <w:tcPr>
            <w:tcW w:w="431" w:type="pct"/>
            <w:tcBorders>
              <w:top w:val="single" w:sz="12" w:space="0" w:color="auto"/>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0.07</w:t>
            </w:r>
          </w:p>
        </w:tc>
        <w:tc>
          <w:tcPr>
            <w:tcW w:w="421" w:type="pct"/>
            <w:tcBorders>
              <w:top w:val="single" w:sz="12"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0.51</w:t>
            </w:r>
          </w:p>
        </w:tc>
        <w:tc>
          <w:tcPr>
            <w:tcW w:w="325" w:type="pct"/>
            <w:tcBorders>
              <w:top w:val="single" w:sz="12" w:space="0" w:color="auto"/>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0.57</w:t>
            </w:r>
          </w:p>
        </w:tc>
        <w:tc>
          <w:tcPr>
            <w:tcW w:w="431" w:type="pct"/>
            <w:tcBorders>
              <w:top w:val="single" w:sz="12" w:space="0" w:color="auto"/>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0.17</w:t>
            </w:r>
          </w:p>
        </w:tc>
        <w:tc>
          <w:tcPr>
            <w:tcW w:w="421" w:type="pct"/>
            <w:tcBorders>
              <w:top w:val="single" w:sz="12"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0.19</w:t>
            </w:r>
          </w:p>
        </w:tc>
        <w:tc>
          <w:tcPr>
            <w:tcW w:w="325" w:type="pct"/>
            <w:tcBorders>
              <w:top w:val="single" w:sz="12" w:space="0" w:color="auto"/>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0.35</w:t>
            </w:r>
          </w:p>
        </w:tc>
        <w:tc>
          <w:tcPr>
            <w:tcW w:w="682" w:type="pct"/>
            <w:tcBorders>
              <w:top w:val="single" w:sz="12" w:space="0" w:color="auto"/>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1.00</w:t>
            </w:r>
          </w:p>
        </w:tc>
      </w:tr>
      <w:tr w:rsidR="006D7C41" w:rsidRPr="006D7C41">
        <w:trPr>
          <w:trHeight w:val="467"/>
        </w:trPr>
        <w:tc>
          <w:tcPr>
            <w:tcW w:w="787" w:type="pct"/>
            <w:noWrap/>
            <w:vAlign w:val="center"/>
          </w:tcPr>
          <w:p w:rsidR="006D7C41" w:rsidRPr="006D7C41" w:rsidRDefault="006D7C41" w:rsidP="003B1C70">
            <w:pPr>
              <w:jc w:val="center"/>
              <w:rPr>
                <w:rFonts w:cs="Times New Roman"/>
                <w:b/>
                <w:sz w:val="16"/>
                <w:szCs w:val="20"/>
              </w:rPr>
            </w:pPr>
            <w:r w:rsidRPr="006D7C41">
              <w:rPr>
                <w:rFonts w:cs="Times New Roman"/>
                <w:b/>
                <w:sz w:val="16"/>
                <w:szCs w:val="20"/>
              </w:rPr>
              <w:t>Respiratory</w:t>
            </w:r>
          </w:p>
        </w:tc>
        <w:tc>
          <w:tcPr>
            <w:tcW w:w="43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0.03</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0.04</w:t>
            </w:r>
          </w:p>
        </w:tc>
        <w:tc>
          <w:tcPr>
            <w:tcW w:w="325" w:type="pct"/>
            <w:tcBorders>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0.07</w:t>
            </w:r>
          </w:p>
        </w:tc>
        <w:tc>
          <w:tcPr>
            <w:tcW w:w="431"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0.07</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0.06</w:t>
            </w:r>
          </w:p>
        </w:tc>
        <w:tc>
          <w:tcPr>
            <w:tcW w:w="325" w:type="pct"/>
            <w:tcBorders>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0.13</w:t>
            </w:r>
          </w:p>
        </w:tc>
        <w:tc>
          <w:tcPr>
            <w:tcW w:w="431"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0.18</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0.62</w:t>
            </w:r>
          </w:p>
        </w:tc>
        <w:tc>
          <w:tcPr>
            <w:tcW w:w="325" w:type="pct"/>
            <w:tcBorders>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0.80</w:t>
            </w:r>
          </w:p>
        </w:tc>
        <w:tc>
          <w:tcPr>
            <w:tcW w:w="682"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1.00</w:t>
            </w:r>
          </w:p>
        </w:tc>
      </w:tr>
      <w:tr w:rsidR="006D7C41" w:rsidRPr="006D7C41">
        <w:trPr>
          <w:trHeight w:val="467"/>
        </w:trPr>
        <w:tc>
          <w:tcPr>
            <w:tcW w:w="787" w:type="pct"/>
            <w:noWrap/>
            <w:vAlign w:val="center"/>
          </w:tcPr>
          <w:p w:rsidR="006D7C41" w:rsidRPr="006D7C41" w:rsidRDefault="006D7C41" w:rsidP="003B1C70">
            <w:pPr>
              <w:jc w:val="center"/>
              <w:rPr>
                <w:rFonts w:cs="Times New Roman"/>
                <w:b/>
                <w:sz w:val="16"/>
                <w:szCs w:val="20"/>
              </w:rPr>
            </w:pPr>
            <w:r w:rsidRPr="006D7C41">
              <w:rPr>
                <w:rFonts w:cs="Times New Roman"/>
                <w:b/>
                <w:sz w:val="16"/>
                <w:szCs w:val="20"/>
              </w:rPr>
              <w:t>Morphometric</w:t>
            </w:r>
          </w:p>
        </w:tc>
        <w:tc>
          <w:tcPr>
            <w:tcW w:w="43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0.02</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0.02</w:t>
            </w:r>
          </w:p>
        </w:tc>
        <w:tc>
          <w:tcPr>
            <w:tcW w:w="325" w:type="pct"/>
            <w:tcBorders>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0.04</w:t>
            </w:r>
          </w:p>
        </w:tc>
        <w:tc>
          <w:tcPr>
            <w:tcW w:w="431"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0.05</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0.49</w:t>
            </w:r>
          </w:p>
        </w:tc>
        <w:tc>
          <w:tcPr>
            <w:tcW w:w="325" w:type="pct"/>
            <w:tcBorders>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0.53</w:t>
            </w:r>
          </w:p>
        </w:tc>
        <w:tc>
          <w:tcPr>
            <w:tcW w:w="431"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0.11</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0.31</w:t>
            </w:r>
          </w:p>
        </w:tc>
        <w:tc>
          <w:tcPr>
            <w:tcW w:w="325" w:type="pct"/>
            <w:tcBorders>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0.42</w:t>
            </w:r>
          </w:p>
        </w:tc>
        <w:tc>
          <w:tcPr>
            <w:tcW w:w="682"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1.00</w:t>
            </w:r>
          </w:p>
        </w:tc>
      </w:tr>
      <w:tr w:rsidR="006D7C41" w:rsidRPr="006D7C41">
        <w:trPr>
          <w:trHeight w:val="467"/>
        </w:trPr>
        <w:tc>
          <w:tcPr>
            <w:tcW w:w="787" w:type="pct"/>
            <w:noWrap/>
            <w:vAlign w:val="center"/>
          </w:tcPr>
          <w:p w:rsidR="006D7C41" w:rsidRPr="006D7C41" w:rsidRDefault="006D7C41" w:rsidP="003B1C70">
            <w:pPr>
              <w:jc w:val="center"/>
              <w:rPr>
                <w:rFonts w:cs="Times New Roman"/>
                <w:b/>
                <w:sz w:val="16"/>
                <w:szCs w:val="20"/>
              </w:rPr>
            </w:pPr>
            <w:r w:rsidRPr="006D7C41">
              <w:rPr>
                <w:rFonts w:cs="Times New Roman"/>
                <w:b/>
                <w:sz w:val="16"/>
                <w:szCs w:val="20"/>
              </w:rPr>
              <w:t>Skeletal</w:t>
            </w:r>
          </w:p>
        </w:tc>
        <w:tc>
          <w:tcPr>
            <w:tcW w:w="43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0.07</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0.00</w:t>
            </w:r>
          </w:p>
        </w:tc>
        <w:tc>
          <w:tcPr>
            <w:tcW w:w="325" w:type="pct"/>
            <w:tcBorders>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0.07</w:t>
            </w:r>
          </w:p>
        </w:tc>
        <w:tc>
          <w:tcPr>
            <w:tcW w:w="431"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0.16</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0.19</w:t>
            </w:r>
          </w:p>
        </w:tc>
        <w:tc>
          <w:tcPr>
            <w:tcW w:w="325" w:type="pct"/>
            <w:tcBorders>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0.35</w:t>
            </w:r>
          </w:p>
        </w:tc>
        <w:tc>
          <w:tcPr>
            <w:tcW w:w="431"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0.40</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0.18</w:t>
            </w:r>
          </w:p>
        </w:tc>
        <w:tc>
          <w:tcPr>
            <w:tcW w:w="325" w:type="pct"/>
            <w:tcBorders>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0.58</w:t>
            </w:r>
          </w:p>
        </w:tc>
        <w:tc>
          <w:tcPr>
            <w:tcW w:w="682"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1.00</w:t>
            </w:r>
          </w:p>
        </w:tc>
      </w:tr>
      <w:tr w:rsidR="006D7C41" w:rsidRPr="006D7C41">
        <w:trPr>
          <w:trHeight w:val="467"/>
        </w:trPr>
        <w:tc>
          <w:tcPr>
            <w:tcW w:w="787" w:type="pct"/>
            <w:noWrap/>
            <w:vAlign w:val="center"/>
          </w:tcPr>
          <w:p w:rsidR="006D7C41" w:rsidRPr="006D7C41" w:rsidRDefault="006D7C41" w:rsidP="003B1C70">
            <w:pPr>
              <w:jc w:val="center"/>
              <w:rPr>
                <w:rFonts w:cs="Times New Roman"/>
                <w:b/>
                <w:sz w:val="16"/>
                <w:szCs w:val="20"/>
              </w:rPr>
            </w:pPr>
            <w:r w:rsidRPr="006D7C41">
              <w:rPr>
                <w:rFonts w:cs="Times New Roman"/>
                <w:b/>
                <w:sz w:val="16"/>
                <w:szCs w:val="20"/>
              </w:rPr>
              <w:t>Metabolic</w:t>
            </w:r>
          </w:p>
        </w:tc>
        <w:tc>
          <w:tcPr>
            <w:tcW w:w="43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0.00</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0.00</w:t>
            </w:r>
          </w:p>
        </w:tc>
        <w:tc>
          <w:tcPr>
            <w:tcW w:w="325" w:type="pct"/>
            <w:tcBorders>
              <w:bottom w:val="single" w:sz="4" w:space="0" w:color="auto"/>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0.00</w:t>
            </w:r>
          </w:p>
        </w:tc>
        <w:tc>
          <w:tcPr>
            <w:tcW w:w="431" w:type="pct"/>
            <w:tcBorders>
              <w:left w:val="single" w:sz="4" w:space="0" w:color="auto"/>
              <w:bottom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0.00</w:t>
            </w:r>
          </w:p>
        </w:tc>
        <w:tc>
          <w:tcPr>
            <w:tcW w:w="421" w:type="pct"/>
            <w:tcBorders>
              <w:bottom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0.54</w:t>
            </w:r>
          </w:p>
        </w:tc>
        <w:tc>
          <w:tcPr>
            <w:tcW w:w="325" w:type="pct"/>
            <w:tcBorders>
              <w:bottom w:val="single" w:sz="4" w:space="0" w:color="auto"/>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0.55</w:t>
            </w:r>
          </w:p>
        </w:tc>
        <w:tc>
          <w:tcPr>
            <w:tcW w:w="431"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0.01</w:t>
            </w:r>
          </w:p>
        </w:tc>
        <w:tc>
          <w:tcPr>
            <w:tcW w:w="421" w:type="pct"/>
            <w:noWrap/>
            <w:vAlign w:val="center"/>
          </w:tcPr>
          <w:p w:rsidR="006D7C41" w:rsidRPr="006D7C41" w:rsidRDefault="006D7C41" w:rsidP="003B1C70">
            <w:pPr>
              <w:jc w:val="center"/>
              <w:rPr>
                <w:rFonts w:cs="Times New Roman"/>
                <w:sz w:val="16"/>
                <w:szCs w:val="18"/>
              </w:rPr>
            </w:pPr>
            <w:r w:rsidRPr="006D7C41">
              <w:rPr>
                <w:rFonts w:cs="Times New Roman"/>
                <w:sz w:val="16"/>
                <w:szCs w:val="18"/>
              </w:rPr>
              <w:t>0.44</w:t>
            </w:r>
          </w:p>
        </w:tc>
        <w:tc>
          <w:tcPr>
            <w:tcW w:w="325" w:type="pct"/>
            <w:tcBorders>
              <w:bottom w:val="single" w:sz="4" w:space="0" w:color="auto"/>
              <w:righ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0.45</w:t>
            </w:r>
          </w:p>
        </w:tc>
        <w:tc>
          <w:tcPr>
            <w:tcW w:w="682" w:type="pct"/>
            <w:tcBorders>
              <w:left w:val="single" w:sz="4" w:space="0" w:color="auto"/>
            </w:tcBorders>
            <w:noWrap/>
            <w:vAlign w:val="center"/>
          </w:tcPr>
          <w:p w:rsidR="006D7C41" w:rsidRPr="006D7C41" w:rsidRDefault="006D7C41" w:rsidP="003B1C70">
            <w:pPr>
              <w:jc w:val="center"/>
              <w:rPr>
                <w:rFonts w:cs="Times New Roman"/>
                <w:sz w:val="16"/>
                <w:szCs w:val="18"/>
              </w:rPr>
            </w:pPr>
            <w:r w:rsidRPr="006D7C41">
              <w:rPr>
                <w:rFonts w:cs="Times New Roman"/>
                <w:sz w:val="16"/>
                <w:szCs w:val="18"/>
              </w:rPr>
              <w:t>1.00</w:t>
            </w:r>
          </w:p>
        </w:tc>
      </w:tr>
    </w:tbl>
    <w:p w:rsidR="006D7C41" w:rsidRPr="006D6628" w:rsidRDefault="006D7C41" w:rsidP="006D7C41"/>
    <w:p w:rsidR="00FF59F1" w:rsidRDefault="00AC16AC">
      <w:pPr>
        <w:rPr>
          <w:rFonts w:eastAsia="Calibri" w:cs="Times New Roman"/>
          <w:sz w:val="24"/>
        </w:rPr>
        <w:sectPr w:rsidR="00FF59F1">
          <w:footerReference w:type="default" r:id="rId8"/>
          <w:pgSz w:w="11906" w:h="16838"/>
          <w:pgMar w:top="1440" w:right="1440" w:bottom="1440" w:left="1440" w:header="708" w:footer="457" w:gutter="0"/>
          <w:cols w:space="708"/>
          <w:docGrid w:linePitch="360"/>
        </w:sectPr>
      </w:pPr>
      <w:r>
        <w:rPr>
          <w:rFonts w:eastAsia="Calibri" w:cs="Times New Roman"/>
          <w:sz w:val="24"/>
        </w:rPr>
        <w:t xml:space="preserve"> </w:t>
      </w:r>
    </w:p>
    <w:p w:rsidR="00FF59F1" w:rsidRDefault="00FF59F1" w:rsidP="00EA5E72">
      <w:pPr>
        <w:jc w:val="both"/>
        <w:rPr>
          <w:rFonts w:eastAsia="Calibri" w:cs="Times New Roman"/>
          <w:sz w:val="24"/>
        </w:rPr>
      </w:pPr>
      <w:r w:rsidRPr="00FB706A">
        <w:rPr>
          <w:rFonts w:eastAsia="Calibri" w:cs="Times New Roman"/>
          <w:b/>
          <w:sz w:val="24"/>
        </w:rPr>
        <w:t xml:space="preserve">Supplementary Table </w:t>
      </w:r>
      <w:r w:rsidR="009E1DF8" w:rsidRPr="00FB706A">
        <w:rPr>
          <w:rFonts w:eastAsia="Calibri" w:cs="Times New Roman"/>
          <w:b/>
          <w:sz w:val="24"/>
        </w:rPr>
        <w:t>4</w:t>
      </w:r>
      <w:r w:rsidRPr="00FB706A">
        <w:rPr>
          <w:rFonts w:eastAsia="Calibri" w:cs="Times New Roman"/>
          <w:sz w:val="24"/>
        </w:rPr>
        <w:t>:</w:t>
      </w:r>
      <w:r>
        <w:rPr>
          <w:rFonts w:eastAsia="Calibri" w:cs="Times New Roman"/>
          <w:sz w:val="24"/>
        </w:rPr>
        <w:t xml:space="preserve"> </w:t>
      </w:r>
      <w:r w:rsidR="004B5681">
        <w:rPr>
          <w:rFonts w:eastAsia="Calibri" w:cs="Times New Roman"/>
          <w:sz w:val="24"/>
        </w:rPr>
        <w:t xml:space="preserve">Summary measures of chronological and predicted age based on various clinical measures, domains or body systems and derived ‘ageing trajectories’ (slope of change) in monozygotic (MZ) and dizygotic (DZ) twins. </w:t>
      </w:r>
      <w:r w:rsidR="00DE48FF">
        <w:rPr>
          <w:rFonts w:eastAsia="Calibri" w:cs="Times New Roman"/>
          <w:sz w:val="24"/>
        </w:rPr>
        <w:t xml:space="preserve">All the values are mean (standard deviation). </w:t>
      </w:r>
      <w:r w:rsidR="004B5681">
        <w:rPr>
          <w:rFonts w:eastAsia="Calibri" w:cs="Times New Roman"/>
          <w:sz w:val="24"/>
        </w:rPr>
        <w:t xml:space="preserve">The </w:t>
      </w:r>
      <w:r w:rsidR="00637B5A">
        <w:rPr>
          <w:rFonts w:eastAsia="Calibri" w:cs="Times New Roman"/>
          <w:sz w:val="24"/>
        </w:rPr>
        <w:t>columns on correlation and covariance show</w:t>
      </w:r>
      <w:r w:rsidR="004B5681">
        <w:rPr>
          <w:rFonts w:eastAsia="Calibri" w:cs="Times New Roman"/>
          <w:sz w:val="24"/>
        </w:rPr>
        <w:t xml:space="preserve"> the pairwise </w:t>
      </w:r>
      <w:r w:rsidR="00DE48FF">
        <w:rPr>
          <w:rFonts w:eastAsia="Calibri" w:cs="Times New Roman"/>
          <w:sz w:val="24"/>
        </w:rPr>
        <w:t xml:space="preserve">Pearson </w:t>
      </w:r>
      <w:r w:rsidR="004B5681">
        <w:rPr>
          <w:rFonts w:eastAsia="Calibri" w:cs="Times New Roman"/>
          <w:sz w:val="24"/>
        </w:rPr>
        <w:t>correlations</w:t>
      </w:r>
      <w:r w:rsidR="00DE48FF">
        <w:rPr>
          <w:rFonts w:eastAsia="Calibri" w:cs="Times New Roman"/>
          <w:sz w:val="24"/>
        </w:rPr>
        <w:t xml:space="preserve"> (rho values)</w:t>
      </w:r>
      <w:r w:rsidR="004B5681">
        <w:rPr>
          <w:rFonts w:eastAsia="Calibri" w:cs="Times New Roman"/>
          <w:sz w:val="24"/>
        </w:rPr>
        <w:t xml:space="preserve"> and covariance </w:t>
      </w:r>
      <w:r w:rsidR="00637B5A">
        <w:rPr>
          <w:rFonts w:eastAsia="Calibri" w:cs="Times New Roman"/>
          <w:sz w:val="24"/>
        </w:rPr>
        <w:t xml:space="preserve">for ‘ageing trajectories’ </w:t>
      </w:r>
      <w:r w:rsidR="004B5681">
        <w:rPr>
          <w:rFonts w:eastAsia="Calibri" w:cs="Times New Roman"/>
          <w:sz w:val="24"/>
        </w:rPr>
        <w:t xml:space="preserve">between twin pairs </w:t>
      </w:r>
      <w:r w:rsidR="00637B5A">
        <w:rPr>
          <w:rFonts w:eastAsia="Calibri" w:cs="Times New Roman"/>
          <w:sz w:val="24"/>
        </w:rPr>
        <w:t xml:space="preserve">from the same family </w:t>
      </w:r>
      <w:r w:rsidR="004B5681">
        <w:rPr>
          <w:rFonts w:eastAsia="Calibri" w:cs="Times New Roman"/>
          <w:sz w:val="24"/>
        </w:rPr>
        <w:t xml:space="preserve">(MZ or DZ). </w:t>
      </w:r>
    </w:p>
    <w:p w:rsidR="00FF59F1" w:rsidRDefault="00AD7317" w:rsidP="000712E1">
      <w:pPr>
        <w:spacing w:after="0"/>
      </w:pPr>
      <w:r w:rsidRPr="00AD7317">
        <w:rPr>
          <w:noProof/>
          <w:lang w:val="en-AU" w:eastAsia="en-AU"/>
        </w:rPr>
        <w:drawing>
          <wp:inline distT="0" distB="0" distL="0" distR="0">
            <wp:extent cx="9972040" cy="509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9972040" cy="5091950"/>
                    </a:xfrm>
                    <a:prstGeom prst="rect">
                      <a:avLst/>
                    </a:prstGeom>
                    <a:noFill/>
                    <a:ln>
                      <a:noFill/>
                    </a:ln>
                  </pic:spPr>
                </pic:pic>
              </a:graphicData>
            </a:graphic>
          </wp:inline>
        </w:drawing>
      </w:r>
    </w:p>
    <w:p w:rsidR="00FF59F1" w:rsidRPr="00FB706A" w:rsidRDefault="00AD7317" w:rsidP="000712E1">
      <w:pPr>
        <w:spacing w:after="0"/>
        <w:jc w:val="both"/>
      </w:pPr>
      <w:r w:rsidRPr="00FB706A">
        <w:rPr>
          <w:sz w:val="20"/>
        </w:rPr>
        <w:t xml:space="preserve">Note: ageing trajectories are the main final outcomes from this table used for structural equation modelling. </w:t>
      </w:r>
      <w:r w:rsidR="000712E1" w:rsidRPr="00FB706A">
        <w:rPr>
          <w:sz w:val="20"/>
        </w:rPr>
        <w:t>P</w:t>
      </w:r>
      <w:r w:rsidRPr="00FB706A">
        <w:rPr>
          <w:sz w:val="20"/>
        </w:rPr>
        <w:t xml:space="preserve">airwise correlations and covariance </w:t>
      </w:r>
      <w:r w:rsidR="000712E1" w:rsidRPr="00FB706A">
        <w:rPr>
          <w:sz w:val="20"/>
        </w:rPr>
        <w:t xml:space="preserve">are reported </w:t>
      </w:r>
      <w:r w:rsidRPr="00FB706A">
        <w:rPr>
          <w:sz w:val="20"/>
        </w:rPr>
        <w:t xml:space="preserve">for illustrative purposes. </w:t>
      </w:r>
      <w:r w:rsidR="000712E1" w:rsidRPr="00FB706A">
        <w:rPr>
          <w:sz w:val="20"/>
        </w:rPr>
        <w:t>Ageing trajectories (or slopes of change) should be estimated separately for each row. Comparing the difference between baseline and last chronological age and the difference between baseline and l</w:t>
      </w:r>
      <w:r w:rsidR="00206088" w:rsidRPr="00FB706A">
        <w:rPr>
          <w:sz w:val="20"/>
        </w:rPr>
        <w:t>ast predicted age are indicative, but</w:t>
      </w:r>
      <w:r w:rsidR="000712E1" w:rsidRPr="00FB706A">
        <w:rPr>
          <w:sz w:val="20"/>
        </w:rPr>
        <w:t xml:space="preserve"> slopes are estimated for each participant separately and us</w:t>
      </w:r>
      <w:r w:rsidR="00206088" w:rsidRPr="00FB706A">
        <w:rPr>
          <w:sz w:val="20"/>
        </w:rPr>
        <w:t>ing, in some cases, multiple visits</w:t>
      </w:r>
      <w:r w:rsidR="000712E1" w:rsidRPr="00FB706A">
        <w:rPr>
          <w:sz w:val="20"/>
        </w:rPr>
        <w:t xml:space="preserve">. The averaging across measures and domains has been done for the </w:t>
      </w:r>
      <w:r w:rsidR="000712E1" w:rsidRPr="00FB706A">
        <w:rPr>
          <w:i/>
          <w:sz w:val="20"/>
        </w:rPr>
        <w:t>predicted age values</w:t>
      </w:r>
      <w:r w:rsidR="000712E1" w:rsidRPr="00FB706A">
        <w:rPr>
          <w:sz w:val="20"/>
        </w:rPr>
        <w:t>, therefore, ageing trajectories for a domain or system are not necessarily average of the slopes for different measures in that domain/system.</w:t>
      </w:r>
    </w:p>
    <w:p w:rsidR="00FF59F1" w:rsidRPr="00FB706A" w:rsidRDefault="00FF59F1">
      <w:pPr>
        <w:sectPr w:rsidR="00FF59F1" w:rsidRPr="00FB706A">
          <w:pgSz w:w="16838" w:h="11906" w:orient="landscape"/>
          <w:pgMar w:top="567" w:right="567" w:bottom="567" w:left="567" w:header="709" w:footer="58" w:gutter="0"/>
          <w:cols w:space="708"/>
          <w:docGrid w:linePitch="360"/>
        </w:sectPr>
      </w:pPr>
    </w:p>
    <w:p w:rsidR="009E1DF8" w:rsidRDefault="009E1DF8" w:rsidP="00EA5E72">
      <w:pPr>
        <w:jc w:val="both"/>
        <w:rPr>
          <w:rFonts w:eastAsia="Calibri" w:cs="Times New Roman"/>
          <w:sz w:val="24"/>
        </w:rPr>
      </w:pPr>
      <w:r w:rsidRPr="00FB706A">
        <w:rPr>
          <w:rFonts w:eastAsia="Calibri" w:cs="Times New Roman"/>
          <w:b/>
          <w:sz w:val="24"/>
        </w:rPr>
        <w:t>Supplementary</w:t>
      </w:r>
      <w:r>
        <w:rPr>
          <w:rFonts w:eastAsia="Calibri" w:cs="Times New Roman"/>
          <w:b/>
          <w:i/>
          <w:sz w:val="24"/>
        </w:rPr>
        <w:t xml:space="preserve"> </w:t>
      </w:r>
      <w:r w:rsidRPr="00FB706A">
        <w:rPr>
          <w:rFonts w:eastAsia="Calibri" w:cs="Times New Roman"/>
          <w:b/>
          <w:sz w:val="24"/>
        </w:rPr>
        <w:t>Table 5</w:t>
      </w:r>
      <w:r w:rsidRPr="00FB706A">
        <w:rPr>
          <w:rFonts w:eastAsia="Calibri" w:cs="Times New Roman"/>
          <w:sz w:val="24"/>
        </w:rPr>
        <w:t>:</w:t>
      </w:r>
      <w:r>
        <w:rPr>
          <w:rFonts w:eastAsia="Calibri" w:cs="Times New Roman"/>
          <w:sz w:val="24"/>
        </w:rPr>
        <w:t xml:space="preserve"> Distribution of missing values in various body systems among study participants. </w:t>
      </w:r>
      <w:r w:rsidRPr="00A73F3E">
        <w:rPr>
          <w:rFonts w:eastAsia="Calibri" w:cs="Times New Roman"/>
          <w:sz w:val="24"/>
        </w:rPr>
        <w:t xml:space="preserve">Nearly 3,250 of our participants contributed to 3 or more ageing trajectory measures in various body systems. </w:t>
      </w:r>
      <w:r>
        <w:rPr>
          <w:rFonts w:eastAsia="Calibri" w:cs="Times New Roman"/>
          <w:sz w:val="24"/>
        </w:rPr>
        <w:t xml:space="preserve">The Table indicates that </w:t>
      </w:r>
      <w:r w:rsidRPr="00A73F3E">
        <w:rPr>
          <w:rFonts w:eastAsia="Calibri" w:cs="Times New Roman"/>
          <w:sz w:val="24"/>
        </w:rPr>
        <w:t xml:space="preserve">there are no significant trends or differences between participants with different number of missing values. </w:t>
      </w:r>
    </w:p>
    <w:tbl>
      <w:tblPr>
        <w:tblStyle w:val="TableGrid2"/>
        <w:tblW w:w="50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1"/>
        <w:gridCol w:w="1191"/>
        <w:gridCol w:w="1191"/>
        <w:gridCol w:w="1191"/>
        <w:gridCol w:w="1191"/>
        <w:gridCol w:w="1191"/>
        <w:gridCol w:w="1191"/>
      </w:tblGrid>
      <w:tr w:rsidR="009E1DF8" w:rsidRPr="00A73F3E">
        <w:trPr>
          <w:trHeight w:val="320"/>
        </w:trPr>
        <w:tc>
          <w:tcPr>
            <w:tcW w:w="1299" w:type="pct"/>
            <w:tcBorders>
              <w:top w:val="single" w:sz="12" w:space="0" w:color="auto"/>
            </w:tcBorders>
            <w:vAlign w:val="center"/>
          </w:tcPr>
          <w:p w:rsidR="009E1DF8" w:rsidRPr="00A73F3E" w:rsidRDefault="009E1DF8" w:rsidP="003B1C70">
            <w:pPr>
              <w:jc w:val="center"/>
              <w:rPr>
                <w:sz w:val="18"/>
                <w:szCs w:val="18"/>
              </w:rPr>
            </w:pPr>
          </w:p>
        </w:tc>
        <w:tc>
          <w:tcPr>
            <w:tcW w:w="3083" w:type="pct"/>
            <w:gridSpan w:val="5"/>
            <w:tcBorders>
              <w:top w:val="single" w:sz="12" w:space="0" w:color="auto"/>
              <w:bottom w:val="single" w:sz="4" w:space="0" w:color="auto"/>
            </w:tcBorders>
            <w:vAlign w:val="center"/>
          </w:tcPr>
          <w:p w:rsidR="009E1DF8" w:rsidRPr="00A73F3E" w:rsidRDefault="009E1DF8" w:rsidP="003B1C70">
            <w:pPr>
              <w:jc w:val="center"/>
              <w:rPr>
                <w:sz w:val="18"/>
                <w:szCs w:val="18"/>
              </w:rPr>
            </w:pPr>
            <w:r w:rsidRPr="00A73F3E">
              <w:rPr>
                <w:sz w:val="18"/>
                <w:szCs w:val="18"/>
              </w:rPr>
              <w:t>Number of body systems contributed by participants</w:t>
            </w:r>
          </w:p>
        </w:tc>
        <w:tc>
          <w:tcPr>
            <w:tcW w:w="617" w:type="pct"/>
            <w:tcBorders>
              <w:top w:val="single" w:sz="12" w:space="0" w:color="auto"/>
            </w:tcBorders>
            <w:vAlign w:val="center"/>
          </w:tcPr>
          <w:p w:rsidR="009E1DF8" w:rsidRPr="00A73F3E" w:rsidRDefault="009E1DF8" w:rsidP="003B1C70">
            <w:pPr>
              <w:jc w:val="center"/>
              <w:rPr>
                <w:sz w:val="18"/>
                <w:szCs w:val="18"/>
              </w:rPr>
            </w:pPr>
          </w:p>
        </w:tc>
      </w:tr>
      <w:tr w:rsidR="009E1DF8" w:rsidRPr="00A73F3E">
        <w:trPr>
          <w:trHeight w:val="400"/>
        </w:trPr>
        <w:tc>
          <w:tcPr>
            <w:tcW w:w="1299" w:type="pct"/>
            <w:tcBorders>
              <w:bottom w:val="single" w:sz="4" w:space="0" w:color="auto"/>
            </w:tcBorders>
            <w:noWrap/>
            <w:vAlign w:val="center"/>
          </w:tcPr>
          <w:p w:rsidR="009E1DF8" w:rsidRPr="00A73F3E" w:rsidRDefault="009E1DF8" w:rsidP="003B1C70">
            <w:pPr>
              <w:jc w:val="center"/>
              <w:rPr>
                <w:sz w:val="18"/>
                <w:szCs w:val="18"/>
                <w:lang w:val="en-US"/>
              </w:rPr>
            </w:pPr>
          </w:p>
        </w:tc>
        <w:tc>
          <w:tcPr>
            <w:tcW w:w="617" w:type="pct"/>
            <w:tcBorders>
              <w:top w:val="single" w:sz="4" w:space="0" w:color="auto"/>
              <w:bottom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1</w:t>
            </w:r>
          </w:p>
        </w:tc>
        <w:tc>
          <w:tcPr>
            <w:tcW w:w="617" w:type="pct"/>
            <w:tcBorders>
              <w:top w:val="single" w:sz="4" w:space="0" w:color="auto"/>
              <w:bottom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2</w:t>
            </w:r>
          </w:p>
        </w:tc>
        <w:tc>
          <w:tcPr>
            <w:tcW w:w="617" w:type="pct"/>
            <w:tcBorders>
              <w:top w:val="single" w:sz="4" w:space="0" w:color="auto"/>
              <w:bottom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3</w:t>
            </w:r>
          </w:p>
        </w:tc>
        <w:tc>
          <w:tcPr>
            <w:tcW w:w="617" w:type="pct"/>
            <w:tcBorders>
              <w:top w:val="single" w:sz="4" w:space="0" w:color="auto"/>
              <w:bottom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4</w:t>
            </w:r>
          </w:p>
        </w:tc>
        <w:tc>
          <w:tcPr>
            <w:tcW w:w="617" w:type="pct"/>
            <w:tcBorders>
              <w:top w:val="single" w:sz="4" w:space="0" w:color="auto"/>
              <w:bottom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5</w:t>
            </w:r>
          </w:p>
        </w:tc>
        <w:tc>
          <w:tcPr>
            <w:tcW w:w="617" w:type="pct"/>
            <w:tcBorders>
              <w:bottom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Total</w:t>
            </w:r>
          </w:p>
        </w:tc>
      </w:tr>
      <w:tr w:rsidR="009E1DF8" w:rsidRPr="00A73F3E">
        <w:trPr>
          <w:trHeight w:val="400"/>
        </w:trPr>
        <w:tc>
          <w:tcPr>
            <w:tcW w:w="1299" w:type="pct"/>
            <w:tcBorders>
              <w:top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N</w:t>
            </w:r>
          </w:p>
        </w:tc>
        <w:tc>
          <w:tcPr>
            <w:tcW w:w="617" w:type="pct"/>
            <w:tcBorders>
              <w:top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93</w:t>
            </w:r>
          </w:p>
        </w:tc>
        <w:tc>
          <w:tcPr>
            <w:tcW w:w="617" w:type="pct"/>
            <w:tcBorders>
              <w:top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170</w:t>
            </w:r>
          </w:p>
        </w:tc>
        <w:tc>
          <w:tcPr>
            <w:tcW w:w="617" w:type="pct"/>
            <w:tcBorders>
              <w:top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380</w:t>
            </w:r>
          </w:p>
        </w:tc>
        <w:tc>
          <w:tcPr>
            <w:tcW w:w="617" w:type="pct"/>
            <w:tcBorders>
              <w:top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958</w:t>
            </w:r>
          </w:p>
        </w:tc>
        <w:tc>
          <w:tcPr>
            <w:tcW w:w="617" w:type="pct"/>
            <w:tcBorders>
              <w:top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1,907</w:t>
            </w:r>
          </w:p>
        </w:tc>
        <w:tc>
          <w:tcPr>
            <w:tcW w:w="617" w:type="pct"/>
            <w:tcBorders>
              <w:top w:val="single" w:sz="4"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3,508</w:t>
            </w:r>
          </w:p>
        </w:tc>
      </w:tr>
      <w:tr w:rsidR="009E1DF8" w:rsidRPr="00A73F3E">
        <w:trPr>
          <w:trHeight w:val="400"/>
        </w:trPr>
        <w:tc>
          <w:tcPr>
            <w:tcW w:w="1299" w:type="pct"/>
            <w:noWrap/>
            <w:vAlign w:val="center"/>
          </w:tcPr>
          <w:p w:rsidR="009E1DF8" w:rsidRPr="00A73F3E" w:rsidRDefault="009E1DF8" w:rsidP="003B1C70">
            <w:pPr>
              <w:jc w:val="center"/>
              <w:rPr>
                <w:sz w:val="18"/>
                <w:szCs w:val="18"/>
                <w:lang w:val="en-US"/>
              </w:rPr>
            </w:pPr>
            <w:r w:rsidRPr="00A73F3E">
              <w:rPr>
                <w:sz w:val="18"/>
                <w:szCs w:val="18"/>
                <w:lang w:val="en-US"/>
              </w:rPr>
              <w:t>Age at baseline</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50.4 (13.3)</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52.5 (11.3)</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51.9 (10.5)</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48.8 (10.8)</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47.9 (9.9)</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48.9 (10.5)</w:t>
            </w:r>
          </w:p>
        </w:tc>
      </w:tr>
      <w:tr w:rsidR="009E1DF8" w:rsidRPr="00A73F3E">
        <w:trPr>
          <w:trHeight w:val="400"/>
        </w:trPr>
        <w:tc>
          <w:tcPr>
            <w:tcW w:w="1299" w:type="pct"/>
            <w:noWrap/>
            <w:vAlign w:val="center"/>
          </w:tcPr>
          <w:p w:rsidR="009E1DF8" w:rsidRPr="00A73F3E" w:rsidRDefault="009E1DF8" w:rsidP="003B1C70">
            <w:pPr>
              <w:jc w:val="center"/>
              <w:rPr>
                <w:sz w:val="18"/>
                <w:szCs w:val="18"/>
                <w:lang w:val="en-US"/>
              </w:rPr>
            </w:pPr>
            <w:r w:rsidRPr="00A73F3E">
              <w:rPr>
                <w:sz w:val="18"/>
                <w:szCs w:val="18"/>
                <w:lang w:val="en-US"/>
              </w:rPr>
              <w:t>Duration of follow-up</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5.9 (2)</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6.7 (2.6)</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7.3 (2.9)</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9.8 (3)</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11.1 (2.2)</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10 (3)</w:t>
            </w:r>
          </w:p>
        </w:tc>
      </w:tr>
      <w:tr w:rsidR="009E1DF8" w:rsidRPr="00A73F3E">
        <w:trPr>
          <w:trHeight w:val="400"/>
        </w:trPr>
        <w:tc>
          <w:tcPr>
            <w:tcW w:w="1299" w:type="pct"/>
            <w:noWrap/>
            <w:vAlign w:val="center"/>
          </w:tcPr>
          <w:p w:rsidR="009E1DF8" w:rsidRPr="00A73F3E" w:rsidRDefault="009E1DF8" w:rsidP="003B1C70">
            <w:pPr>
              <w:jc w:val="center"/>
              <w:rPr>
                <w:sz w:val="18"/>
                <w:szCs w:val="18"/>
                <w:lang w:val="en-US"/>
              </w:rPr>
            </w:pPr>
            <w:r w:rsidRPr="00A73F3E">
              <w:rPr>
                <w:sz w:val="18"/>
                <w:szCs w:val="18"/>
                <w:lang w:val="en-US"/>
              </w:rPr>
              <w:t>BMI at baseline</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25.9 (5.1)</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25.8 (5.3)</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25.6 (4.6)</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24.7 (4.3)</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24.9 (4.3)</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25 (4.4)</w:t>
            </w:r>
          </w:p>
        </w:tc>
      </w:tr>
      <w:tr w:rsidR="009E1DF8" w:rsidRPr="00A73F3E">
        <w:trPr>
          <w:trHeight w:val="400"/>
        </w:trPr>
        <w:tc>
          <w:tcPr>
            <w:tcW w:w="1299" w:type="pct"/>
            <w:noWrap/>
            <w:vAlign w:val="center"/>
          </w:tcPr>
          <w:p w:rsidR="009E1DF8" w:rsidRPr="00A73F3E" w:rsidRDefault="009E1DF8" w:rsidP="003B1C70">
            <w:pPr>
              <w:jc w:val="center"/>
              <w:rPr>
                <w:sz w:val="18"/>
                <w:szCs w:val="18"/>
                <w:lang w:val="en-US"/>
              </w:rPr>
            </w:pPr>
            <w:r w:rsidRPr="00A73F3E">
              <w:rPr>
                <w:sz w:val="18"/>
                <w:szCs w:val="18"/>
                <w:lang w:val="en-US"/>
              </w:rPr>
              <w:t>Average systolic blood pressure</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121.2 (14.5)</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124.4 (15.6)</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125.5 (13.4)</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125 (14.5)</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124.4 (14.2)</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124.6 (14.3)</w:t>
            </w:r>
          </w:p>
        </w:tc>
      </w:tr>
      <w:tr w:rsidR="009E1DF8" w:rsidRPr="00A73F3E">
        <w:trPr>
          <w:trHeight w:val="400"/>
        </w:trPr>
        <w:tc>
          <w:tcPr>
            <w:tcW w:w="1299" w:type="pct"/>
            <w:noWrap/>
            <w:vAlign w:val="center"/>
          </w:tcPr>
          <w:p w:rsidR="009E1DF8" w:rsidRPr="00A73F3E" w:rsidRDefault="009E1DF8" w:rsidP="003B1C70">
            <w:pPr>
              <w:jc w:val="center"/>
              <w:rPr>
                <w:sz w:val="18"/>
                <w:szCs w:val="18"/>
                <w:lang w:val="en-US"/>
              </w:rPr>
            </w:pPr>
            <w:r w:rsidRPr="00A73F3E">
              <w:rPr>
                <w:sz w:val="18"/>
                <w:szCs w:val="18"/>
                <w:lang w:val="en-US"/>
              </w:rPr>
              <w:t>Average Total cholesterol</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5.5 (1.2)</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5.8 (1.3)</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5.6 (1.1)</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5.5 (1)</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5.6 (0.9)</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5.6 (1)</w:t>
            </w:r>
          </w:p>
        </w:tc>
      </w:tr>
      <w:tr w:rsidR="009E1DF8" w:rsidRPr="00A73F3E">
        <w:trPr>
          <w:trHeight w:val="400"/>
        </w:trPr>
        <w:tc>
          <w:tcPr>
            <w:tcW w:w="1299" w:type="pct"/>
            <w:noWrap/>
            <w:vAlign w:val="center"/>
          </w:tcPr>
          <w:p w:rsidR="009E1DF8" w:rsidRPr="00A73F3E" w:rsidRDefault="009E1DF8" w:rsidP="003B1C70">
            <w:pPr>
              <w:jc w:val="center"/>
              <w:rPr>
                <w:sz w:val="18"/>
                <w:szCs w:val="18"/>
                <w:lang w:val="en-US"/>
              </w:rPr>
            </w:pPr>
            <w:r w:rsidRPr="00A73F3E">
              <w:rPr>
                <w:sz w:val="18"/>
                <w:szCs w:val="18"/>
                <w:lang w:val="en-US"/>
              </w:rPr>
              <w:t>Average FEV1</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2.6 (0.5)</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2.4 (0.6)</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2.5 (0.6)</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2.6 (0.6)</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2.6 (0.5)</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2.6 (0.6)</w:t>
            </w:r>
          </w:p>
        </w:tc>
      </w:tr>
      <w:tr w:rsidR="009E1DF8" w:rsidRPr="00A73F3E">
        <w:trPr>
          <w:trHeight w:val="400"/>
        </w:trPr>
        <w:tc>
          <w:tcPr>
            <w:tcW w:w="1299" w:type="pct"/>
            <w:noWrap/>
            <w:vAlign w:val="center"/>
          </w:tcPr>
          <w:p w:rsidR="009E1DF8" w:rsidRPr="00A73F3E" w:rsidRDefault="009E1DF8" w:rsidP="003B1C70">
            <w:pPr>
              <w:jc w:val="center"/>
              <w:rPr>
                <w:sz w:val="18"/>
                <w:szCs w:val="18"/>
                <w:lang w:val="en-US"/>
              </w:rPr>
            </w:pPr>
            <w:r w:rsidRPr="00A73F3E">
              <w:rPr>
                <w:sz w:val="18"/>
                <w:szCs w:val="18"/>
                <w:lang w:val="en-US"/>
              </w:rPr>
              <w:t>Average femoral neck BMD</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759.7 (133.9)</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763.8 (131.5)</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776.9 (116.3)</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780.4 (119.5)</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791.6 (121.5)</w:t>
            </w:r>
          </w:p>
        </w:tc>
        <w:tc>
          <w:tcPr>
            <w:tcW w:w="617" w:type="pct"/>
            <w:noWrap/>
            <w:vAlign w:val="center"/>
          </w:tcPr>
          <w:p w:rsidR="009E1DF8" w:rsidRPr="00A73F3E" w:rsidRDefault="009E1DF8" w:rsidP="003B1C70">
            <w:pPr>
              <w:jc w:val="center"/>
              <w:rPr>
                <w:sz w:val="18"/>
                <w:szCs w:val="18"/>
                <w:lang w:val="en-US"/>
              </w:rPr>
            </w:pPr>
            <w:r w:rsidRPr="00A73F3E">
              <w:rPr>
                <w:sz w:val="18"/>
                <w:szCs w:val="18"/>
                <w:lang w:val="en-US"/>
              </w:rPr>
              <w:t>784.9 (121.5)</w:t>
            </w:r>
          </w:p>
        </w:tc>
      </w:tr>
      <w:tr w:rsidR="009E1DF8" w:rsidRPr="00A73F3E">
        <w:trPr>
          <w:trHeight w:val="400"/>
        </w:trPr>
        <w:tc>
          <w:tcPr>
            <w:tcW w:w="1299" w:type="pct"/>
            <w:tcBorders>
              <w:bottom w:val="single" w:sz="12"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Average DHEAS</w:t>
            </w:r>
          </w:p>
        </w:tc>
        <w:tc>
          <w:tcPr>
            <w:tcW w:w="617" w:type="pct"/>
            <w:tcBorders>
              <w:bottom w:val="single" w:sz="12"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4.1 (3.1)</w:t>
            </w:r>
          </w:p>
        </w:tc>
        <w:tc>
          <w:tcPr>
            <w:tcW w:w="617" w:type="pct"/>
            <w:tcBorders>
              <w:bottom w:val="single" w:sz="12"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3.4 (2)</w:t>
            </w:r>
          </w:p>
        </w:tc>
        <w:tc>
          <w:tcPr>
            <w:tcW w:w="617" w:type="pct"/>
            <w:tcBorders>
              <w:bottom w:val="single" w:sz="12"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3.3 (2)</w:t>
            </w:r>
          </w:p>
        </w:tc>
        <w:tc>
          <w:tcPr>
            <w:tcW w:w="617" w:type="pct"/>
            <w:tcBorders>
              <w:bottom w:val="single" w:sz="12"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3.5 (2.3)</w:t>
            </w:r>
          </w:p>
        </w:tc>
        <w:tc>
          <w:tcPr>
            <w:tcW w:w="617" w:type="pct"/>
            <w:tcBorders>
              <w:bottom w:val="single" w:sz="12"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3.1 (2)</w:t>
            </w:r>
          </w:p>
        </w:tc>
        <w:tc>
          <w:tcPr>
            <w:tcW w:w="617" w:type="pct"/>
            <w:tcBorders>
              <w:bottom w:val="single" w:sz="12" w:space="0" w:color="auto"/>
            </w:tcBorders>
            <w:noWrap/>
            <w:vAlign w:val="center"/>
          </w:tcPr>
          <w:p w:rsidR="009E1DF8" w:rsidRPr="00A73F3E" w:rsidRDefault="009E1DF8" w:rsidP="003B1C70">
            <w:pPr>
              <w:jc w:val="center"/>
              <w:rPr>
                <w:sz w:val="18"/>
                <w:szCs w:val="18"/>
                <w:lang w:val="en-US"/>
              </w:rPr>
            </w:pPr>
            <w:r w:rsidRPr="00A73F3E">
              <w:rPr>
                <w:sz w:val="18"/>
                <w:szCs w:val="18"/>
                <w:lang w:val="en-US"/>
              </w:rPr>
              <w:t>3.2 (2.1)</w:t>
            </w:r>
          </w:p>
        </w:tc>
      </w:tr>
    </w:tbl>
    <w:p w:rsidR="009E1DF8" w:rsidRDefault="009E1DF8" w:rsidP="009E1DF8">
      <w:pPr>
        <w:rPr>
          <w:rFonts w:eastAsia="Calibri" w:cs="Times New Roman"/>
          <w:sz w:val="24"/>
        </w:rPr>
      </w:pPr>
    </w:p>
    <w:p w:rsidR="00E2328C" w:rsidRDefault="00E2328C" w:rsidP="009E1DF8">
      <w:pPr>
        <w:rPr>
          <w:rFonts w:eastAsia="Calibri" w:cs="Times New Roman"/>
          <w:sz w:val="24"/>
        </w:rPr>
      </w:pPr>
    </w:p>
    <w:p w:rsidR="00E2328C" w:rsidRPr="00A73F3E" w:rsidRDefault="00E2328C" w:rsidP="003E141F">
      <w:pPr>
        <w:rPr>
          <w:rFonts w:eastAsia="Calibri" w:cs="Times New Roman"/>
          <w:sz w:val="24"/>
        </w:rPr>
      </w:pPr>
      <w:r>
        <w:rPr>
          <w:rFonts w:eastAsia="Calibri" w:cs="Times New Roman"/>
          <w:sz w:val="24"/>
        </w:rPr>
        <w:br w:type="page"/>
      </w:r>
      <w:r w:rsidR="003E141F" w:rsidRPr="00A73F3E">
        <w:rPr>
          <w:rFonts w:eastAsia="Calibri" w:cs="Times New Roman"/>
          <w:sz w:val="24"/>
        </w:rPr>
        <w:t xml:space="preserve"> </w:t>
      </w:r>
    </w:p>
    <w:p w:rsidR="004B5681" w:rsidRPr="005C776E" w:rsidRDefault="004B5681" w:rsidP="004B5681">
      <w:pPr>
        <w:rPr>
          <w:rFonts w:eastAsia="Calibri" w:cs="Times New Roman"/>
          <w:sz w:val="24"/>
        </w:rPr>
      </w:pPr>
      <w:r w:rsidRPr="00FB706A">
        <w:rPr>
          <w:rFonts w:eastAsia="Calibri" w:cs="Times New Roman"/>
          <w:b/>
          <w:sz w:val="24"/>
        </w:rPr>
        <w:t>Supplementary Figure 1</w:t>
      </w:r>
      <w:r w:rsidRPr="00FB706A">
        <w:rPr>
          <w:rFonts w:eastAsia="Calibri" w:cs="Times New Roman"/>
          <w:sz w:val="24"/>
        </w:rPr>
        <w:t>:</w:t>
      </w:r>
      <w:r w:rsidRPr="005C776E">
        <w:rPr>
          <w:rFonts w:eastAsia="Calibri" w:cs="Times New Roman"/>
          <w:sz w:val="24"/>
        </w:rPr>
        <w:t xml:space="preserve"> Age trajectories (or slope of change in predicted biological age) illustrated for a single exemplar participant. The first and last clinical visits of this participant were in ages 50 and 60 years, respectively. Cardiovascular system shows a higher than expected increase in predicted age (from 50 years in first visit to 68 years in last visit), which indicates fast-ageing. However, respiratory system shows a</w:t>
      </w:r>
      <w:r>
        <w:rPr>
          <w:rFonts w:eastAsia="Calibri" w:cs="Times New Roman"/>
          <w:sz w:val="24"/>
        </w:rPr>
        <w:t xml:space="preserve"> small change in predicted biological age </w:t>
      </w:r>
      <w:r w:rsidRPr="005C776E">
        <w:rPr>
          <w:rFonts w:eastAsia="Calibri" w:cs="Times New Roman"/>
          <w:sz w:val="24"/>
        </w:rPr>
        <w:t>(range betwe</w:t>
      </w:r>
      <w:r>
        <w:rPr>
          <w:rFonts w:eastAsia="Calibri" w:cs="Times New Roman"/>
          <w:sz w:val="24"/>
        </w:rPr>
        <w:t>en 51 and 54 years) indicating</w:t>
      </w:r>
      <w:r w:rsidRPr="005C776E">
        <w:rPr>
          <w:rFonts w:eastAsia="Calibri" w:cs="Times New Roman"/>
          <w:sz w:val="24"/>
        </w:rPr>
        <w:t xml:space="preserve"> slow-ageing.</w:t>
      </w:r>
      <w:r>
        <w:rPr>
          <w:rFonts w:eastAsia="Calibri" w:cs="Times New Roman"/>
          <w:sz w:val="24"/>
        </w:rPr>
        <w:t xml:space="preserve"> Morphometric system shows a normal ageing (predicted age between 52 and 62 years).</w:t>
      </w:r>
    </w:p>
    <w:p w:rsidR="004B5681" w:rsidRPr="005C776E" w:rsidRDefault="004B5681" w:rsidP="004B5681">
      <w:pPr>
        <w:rPr>
          <w:rFonts w:eastAsia="Calibri" w:cs="Times New Roman"/>
          <w:sz w:val="24"/>
        </w:rPr>
      </w:pPr>
    </w:p>
    <w:p w:rsidR="004B5681" w:rsidRPr="005C776E" w:rsidRDefault="004B5681" w:rsidP="004B5681">
      <w:pPr>
        <w:rPr>
          <w:rFonts w:eastAsia="Calibri" w:cs="Times New Roman"/>
          <w:sz w:val="24"/>
        </w:rPr>
      </w:pPr>
      <w:r w:rsidRPr="003C3267">
        <w:rPr>
          <w:noProof/>
          <w:lang w:val="en-AU" w:eastAsia="en-AU"/>
        </w:rPr>
        <w:drawing>
          <wp:inline distT="0" distB="0" distL="0" distR="0">
            <wp:extent cx="5076967" cy="4134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5077446" cy="4135277"/>
                    </a:xfrm>
                    <a:prstGeom prst="rect">
                      <a:avLst/>
                    </a:prstGeom>
                    <a:noFill/>
                    <a:ln>
                      <a:noFill/>
                    </a:ln>
                  </pic:spPr>
                </pic:pic>
              </a:graphicData>
            </a:graphic>
          </wp:inline>
        </w:drawing>
      </w:r>
    </w:p>
    <w:p w:rsidR="004B5681" w:rsidRPr="005C776E" w:rsidRDefault="004B5681" w:rsidP="004B5681">
      <w:pPr>
        <w:rPr>
          <w:rFonts w:eastAsia="Calibri" w:cs="Times New Roman"/>
          <w:sz w:val="24"/>
        </w:rPr>
      </w:pPr>
      <w:bookmarkStart w:id="7" w:name="_GoBack"/>
      <w:bookmarkEnd w:id="7"/>
    </w:p>
    <w:p w:rsidR="004B5681" w:rsidRPr="005C776E" w:rsidRDefault="004B5681" w:rsidP="004B5681">
      <w:pPr>
        <w:rPr>
          <w:rFonts w:eastAsia="Calibri" w:cs="Times New Roman"/>
          <w:sz w:val="24"/>
        </w:rPr>
      </w:pPr>
      <w:r w:rsidRPr="005C776E">
        <w:rPr>
          <w:rFonts w:eastAsia="Calibri" w:cs="Times New Roman"/>
          <w:sz w:val="24"/>
        </w:rPr>
        <w:br w:type="page"/>
      </w:r>
    </w:p>
    <w:p w:rsidR="004B5681" w:rsidRPr="005C776E" w:rsidRDefault="004B5681" w:rsidP="004B5681">
      <w:pPr>
        <w:rPr>
          <w:rFonts w:eastAsia="Calibri" w:cs="Times New Roman"/>
          <w:sz w:val="24"/>
        </w:rPr>
      </w:pPr>
      <w:r w:rsidRPr="00FB706A">
        <w:rPr>
          <w:rFonts w:eastAsia="Calibri" w:cs="Times New Roman"/>
          <w:b/>
          <w:sz w:val="24"/>
        </w:rPr>
        <w:t>Supplementary Figure 2</w:t>
      </w:r>
      <w:r w:rsidRPr="00FB706A">
        <w:rPr>
          <w:rFonts w:eastAsia="Calibri" w:cs="Times New Roman"/>
          <w:sz w:val="24"/>
        </w:rPr>
        <w:t>:</w:t>
      </w:r>
      <w:r w:rsidRPr="005C776E">
        <w:rPr>
          <w:rFonts w:eastAsia="Calibri" w:cs="Times New Roman"/>
          <w:sz w:val="24"/>
        </w:rPr>
        <w:t xml:space="preserve"> </w:t>
      </w:r>
      <w:r w:rsidR="00FB706A">
        <w:rPr>
          <w:rFonts w:eastAsia="Calibri" w:cs="Times New Roman"/>
          <w:sz w:val="24"/>
        </w:rPr>
        <w:t>R</w:t>
      </w:r>
      <w:r w:rsidRPr="005C776E">
        <w:rPr>
          <w:rFonts w:eastAsia="Calibri" w:cs="Times New Roman"/>
          <w:sz w:val="24"/>
        </w:rPr>
        <w:t>elative contribution of genetic, shared environmental and unique environmental factors to variance in ageing trajectories in 5 body systems</w:t>
      </w:r>
    </w:p>
    <w:p w:rsidR="004B5681" w:rsidRPr="005C776E" w:rsidRDefault="004B5681" w:rsidP="004B5681">
      <w:pPr>
        <w:spacing w:after="0" w:line="240" w:lineRule="auto"/>
        <w:jc w:val="both"/>
        <w:rPr>
          <w:rFonts w:eastAsia="Calibri" w:cs="Times New Roman"/>
          <w:sz w:val="24"/>
        </w:rPr>
      </w:pPr>
      <w:r w:rsidRPr="006D6628">
        <w:rPr>
          <w:noProof/>
          <w:lang w:val="en-AU" w:eastAsia="en-AU"/>
        </w:rPr>
        <w:drawing>
          <wp:inline distT="0" distB="0" distL="0" distR="0">
            <wp:extent cx="5731510" cy="360052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5731510" cy="3600527"/>
                    </a:xfrm>
                    <a:prstGeom prst="rect">
                      <a:avLst/>
                    </a:prstGeom>
                    <a:noFill/>
                    <a:ln>
                      <a:noFill/>
                    </a:ln>
                  </pic:spPr>
                </pic:pic>
              </a:graphicData>
            </a:graphic>
          </wp:inline>
        </w:drawing>
      </w:r>
    </w:p>
    <w:p w:rsidR="004B5681" w:rsidRDefault="004B5681" w:rsidP="004B5681"/>
    <w:p w:rsidR="004B5681" w:rsidRDefault="004B5681" w:rsidP="004B5681">
      <w:r>
        <w:br w:type="page"/>
      </w:r>
    </w:p>
    <w:p w:rsidR="004B5681" w:rsidRDefault="004B5681" w:rsidP="004B5681">
      <w:pPr>
        <w:jc w:val="both"/>
        <w:rPr>
          <w:rFonts w:eastAsia="Calibri" w:cs="Times New Roman"/>
          <w:sz w:val="24"/>
        </w:rPr>
      </w:pPr>
      <w:r w:rsidRPr="00FB706A">
        <w:rPr>
          <w:rFonts w:eastAsia="Calibri" w:cs="Times New Roman"/>
          <w:b/>
          <w:sz w:val="24"/>
        </w:rPr>
        <w:t>Supplementary Figure 3</w:t>
      </w:r>
      <w:r w:rsidRPr="00FB706A">
        <w:rPr>
          <w:rFonts w:eastAsia="Calibri" w:cs="Times New Roman"/>
          <w:sz w:val="24"/>
        </w:rPr>
        <w:t>:</w:t>
      </w:r>
      <w:r>
        <w:rPr>
          <w:rFonts w:eastAsia="Calibri" w:cs="Times New Roman"/>
          <w:sz w:val="24"/>
        </w:rPr>
        <w:t xml:space="preserve"> Structure and e</w:t>
      </w:r>
      <w:r w:rsidRPr="006D6628">
        <w:rPr>
          <w:rFonts w:eastAsia="Calibri" w:cs="Times New Roman"/>
          <w:sz w:val="24"/>
        </w:rPr>
        <w:t xml:space="preserve">stimated </w:t>
      </w:r>
      <w:r>
        <w:rPr>
          <w:rFonts w:eastAsia="Calibri" w:cs="Times New Roman"/>
          <w:sz w:val="24"/>
        </w:rPr>
        <w:t>v</w:t>
      </w:r>
      <w:r w:rsidRPr="006D6628">
        <w:rPr>
          <w:rFonts w:eastAsia="Calibri" w:cs="Times New Roman"/>
          <w:sz w:val="24"/>
        </w:rPr>
        <w:t xml:space="preserve">ariance </w:t>
      </w:r>
      <w:r>
        <w:rPr>
          <w:rFonts w:eastAsia="Calibri" w:cs="Times New Roman"/>
          <w:sz w:val="24"/>
        </w:rPr>
        <w:t>c</w:t>
      </w:r>
      <w:r w:rsidRPr="006D6628">
        <w:rPr>
          <w:rFonts w:eastAsia="Calibri" w:cs="Times New Roman"/>
          <w:sz w:val="24"/>
        </w:rPr>
        <w:t xml:space="preserve">omponents </w:t>
      </w:r>
      <w:r>
        <w:rPr>
          <w:rFonts w:eastAsia="Calibri" w:cs="Times New Roman"/>
          <w:sz w:val="24"/>
        </w:rPr>
        <w:t>r</w:t>
      </w:r>
      <w:r w:rsidRPr="006D6628">
        <w:rPr>
          <w:rFonts w:eastAsia="Calibri" w:cs="Times New Roman"/>
          <w:sz w:val="24"/>
        </w:rPr>
        <w:t xml:space="preserve">esulting from the </w:t>
      </w:r>
      <w:r>
        <w:rPr>
          <w:rFonts w:eastAsia="Calibri" w:cs="Times New Roman"/>
          <w:sz w:val="24"/>
        </w:rPr>
        <w:t>‘</w:t>
      </w:r>
      <w:r w:rsidRPr="006D6628">
        <w:rPr>
          <w:rFonts w:eastAsia="Calibri" w:cs="Times New Roman"/>
          <w:sz w:val="24"/>
        </w:rPr>
        <w:t>Common Factor Model</w:t>
      </w:r>
      <w:r>
        <w:rPr>
          <w:rFonts w:eastAsia="Calibri" w:cs="Times New Roman"/>
          <w:sz w:val="24"/>
        </w:rPr>
        <w:t xml:space="preserve">’. Level I denotes the general genetic (A), shared environmental (C), and unique environmental (E) influences on the common ageing factor. Level II denotes the factor structure of 5 ageing domains combined into a single factor; the path coefficients represent factor loadings. Level III denotes the specific genetic (a), shared environmental (c), and unique environmental (e) influences on the individual ageing domains. Detailed estimates are shown </w:t>
      </w:r>
      <w:r w:rsidRPr="006D6628">
        <w:rPr>
          <w:rFonts w:eastAsia="Calibri" w:cs="Times New Roman"/>
          <w:sz w:val="24"/>
        </w:rPr>
        <w:t xml:space="preserve">in </w:t>
      </w:r>
      <w:r w:rsidRPr="006D6628">
        <w:rPr>
          <w:rFonts w:eastAsia="Calibri" w:cs="Times New Roman"/>
          <w:i/>
          <w:sz w:val="24"/>
        </w:rPr>
        <w:t xml:space="preserve">Supplementary Table </w:t>
      </w:r>
      <w:r>
        <w:rPr>
          <w:rFonts w:eastAsia="Calibri" w:cs="Times New Roman"/>
          <w:i/>
          <w:sz w:val="24"/>
        </w:rPr>
        <w:t>3.</w:t>
      </w:r>
      <w:r>
        <w:rPr>
          <w:rFonts w:eastAsia="Calibri" w:cs="Times New Roman"/>
          <w:sz w:val="24"/>
        </w:rPr>
        <w:t xml:space="preserve"> </w:t>
      </w:r>
    </w:p>
    <w:p w:rsidR="004B5681" w:rsidRDefault="004B5681" w:rsidP="004B5681">
      <w:pPr>
        <w:rPr>
          <w:rFonts w:eastAsia="Calibri" w:cs="Times New Roman"/>
          <w:sz w:val="24"/>
        </w:rPr>
      </w:pPr>
      <w:r w:rsidRPr="00E32030">
        <w:rPr>
          <w:noProof/>
          <w:lang w:val="en-AU" w:eastAsia="en-AU"/>
        </w:rPr>
        <w:drawing>
          <wp:inline distT="0" distB="0" distL="0" distR="0">
            <wp:extent cx="5731510" cy="35463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mv="urn:schemas-microsoft-com:mac:vml" xmlns:mo="http://schemas.microsoft.com/office/mac/office/2008/main" val="0"/>
                        </a:ext>
                      </a:extLst>
                    </a:blip>
                    <a:srcRect/>
                    <a:stretch>
                      <a:fillRect/>
                    </a:stretch>
                  </pic:blipFill>
                  <pic:spPr bwMode="auto">
                    <a:xfrm>
                      <a:off x="0" y="0"/>
                      <a:ext cx="5731510" cy="3546390"/>
                    </a:xfrm>
                    <a:prstGeom prst="rect">
                      <a:avLst/>
                    </a:prstGeom>
                    <a:noFill/>
                    <a:ln>
                      <a:noFill/>
                    </a:ln>
                  </pic:spPr>
                </pic:pic>
              </a:graphicData>
            </a:graphic>
          </wp:inline>
        </w:drawing>
      </w:r>
    </w:p>
    <w:p w:rsidR="004B5681" w:rsidRDefault="004B5681" w:rsidP="004B5681">
      <w:pPr>
        <w:rPr>
          <w:rFonts w:eastAsia="Calibri" w:cs="Times New Roman"/>
          <w:sz w:val="24"/>
        </w:rPr>
      </w:pPr>
    </w:p>
    <w:p w:rsidR="006D5155" w:rsidRDefault="006D5155">
      <w:pPr>
        <w:rPr>
          <w:rFonts w:eastAsia="Calibri" w:cs="Times New Roman"/>
          <w:sz w:val="24"/>
        </w:rPr>
      </w:pPr>
      <w:r>
        <w:rPr>
          <w:rFonts w:eastAsia="Calibri" w:cs="Times New Roman"/>
          <w:sz w:val="24"/>
        </w:rPr>
        <w:br w:type="page"/>
      </w:r>
    </w:p>
    <w:p w:rsidR="0016134B" w:rsidRPr="00FB706A" w:rsidRDefault="0016134B" w:rsidP="0016134B">
      <w:pPr>
        <w:jc w:val="center"/>
        <w:rPr>
          <w:rFonts w:ascii="Calibri" w:eastAsia="Calibri" w:hAnsi="Calibri" w:cs="Times New Roman"/>
          <w:b/>
          <w:noProof/>
          <w:sz w:val="24"/>
          <w:szCs w:val="24"/>
        </w:rPr>
      </w:pPr>
      <w:r w:rsidRPr="00FB706A">
        <w:rPr>
          <w:rFonts w:ascii="Calibri" w:eastAsia="Calibri" w:hAnsi="Calibri" w:cs="Times New Roman"/>
          <w:b/>
          <w:noProof/>
          <w:sz w:val="24"/>
          <w:szCs w:val="24"/>
        </w:rPr>
        <w:t>References</w:t>
      </w:r>
    </w:p>
    <w:p w:rsidR="0016134B" w:rsidRPr="0016134B" w:rsidRDefault="0016134B" w:rsidP="0016134B">
      <w:pPr>
        <w:jc w:val="center"/>
        <w:rPr>
          <w:rFonts w:ascii="Calibri" w:eastAsia="Calibri" w:hAnsi="Calibri" w:cs="Times New Roman"/>
          <w:noProof/>
        </w:rPr>
      </w:pPr>
    </w:p>
    <w:p w:rsidR="0016134B" w:rsidRDefault="0016134B" w:rsidP="0016134B">
      <w:pPr>
        <w:tabs>
          <w:tab w:val="left" w:pos="0"/>
        </w:tabs>
        <w:spacing w:after="240" w:line="240" w:lineRule="auto"/>
        <w:rPr>
          <w:rFonts w:ascii="Calibri" w:eastAsia="Calibri" w:hAnsi="Calibri" w:cs="Times New Roman"/>
          <w:noProof/>
        </w:rPr>
      </w:pPr>
      <w:r>
        <w:rPr>
          <w:rFonts w:ascii="Calibri" w:eastAsia="Calibri" w:hAnsi="Calibri" w:cs="Times New Roman"/>
          <w:noProof/>
        </w:rPr>
        <w:t>Burnham, K. P.</w:t>
      </w:r>
      <w:r w:rsidR="00FB706A">
        <w:rPr>
          <w:rFonts w:ascii="Calibri" w:eastAsia="Calibri" w:hAnsi="Calibri" w:cs="Times New Roman"/>
          <w:noProof/>
        </w:rPr>
        <w:t>,</w:t>
      </w:r>
      <w:r>
        <w:rPr>
          <w:rFonts w:ascii="Calibri" w:eastAsia="Calibri" w:hAnsi="Calibri" w:cs="Times New Roman"/>
          <w:noProof/>
        </w:rPr>
        <w:t xml:space="preserve"> &amp; Anderson, D. R. (2002). </w:t>
      </w:r>
      <w:r w:rsidRPr="0016134B">
        <w:rPr>
          <w:rFonts w:ascii="Calibri" w:eastAsia="Calibri" w:hAnsi="Calibri" w:cs="Times New Roman"/>
          <w:i/>
          <w:noProof/>
        </w:rPr>
        <w:t xml:space="preserve">Model </w:t>
      </w:r>
      <w:r w:rsidR="00FB706A" w:rsidRPr="0016134B">
        <w:rPr>
          <w:rFonts w:ascii="Calibri" w:eastAsia="Calibri" w:hAnsi="Calibri" w:cs="Times New Roman"/>
          <w:i/>
          <w:noProof/>
        </w:rPr>
        <w:t>selection and multimodel inference</w:t>
      </w:r>
      <w:r w:rsidRPr="0016134B">
        <w:rPr>
          <w:rFonts w:ascii="Calibri" w:eastAsia="Calibri" w:hAnsi="Calibri" w:cs="Times New Roman"/>
          <w:i/>
          <w:noProof/>
        </w:rPr>
        <w:t xml:space="preserve">: A </w:t>
      </w:r>
      <w:r w:rsidR="00FB706A" w:rsidRPr="0016134B">
        <w:rPr>
          <w:rFonts w:ascii="Calibri" w:eastAsia="Calibri" w:hAnsi="Calibri" w:cs="Times New Roman"/>
          <w:i/>
          <w:noProof/>
        </w:rPr>
        <w:t xml:space="preserve">practical information-theoretic approach </w:t>
      </w:r>
      <w:r w:rsidRPr="00FB706A">
        <w:rPr>
          <w:rFonts w:ascii="Calibri" w:eastAsia="Calibri" w:hAnsi="Calibri" w:cs="Times New Roman"/>
          <w:noProof/>
        </w:rPr>
        <w:t>(2nd ed.).</w:t>
      </w:r>
      <w:r>
        <w:rPr>
          <w:rFonts w:ascii="Calibri" w:eastAsia="Calibri" w:hAnsi="Calibri" w:cs="Times New Roman"/>
          <w:noProof/>
        </w:rPr>
        <w:t xml:space="preserve"> New York: Springer-Verlag.</w:t>
      </w:r>
    </w:p>
    <w:p w:rsidR="0016134B" w:rsidRDefault="0016134B" w:rsidP="0016134B">
      <w:pPr>
        <w:tabs>
          <w:tab w:val="left" w:pos="0"/>
        </w:tabs>
        <w:spacing w:after="240" w:line="240" w:lineRule="auto"/>
        <w:rPr>
          <w:rFonts w:ascii="Calibri" w:eastAsia="Calibri" w:hAnsi="Calibri" w:cs="Times New Roman"/>
          <w:noProof/>
        </w:rPr>
      </w:pPr>
      <w:r>
        <w:rPr>
          <w:rFonts w:ascii="Calibri" w:eastAsia="Calibri" w:hAnsi="Calibri" w:cs="Times New Roman"/>
          <w:noProof/>
        </w:rPr>
        <w:t xml:space="preserve">Cruz-Jentoft, A. J., Baeyens, J. P., Bauer, J. M., Boirie, Y., Cederholm, T., Landi, F., </w:t>
      </w:r>
      <w:r w:rsidR="00DF6D88">
        <w:rPr>
          <w:rFonts w:ascii="Calibri" w:eastAsia="Calibri" w:hAnsi="Calibri" w:cs="Times New Roman"/>
          <w:noProof/>
        </w:rPr>
        <w:t>…</w:t>
      </w:r>
      <w:r>
        <w:rPr>
          <w:rFonts w:ascii="Calibri" w:eastAsia="Calibri" w:hAnsi="Calibri" w:cs="Times New Roman"/>
          <w:noProof/>
        </w:rPr>
        <w:t xml:space="preserve"> Zamboni, M. (2010). Sarcopenia: European consensus on definition and diagnosis: Report of the European Working Group on Sarcopenia in Older People. </w:t>
      </w:r>
      <w:r w:rsidRPr="0016134B">
        <w:rPr>
          <w:rFonts w:ascii="Calibri" w:eastAsia="Calibri" w:hAnsi="Calibri" w:cs="Times New Roman"/>
          <w:i/>
          <w:noProof/>
        </w:rPr>
        <w:t xml:space="preserve">Age </w:t>
      </w:r>
      <w:r w:rsidR="00FB706A">
        <w:rPr>
          <w:rFonts w:ascii="Calibri" w:eastAsia="Calibri" w:hAnsi="Calibri" w:cs="Times New Roman"/>
          <w:i/>
          <w:noProof/>
        </w:rPr>
        <w:t xml:space="preserve">and </w:t>
      </w:r>
      <w:r w:rsidRPr="0016134B">
        <w:rPr>
          <w:rFonts w:ascii="Calibri" w:eastAsia="Calibri" w:hAnsi="Calibri" w:cs="Times New Roman"/>
          <w:i/>
          <w:noProof/>
        </w:rPr>
        <w:t>Ageing</w:t>
      </w:r>
      <w:r>
        <w:rPr>
          <w:rFonts w:ascii="Calibri" w:eastAsia="Calibri" w:hAnsi="Calibri" w:cs="Times New Roman"/>
          <w:noProof/>
        </w:rPr>
        <w:t xml:space="preserve">, </w:t>
      </w:r>
      <w:r w:rsidRPr="0016134B">
        <w:rPr>
          <w:rFonts w:ascii="Calibri" w:eastAsia="Calibri" w:hAnsi="Calibri" w:cs="Times New Roman"/>
          <w:i/>
          <w:noProof/>
        </w:rPr>
        <w:t>39</w:t>
      </w:r>
      <w:r>
        <w:rPr>
          <w:rFonts w:ascii="Calibri" w:eastAsia="Calibri" w:hAnsi="Calibri" w:cs="Times New Roman"/>
          <w:noProof/>
        </w:rPr>
        <w:t>, 412-423.</w:t>
      </w:r>
    </w:p>
    <w:p w:rsidR="0016134B" w:rsidRDefault="0016134B" w:rsidP="0016134B">
      <w:pPr>
        <w:tabs>
          <w:tab w:val="left" w:pos="0"/>
        </w:tabs>
        <w:spacing w:after="240" w:line="240" w:lineRule="auto"/>
        <w:rPr>
          <w:rFonts w:ascii="Calibri" w:eastAsia="Calibri" w:hAnsi="Calibri" w:cs="Times New Roman"/>
          <w:noProof/>
        </w:rPr>
      </w:pPr>
      <w:r>
        <w:rPr>
          <w:rFonts w:ascii="Calibri" w:eastAsia="Calibri" w:hAnsi="Calibri" w:cs="Times New Roman"/>
          <w:noProof/>
        </w:rPr>
        <w:t xml:space="preserve">Derks, E. M., Dolan, C. V., &amp; Boomsma, D. I. (2006). A test of the equal environment assumption (EEA) in multivariate twin studies. </w:t>
      </w:r>
      <w:r w:rsidRPr="0016134B">
        <w:rPr>
          <w:rFonts w:ascii="Calibri" w:eastAsia="Calibri" w:hAnsi="Calibri" w:cs="Times New Roman"/>
          <w:i/>
          <w:noProof/>
        </w:rPr>
        <w:t>Twin Res</w:t>
      </w:r>
      <w:r w:rsidR="00FB706A">
        <w:rPr>
          <w:rFonts w:ascii="Calibri" w:eastAsia="Calibri" w:hAnsi="Calibri" w:cs="Times New Roman"/>
          <w:i/>
          <w:noProof/>
        </w:rPr>
        <w:t>earch and</w:t>
      </w:r>
      <w:r w:rsidRPr="0016134B">
        <w:rPr>
          <w:rFonts w:ascii="Calibri" w:eastAsia="Calibri" w:hAnsi="Calibri" w:cs="Times New Roman"/>
          <w:i/>
          <w:noProof/>
        </w:rPr>
        <w:t xml:space="preserve"> Hum</w:t>
      </w:r>
      <w:r w:rsidR="00FB706A">
        <w:rPr>
          <w:rFonts w:ascii="Calibri" w:eastAsia="Calibri" w:hAnsi="Calibri" w:cs="Times New Roman"/>
          <w:i/>
          <w:noProof/>
        </w:rPr>
        <w:t>an</w:t>
      </w:r>
      <w:r w:rsidRPr="0016134B">
        <w:rPr>
          <w:rFonts w:ascii="Calibri" w:eastAsia="Calibri" w:hAnsi="Calibri" w:cs="Times New Roman"/>
          <w:i/>
          <w:noProof/>
        </w:rPr>
        <w:t xml:space="preserve"> Genet</w:t>
      </w:r>
      <w:r w:rsidR="00FB706A">
        <w:rPr>
          <w:rFonts w:ascii="Calibri" w:eastAsia="Calibri" w:hAnsi="Calibri" w:cs="Times New Roman"/>
          <w:i/>
          <w:noProof/>
        </w:rPr>
        <w:t>ics</w:t>
      </w:r>
      <w:r>
        <w:rPr>
          <w:rFonts w:ascii="Calibri" w:eastAsia="Calibri" w:hAnsi="Calibri" w:cs="Times New Roman"/>
          <w:noProof/>
        </w:rPr>
        <w:t xml:space="preserve">, </w:t>
      </w:r>
      <w:r w:rsidRPr="0016134B">
        <w:rPr>
          <w:rFonts w:ascii="Calibri" w:eastAsia="Calibri" w:hAnsi="Calibri" w:cs="Times New Roman"/>
          <w:i/>
          <w:noProof/>
        </w:rPr>
        <w:t>9</w:t>
      </w:r>
      <w:r>
        <w:rPr>
          <w:rFonts w:ascii="Calibri" w:eastAsia="Calibri" w:hAnsi="Calibri" w:cs="Times New Roman"/>
          <w:noProof/>
        </w:rPr>
        <w:t>, 403-411.</w:t>
      </w:r>
    </w:p>
    <w:p w:rsidR="00FB706A" w:rsidRPr="00FB706A" w:rsidRDefault="00FB706A" w:rsidP="00FB706A">
      <w:pPr>
        <w:tabs>
          <w:tab w:val="left" w:pos="0"/>
        </w:tabs>
        <w:spacing w:after="240" w:line="240" w:lineRule="auto"/>
        <w:rPr>
          <w:rFonts w:ascii="Calibri" w:eastAsia="Calibri" w:hAnsi="Calibri" w:cs="Times New Roman"/>
          <w:noProof/>
        </w:rPr>
      </w:pPr>
      <w:r w:rsidRPr="00FB706A">
        <w:rPr>
          <w:rFonts w:ascii="Calibri" w:eastAsia="Calibri" w:hAnsi="Calibri" w:cs="Times New Roman"/>
          <w:noProof/>
        </w:rPr>
        <w:t>Gillespie, N. A., &amp; Martin, N. G. (2005). Multivariate genetic analysis</w:t>
      </w:r>
      <w:r w:rsidRPr="00FB706A">
        <w:rPr>
          <w:rFonts w:ascii="Calibri" w:eastAsia="Calibri" w:hAnsi="Calibri" w:cs="Times New Roman"/>
          <w:i/>
          <w:noProof/>
        </w:rPr>
        <w:t xml:space="preserve">. </w:t>
      </w:r>
      <w:r w:rsidRPr="00FB706A">
        <w:rPr>
          <w:rFonts w:ascii="Calibri" w:eastAsia="Calibri" w:hAnsi="Calibri" w:cs="Times New Roman"/>
          <w:noProof/>
        </w:rPr>
        <w:t xml:space="preserve">In B. S. Everitt &amp; D. C. Howell (Eds.), </w:t>
      </w:r>
      <w:r w:rsidRPr="00FB706A">
        <w:rPr>
          <w:rFonts w:ascii="Calibri" w:eastAsia="Calibri" w:hAnsi="Calibri" w:cs="Times New Roman"/>
          <w:bCs/>
          <w:i/>
          <w:noProof/>
        </w:rPr>
        <w:t>Encyclopedia of statistics in behavioral science</w:t>
      </w:r>
      <w:r w:rsidRPr="00FB706A">
        <w:rPr>
          <w:rFonts w:ascii="Calibri" w:eastAsia="Calibri" w:hAnsi="Calibri" w:cs="Times New Roman"/>
          <w:i/>
          <w:noProof/>
        </w:rPr>
        <w:t xml:space="preserve"> </w:t>
      </w:r>
      <w:r w:rsidRPr="00FB706A">
        <w:rPr>
          <w:rFonts w:ascii="Calibri" w:eastAsia="Calibri" w:hAnsi="Calibri" w:cs="Times New Roman"/>
          <w:noProof/>
        </w:rPr>
        <w:t>(pp. 1363–1370)</w:t>
      </w:r>
      <w:r w:rsidRPr="00FB706A">
        <w:rPr>
          <w:rFonts w:ascii="Calibri" w:eastAsia="Calibri" w:hAnsi="Calibri" w:cs="Times New Roman"/>
          <w:i/>
          <w:noProof/>
        </w:rPr>
        <w:t>.</w:t>
      </w:r>
      <w:r w:rsidRPr="00FB706A">
        <w:rPr>
          <w:rFonts w:ascii="Calibri" w:eastAsia="Calibri" w:hAnsi="Calibri" w:cs="Times New Roman"/>
          <w:noProof/>
        </w:rPr>
        <w:t xml:space="preserve"> Hoboken, NJ: John Wiley &amp; Sons.</w:t>
      </w:r>
    </w:p>
    <w:p w:rsidR="0016134B" w:rsidRDefault="0016134B" w:rsidP="0016134B">
      <w:pPr>
        <w:tabs>
          <w:tab w:val="left" w:pos="0"/>
        </w:tabs>
        <w:spacing w:after="240" w:line="240" w:lineRule="auto"/>
        <w:rPr>
          <w:rFonts w:ascii="Calibri" w:eastAsia="Calibri" w:hAnsi="Calibri" w:cs="Times New Roman"/>
          <w:noProof/>
        </w:rPr>
      </w:pPr>
      <w:r>
        <w:rPr>
          <w:rFonts w:ascii="Calibri" w:eastAsia="Calibri" w:hAnsi="Calibri" w:cs="Times New Roman"/>
          <w:noProof/>
        </w:rPr>
        <w:t xml:space="preserve">Kendler, K. S., Neale, M. C., Kessler, R. C., Heath, A. C., &amp; Eaves, L. J. (1993). A test of the equal-environment assumption in twin studies of psychiatric illness. </w:t>
      </w:r>
      <w:r w:rsidRPr="0016134B">
        <w:rPr>
          <w:rFonts w:ascii="Calibri" w:eastAsia="Calibri" w:hAnsi="Calibri" w:cs="Times New Roman"/>
          <w:i/>
          <w:noProof/>
        </w:rPr>
        <w:t>Behav</w:t>
      </w:r>
      <w:r w:rsidR="00FB706A">
        <w:rPr>
          <w:rFonts w:ascii="Calibri" w:eastAsia="Calibri" w:hAnsi="Calibri" w:cs="Times New Roman"/>
          <w:i/>
          <w:noProof/>
        </w:rPr>
        <w:t>ior</w:t>
      </w:r>
      <w:r w:rsidRPr="0016134B">
        <w:rPr>
          <w:rFonts w:ascii="Calibri" w:eastAsia="Calibri" w:hAnsi="Calibri" w:cs="Times New Roman"/>
          <w:i/>
          <w:noProof/>
        </w:rPr>
        <w:t xml:space="preserve"> Genet</w:t>
      </w:r>
      <w:r w:rsidR="00FB706A">
        <w:rPr>
          <w:rFonts w:ascii="Calibri" w:eastAsia="Calibri" w:hAnsi="Calibri" w:cs="Times New Roman"/>
          <w:i/>
          <w:noProof/>
        </w:rPr>
        <w:t>ics</w:t>
      </w:r>
      <w:r>
        <w:rPr>
          <w:rFonts w:ascii="Calibri" w:eastAsia="Calibri" w:hAnsi="Calibri" w:cs="Times New Roman"/>
          <w:noProof/>
        </w:rPr>
        <w:t xml:space="preserve">, </w:t>
      </w:r>
      <w:r w:rsidRPr="0016134B">
        <w:rPr>
          <w:rFonts w:ascii="Calibri" w:eastAsia="Calibri" w:hAnsi="Calibri" w:cs="Times New Roman"/>
          <w:i/>
          <w:noProof/>
        </w:rPr>
        <w:t>23</w:t>
      </w:r>
      <w:r>
        <w:rPr>
          <w:rFonts w:ascii="Calibri" w:eastAsia="Calibri" w:hAnsi="Calibri" w:cs="Times New Roman"/>
          <w:noProof/>
        </w:rPr>
        <w:t>, 21-27.</w:t>
      </w:r>
    </w:p>
    <w:p w:rsidR="0016134B" w:rsidRDefault="0016134B" w:rsidP="0016134B">
      <w:pPr>
        <w:tabs>
          <w:tab w:val="left" w:pos="0"/>
        </w:tabs>
        <w:spacing w:after="240" w:line="240" w:lineRule="auto"/>
        <w:rPr>
          <w:rFonts w:ascii="Calibri" w:eastAsia="Calibri" w:hAnsi="Calibri" w:cs="Times New Roman"/>
          <w:noProof/>
        </w:rPr>
      </w:pPr>
      <w:r>
        <w:rPr>
          <w:rFonts w:ascii="Calibri" w:eastAsia="Calibri" w:hAnsi="Calibri" w:cs="Times New Roman"/>
          <w:noProof/>
        </w:rPr>
        <w:t xml:space="preserve">Kroboth, P. D., Salek, F. S., Pittenger, A. L., Fabian, T. J., &amp; Frye, R. F. (1999). DHEA and DHEA-S: a review. </w:t>
      </w:r>
      <w:r w:rsidR="00FB706A" w:rsidRPr="00FB706A">
        <w:rPr>
          <w:rFonts w:ascii="Calibri" w:eastAsia="Calibri" w:hAnsi="Calibri" w:cs="Times New Roman"/>
          <w:bCs/>
          <w:i/>
          <w:noProof/>
        </w:rPr>
        <w:t>Journal</w:t>
      </w:r>
      <w:r w:rsidR="00FB706A" w:rsidRPr="00FB706A">
        <w:rPr>
          <w:rFonts w:ascii="Calibri" w:eastAsia="Calibri" w:hAnsi="Calibri" w:cs="Times New Roman"/>
          <w:i/>
          <w:noProof/>
        </w:rPr>
        <w:t xml:space="preserve"> of </w:t>
      </w:r>
      <w:r w:rsidR="00FB706A" w:rsidRPr="00FB706A">
        <w:rPr>
          <w:rFonts w:ascii="Calibri" w:eastAsia="Calibri" w:hAnsi="Calibri" w:cs="Times New Roman"/>
          <w:bCs/>
          <w:i/>
          <w:noProof/>
        </w:rPr>
        <w:t>Clinical Pharmacology</w:t>
      </w:r>
      <w:r>
        <w:rPr>
          <w:rFonts w:ascii="Calibri" w:eastAsia="Calibri" w:hAnsi="Calibri" w:cs="Times New Roman"/>
          <w:noProof/>
        </w:rPr>
        <w:t xml:space="preserve">, </w:t>
      </w:r>
      <w:r w:rsidRPr="0016134B">
        <w:rPr>
          <w:rFonts w:ascii="Calibri" w:eastAsia="Calibri" w:hAnsi="Calibri" w:cs="Times New Roman"/>
          <w:i/>
          <w:noProof/>
        </w:rPr>
        <w:t>39</w:t>
      </w:r>
      <w:r>
        <w:rPr>
          <w:rFonts w:ascii="Calibri" w:eastAsia="Calibri" w:hAnsi="Calibri" w:cs="Times New Roman"/>
          <w:noProof/>
        </w:rPr>
        <w:t>, 327-348.</w:t>
      </w:r>
    </w:p>
    <w:p w:rsidR="0016134B" w:rsidRDefault="0016134B" w:rsidP="0016134B">
      <w:pPr>
        <w:tabs>
          <w:tab w:val="left" w:pos="0"/>
        </w:tabs>
        <w:spacing w:after="240" w:line="240" w:lineRule="auto"/>
        <w:rPr>
          <w:rFonts w:ascii="Calibri" w:eastAsia="Calibri" w:hAnsi="Calibri" w:cs="Times New Roman"/>
          <w:noProof/>
        </w:rPr>
      </w:pPr>
      <w:r>
        <w:rPr>
          <w:rFonts w:ascii="Calibri" w:eastAsia="Calibri" w:hAnsi="Calibri" w:cs="Times New Roman"/>
          <w:noProof/>
        </w:rPr>
        <w:t xml:space="preserve">Moayyeri, A., Hammond, C. J., Hart, D. J., &amp; Spector, T. D. (2013a). The UK Adult Twin Registry (TwinsUK Resource). </w:t>
      </w:r>
      <w:r w:rsidR="00FB706A">
        <w:rPr>
          <w:rFonts w:ascii="Calibri" w:eastAsia="Calibri" w:hAnsi="Calibri" w:cs="Times New Roman"/>
          <w:i/>
          <w:noProof/>
        </w:rPr>
        <w:t>Twin Research and Human Genetics</w:t>
      </w:r>
      <w:r>
        <w:rPr>
          <w:rFonts w:ascii="Calibri" w:eastAsia="Calibri" w:hAnsi="Calibri" w:cs="Times New Roman"/>
          <w:noProof/>
        </w:rPr>
        <w:t xml:space="preserve">, </w:t>
      </w:r>
      <w:r w:rsidRPr="0016134B">
        <w:rPr>
          <w:rFonts w:ascii="Calibri" w:eastAsia="Calibri" w:hAnsi="Calibri" w:cs="Times New Roman"/>
          <w:i/>
          <w:noProof/>
        </w:rPr>
        <w:t>16</w:t>
      </w:r>
      <w:r>
        <w:rPr>
          <w:rFonts w:ascii="Calibri" w:eastAsia="Calibri" w:hAnsi="Calibri" w:cs="Times New Roman"/>
          <w:noProof/>
        </w:rPr>
        <w:t>, 144-149.</w:t>
      </w:r>
    </w:p>
    <w:p w:rsidR="0016134B" w:rsidRDefault="0016134B" w:rsidP="0016134B">
      <w:pPr>
        <w:tabs>
          <w:tab w:val="left" w:pos="0"/>
        </w:tabs>
        <w:spacing w:after="240" w:line="240" w:lineRule="auto"/>
        <w:rPr>
          <w:rFonts w:ascii="Calibri" w:eastAsia="Calibri" w:hAnsi="Calibri" w:cs="Times New Roman"/>
          <w:noProof/>
        </w:rPr>
      </w:pPr>
      <w:r>
        <w:rPr>
          <w:rFonts w:ascii="Calibri" w:eastAsia="Calibri" w:hAnsi="Calibri" w:cs="Times New Roman"/>
          <w:noProof/>
        </w:rPr>
        <w:t xml:space="preserve">Moayyeri, A., Hammond, C. J., Valdes, A. M., &amp; Spector, T. D. (2013b). Cohort </w:t>
      </w:r>
      <w:r w:rsidR="00FB706A">
        <w:rPr>
          <w:rFonts w:ascii="Calibri" w:eastAsia="Calibri" w:hAnsi="Calibri" w:cs="Times New Roman"/>
          <w:noProof/>
        </w:rPr>
        <w:t>p</w:t>
      </w:r>
      <w:r>
        <w:rPr>
          <w:rFonts w:ascii="Calibri" w:eastAsia="Calibri" w:hAnsi="Calibri" w:cs="Times New Roman"/>
          <w:noProof/>
        </w:rPr>
        <w:t xml:space="preserve">rofile: TwinsUK and healthy ageing twin study. </w:t>
      </w:r>
      <w:r w:rsidR="00FB706A" w:rsidRPr="00FB706A">
        <w:rPr>
          <w:rFonts w:ascii="Calibri" w:eastAsia="Calibri" w:hAnsi="Calibri" w:cs="Times New Roman"/>
          <w:bCs/>
          <w:i/>
          <w:noProof/>
        </w:rPr>
        <w:t>International Journal of Epidemiology</w:t>
      </w:r>
      <w:r>
        <w:rPr>
          <w:rFonts w:ascii="Calibri" w:eastAsia="Calibri" w:hAnsi="Calibri" w:cs="Times New Roman"/>
          <w:noProof/>
        </w:rPr>
        <w:t xml:space="preserve">, </w:t>
      </w:r>
      <w:r w:rsidRPr="0016134B">
        <w:rPr>
          <w:rFonts w:ascii="Calibri" w:eastAsia="Calibri" w:hAnsi="Calibri" w:cs="Times New Roman"/>
          <w:i/>
          <w:noProof/>
        </w:rPr>
        <w:t>42</w:t>
      </w:r>
      <w:r>
        <w:rPr>
          <w:rFonts w:ascii="Calibri" w:eastAsia="Calibri" w:hAnsi="Calibri" w:cs="Times New Roman"/>
          <w:noProof/>
        </w:rPr>
        <w:t>, 76-85.</w:t>
      </w:r>
    </w:p>
    <w:p w:rsidR="0016134B" w:rsidRDefault="0016134B" w:rsidP="0016134B">
      <w:pPr>
        <w:tabs>
          <w:tab w:val="left" w:pos="0"/>
        </w:tabs>
        <w:spacing w:after="240" w:line="240" w:lineRule="auto"/>
        <w:rPr>
          <w:rFonts w:ascii="Calibri" w:eastAsia="Calibri" w:hAnsi="Calibri" w:cs="Times New Roman"/>
          <w:noProof/>
        </w:rPr>
      </w:pPr>
      <w:r>
        <w:rPr>
          <w:rFonts w:ascii="Calibri" w:eastAsia="Calibri" w:hAnsi="Calibri" w:cs="Times New Roman"/>
          <w:noProof/>
        </w:rPr>
        <w:t xml:space="preserve">Neale, M. &amp; Cardon, L. (1992). </w:t>
      </w:r>
      <w:r w:rsidRPr="0016134B">
        <w:rPr>
          <w:rFonts w:ascii="Calibri" w:eastAsia="Calibri" w:hAnsi="Calibri" w:cs="Times New Roman"/>
          <w:i/>
          <w:noProof/>
        </w:rPr>
        <w:t xml:space="preserve">Methodology for </w:t>
      </w:r>
      <w:r w:rsidR="00FB706A" w:rsidRPr="0016134B">
        <w:rPr>
          <w:rFonts w:ascii="Calibri" w:eastAsia="Calibri" w:hAnsi="Calibri" w:cs="Times New Roman"/>
          <w:i/>
          <w:noProof/>
        </w:rPr>
        <w:t>genetic studies of twins and families</w:t>
      </w:r>
      <w:r>
        <w:rPr>
          <w:rFonts w:ascii="Calibri" w:eastAsia="Calibri" w:hAnsi="Calibri" w:cs="Times New Roman"/>
          <w:noProof/>
        </w:rPr>
        <w:t>. Dordrecht: Kluwer Academic Publishers.</w:t>
      </w:r>
    </w:p>
    <w:p w:rsidR="0016134B" w:rsidRDefault="0016134B" w:rsidP="0016134B">
      <w:pPr>
        <w:tabs>
          <w:tab w:val="left" w:pos="0"/>
        </w:tabs>
        <w:spacing w:after="0" w:line="240" w:lineRule="auto"/>
        <w:rPr>
          <w:rFonts w:ascii="Calibri" w:eastAsia="Calibri" w:hAnsi="Calibri" w:cs="Times New Roman"/>
          <w:noProof/>
        </w:rPr>
      </w:pPr>
      <w:r>
        <w:rPr>
          <w:rFonts w:ascii="Calibri" w:eastAsia="Calibri" w:hAnsi="Calibri" w:cs="Times New Roman"/>
          <w:noProof/>
        </w:rPr>
        <w:t xml:space="preserve">Scarr, S. (1968). Environmental bias in twin studies. </w:t>
      </w:r>
      <w:r w:rsidRPr="0016134B">
        <w:rPr>
          <w:rFonts w:ascii="Calibri" w:eastAsia="Calibri" w:hAnsi="Calibri" w:cs="Times New Roman"/>
          <w:i/>
          <w:noProof/>
        </w:rPr>
        <w:t>Eugen</w:t>
      </w:r>
      <w:r w:rsidR="00FB706A">
        <w:rPr>
          <w:rFonts w:ascii="Calibri" w:eastAsia="Calibri" w:hAnsi="Calibri" w:cs="Times New Roman"/>
          <w:i/>
          <w:noProof/>
        </w:rPr>
        <w:t>ics</w:t>
      </w:r>
      <w:r w:rsidRPr="0016134B">
        <w:rPr>
          <w:rFonts w:ascii="Calibri" w:eastAsia="Calibri" w:hAnsi="Calibri" w:cs="Times New Roman"/>
          <w:i/>
          <w:noProof/>
        </w:rPr>
        <w:t xml:space="preserve"> Q</w:t>
      </w:r>
      <w:r w:rsidR="00FB706A">
        <w:rPr>
          <w:rFonts w:ascii="Calibri" w:eastAsia="Calibri" w:hAnsi="Calibri" w:cs="Times New Roman"/>
          <w:i/>
          <w:noProof/>
        </w:rPr>
        <w:t>uarterley</w:t>
      </w:r>
      <w:r>
        <w:rPr>
          <w:rFonts w:ascii="Calibri" w:eastAsia="Calibri" w:hAnsi="Calibri" w:cs="Times New Roman"/>
          <w:noProof/>
        </w:rPr>
        <w:t xml:space="preserve">, </w:t>
      </w:r>
      <w:r w:rsidRPr="0016134B">
        <w:rPr>
          <w:rFonts w:ascii="Calibri" w:eastAsia="Calibri" w:hAnsi="Calibri" w:cs="Times New Roman"/>
          <w:i/>
          <w:noProof/>
        </w:rPr>
        <w:t>15</w:t>
      </w:r>
      <w:r>
        <w:rPr>
          <w:rFonts w:ascii="Calibri" w:eastAsia="Calibri" w:hAnsi="Calibri" w:cs="Times New Roman"/>
          <w:noProof/>
        </w:rPr>
        <w:t>, 34-40.</w:t>
      </w:r>
    </w:p>
    <w:p w:rsidR="0016134B" w:rsidRDefault="0016134B" w:rsidP="0016134B">
      <w:pPr>
        <w:tabs>
          <w:tab w:val="left" w:pos="0"/>
        </w:tabs>
        <w:spacing w:after="0" w:line="240" w:lineRule="auto"/>
        <w:rPr>
          <w:rFonts w:ascii="Calibri" w:eastAsia="Calibri" w:hAnsi="Calibri" w:cs="Times New Roman"/>
          <w:noProof/>
        </w:rPr>
      </w:pPr>
    </w:p>
    <w:p w:rsidR="006D6628" w:rsidRDefault="006D6628">
      <w:pPr>
        <w:rPr>
          <w:rFonts w:eastAsia="Calibri" w:cs="Times New Roman"/>
          <w:sz w:val="24"/>
        </w:rPr>
      </w:pPr>
    </w:p>
    <w:sectPr w:rsidR="006D6628" w:rsidSect="00FF59F1">
      <w:pgSz w:w="11906" w:h="16838"/>
      <w:pgMar w:top="1440" w:right="1440" w:bottom="1440" w:left="1440" w:header="709" w:footer="4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41F" w:rsidRDefault="003E141F" w:rsidP="000F23B1">
      <w:pPr>
        <w:spacing w:after="0" w:line="240" w:lineRule="auto"/>
      </w:pPr>
      <w:r>
        <w:separator/>
      </w:r>
    </w:p>
  </w:endnote>
  <w:endnote w:type="continuationSeparator" w:id="0">
    <w:p w:rsidR="003E141F" w:rsidRDefault="003E141F" w:rsidP="000F23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MS PGothic">
    <w:altName w:val="Arial Unicode MS"/>
    <w:charset w:val="80"/>
    <w:family w:val="swiss"/>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634657"/>
      <w:docPartObj>
        <w:docPartGallery w:val="Page Numbers (Bottom of Page)"/>
        <w:docPartUnique/>
      </w:docPartObj>
    </w:sdtPr>
    <w:sdtEndPr>
      <w:rPr>
        <w:noProof/>
      </w:rPr>
    </w:sdtEndPr>
    <w:sdtContent>
      <w:p w:rsidR="003E141F" w:rsidRDefault="00530639">
        <w:pPr>
          <w:pStyle w:val="Footer"/>
          <w:jc w:val="center"/>
        </w:pPr>
        <w:fldSimple w:instr=" PAGE   \* MERGEFORMAT ">
          <w:r w:rsidR="00DF6D88">
            <w:rPr>
              <w:noProof/>
            </w:rPr>
            <w:t>12</w:t>
          </w:r>
        </w:fldSimple>
      </w:p>
    </w:sdtContent>
  </w:sdt>
  <w:p w:rsidR="003E141F" w:rsidRDefault="003E1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41F" w:rsidRDefault="003E141F" w:rsidP="000F23B1">
      <w:pPr>
        <w:spacing w:after="0" w:line="240" w:lineRule="auto"/>
      </w:pPr>
      <w:r>
        <w:separator/>
      </w:r>
    </w:p>
  </w:footnote>
  <w:footnote w:type="continuationSeparator" w:id="0">
    <w:p w:rsidR="003E141F" w:rsidRDefault="003E141F" w:rsidP="000F23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3A1E"/>
    <w:multiLevelType w:val="hybridMultilevel"/>
    <w:tmpl w:val="96549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773E29"/>
    <w:multiLevelType w:val="hybridMultilevel"/>
    <w:tmpl w:val="DED04ED0"/>
    <w:lvl w:ilvl="0" w:tplc="08090003">
      <w:start w:val="1"/>
      <w:numFmt w:val="bullet"/>
      <w:lvlText w:val="o"/>
      <w:lvlJc w:val="left"/>
      <w:pPr>
        <w:ind w:left="562" w:hanging="360"/>
      </w:pPr>
      <w:rPr>
        <w:rFonts w:ascii="Courier New" w:hAnsi="Courier New" w:cs="Arial" w:hint="default"/>
      </w:rPr>
    </w:lvl>
    <w:lvl w:ilvl="1" w:tplc="08090003" w:tentative="1">
      <w:start w:val="1"/>
      <w:numFmt w:val="bullet"/>
      <w:lvlText w:val="o"/>
      <w:lvlJc w:val="left"/>
      <w:pPr>
        <w:ind w:left="1282" w:hanging="360"/>
      </w:pPr>
      <w:rPr>
        <w:rFonts w:ascii="Courier New" w:hAnsi="Courier New" w:cs="Arial"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Arial"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Arial" w:hint="default"/>
      </w:rPr>
    </w:lvl>
    <w:lvl w:ilvl="8" w:tplc="08090005" w:tentative="1">
      <w:start w:val="1"/>
      <w:numFmt w:val="bullet"/>
      <w:lvlText w:val=""/>
      <w:lvlJc w:val="left"/>
      <w:pPr>
        <w:ind w:left="6322" w:hanging="360"/>
      </w:pPr>
      <w:rPr>
        <w:rFonts w:ascii="Wingdings" w:hAnsi="Wingdings" w:hint="default"/>
      </w:rPr>
    </w:lvl>
  </w:abstractNum>
  <w:abstractNum w:abstractNumId="2">
    <w:nsid w:val="23467214"/>
    <w:multiLevelType w:val="hybridMultilevel"/>
    <w:tmpl w:val="549C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AE3E4C"/>
    <w:multiLevelType w:val="hybridMultilevel"/>
    <w:tmpl w:val="380E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127837"/>
    <w:multiLevelType w:val="hybridMultilevel"/>
    <w:tmpl w:val="56CC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2B1F79"/>
    <w:multiLevelType w:val="hybridMultilevel"/>
    <w:tmpl w:val="20A6EA8A"/>
    <w:lvl w:ilvl="0" w:tplc="08090003">
      <w:start w:val="1"/>
      <w:numFmt w:val="bullet"/>
      <w:lvlText w:val="o"/>
      <w:lvlJc w:val="left"/>
      <w:pPr>
        <w:ind w:left="720" w:hanging="360"/>
      </w:pPr>
      <w:rPr>
        <w:rFonts w:ascii="Courier New" w:hAnsi="Courier New" w:cs="Aria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5B48F8"/>
    <w:multiLevelType w:val="hybridMultilevel"/>
    <w:tmpl w:val="EFE27B28"/>
    <w:lvl w:ilvl="0" w:tplc="08090003">
      <w:start w:val="1"/>
      <w:numFmt w:val="bullet"/>
      <w:lvlText w:val="o"/>
      <w:lvlJc w:val="left"/>
      <w:pPr>
        <w:ind w:left="720" w:hanging="360"/>
      </w:pPr>
      <w:rPr>
        <w:rFonts w:ascii="Courier New" w:hAnsi="Courier New" w:cs="Aria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7E4F13"/>
    <w:multiLevelType w:val="hybridMultilevel"/>
    <w:tmpl w:val="C7905AEA"/>
    <w:lvl w:ilvl="0" w:tplc="08090003">
      <w:start w:val="1"/>
      <w:numFmt w:val="bullet"/>
      <w:lvlText w:val="o"/>
      <w:lvlJc w:val="left"/>
      <w:pPr>
        <w:ind w:left="562" w:hanging="360"/>
      </w:pPr>
      <w:rPr>
        <w:rFonts w:ascii="Courier New" w:hAnsi="Courier New" w:cs="Arial" w:hint="default"/>
      </w:rPr>
    </w:lvl>
    <w:lvl w:ilvl="1" w:tplc="08090003" w:tentative="1">
      <w:start w:val="1"/>
      <w:numFmt w:val="bullet"/>
      <w:lvlText w:val="o"/>
      <w:lvlJc w:val="left"/>
      <w:pPr>
        <w:ind w:left="1282" w:hanging="360"/>
      </w:pPr>
      <w:rPr>
        <w:rFonts w:ascii="Courier New" w:hAnsi="Courier New" w:cs="Arial"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Arial"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Arial" w:hint="default"/>
      </w:rPr>
    </w:lvl>
    <w:lvl w:ilvl="8" w:tplc="08090005" w:tentative="1">
      <w:start w:val="1"/>
      <w:numFmt w:val="bullet"/>
      <w:lvlText w:val=""/>
      <w:lvlJc w:val="left"/>
      <w:pPr>
        <w:ind w:left="6322" w:hanging="360"/>
      </w:pPr>
      <w:rPr>
        <w:rFonts w:ascii="Wingdings" w:hAnsi="Wingdings" w:hint="default"/>
      </w:rPr>
    </w:lvl>
  </w:abstractNum>
  <w:abstractNum w:abstractNumId="8">
    <w:nsid w:val="65ED71E1"/>
    <w:multiLevelType w:val="hybridMultilevel"/>
    <w:tmpl w:val="071E4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980277"/>
    <w:multiLevelType w:val="hybridMultilevel"/>
    <w:tmpl w:val="9E36F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562"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112FFC"/>
    <w:multiLevelType w:val="hybridMultilevel"/>
    <w:tmpl w:val="03C4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0"/>
  </w:num>
  <w:num w:numId="9">
    <w:abstractNumId w:val="7"/>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footnotePr>
    <w:footnote w:id="-1"/>
    <w:footnote w:id="0"/>
  </w:footnotePr>
  <w:endnotePr>
    <w:endnote w:id="-1"/>
    <w:endnote w:id="0"/>
  </w:endnotePr>
  <w:compat/>
  <w:docVars>
    <w:docVar w:name="REFMGR.InstantFormat" w:val="&lt;ENInstantFormat&gt;&lt;Enabled&gt;0&lt;/Enabled&gt;&lt;ScanUnformatted&gt;1&lt;/ScanUnformatted&gt;&lt;ScanChanges&gt;1&lt;/ScanChanges&gt;&lt;/ENInstantFormat&gt;"/>
    <w:docVar w:name="REFMGR.Layout" w:val="&lt;ENLayout&gt;&lt;Style&gt;Twin Research and Human Genetics&lt;/Style&gt;&lt;LeftDelim&gt;{&lt;/LeftDelim&gt;&lt;RightDelim&gt;}&lt;/RightDelim&gt;&lt;FontName&gt;Calibri&lt;/FontName&gt;&lt;FontSize&gt;11&lt;/FontSize&gt;&lt;ReflistTitle&gt;References&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Ageing Trajectories&lt;/item&gt;&lt;/Libraries&gt;&lt;/ENLibraries&gt;"/>
  </w:docVars>
  <w:rsids>
    <w:rsidRoot w:val="005C776E"/>
    <w:rsid w:val="000134EB"/>
    <w:rsid w:val="00022460"/>
    <w:rsid w:val="000327B8"/>
    <w:rsid w:val="000400CF"/>
    <w:rsid w:val="000712E1"/>
    <w:rsid w:val="000D2F08"/>
    <w:rsid w:val="000E2CB3"/>
    <w:rsid w:val="000F23B1"/>
    <w:rsid w:val="0016134B"/>
    <w:rsid w:val="00161CFA"/>
    <w:rsid w:val="0016296D"/>
    <w:rsid w:val="00182C55"/>
    <w:rsid w:val="00183547"/>
    <w:rsid w:val="00191130"/>
    <w:rsid w:val="00206088"/>
    <w:rsid w:val="00324A16"/>
    <w:rsid w:val="003431E1"/>
    <w:rsid w:val="003546E7"/>
    <w:rsid w:val="00373064"/>
    <w:rsid w:val="003B1C70"/>
    <w:rsid w:val="003C3267"/>
    <w:rsid w:val="003D4396"/>
    <w:rsid w:val="003D6C3D"/>
    <w:rsid w:val="003E141F"/>
    <w:rsid w:val="003F78A4"/>
    <w:rsid w:val="00407420"/>
    <w:rsid w:val="004638B9"/>
    <w:rsid w:val="00493276"/>
    <w:rsid w:val="004B5681"/>
    <w:rsid w:val="00530639"/>
    <w:rsid w:val="00551A4C"/>
    <w:rsid w:val="00576965"/>
    <w:rsid w:val="005C1606"/>
    <w:rsid w:val="005C776E"/>
    <w:rsid w:val="005F6E5F"/>
    <w:rsid w:val="00637B5A"/>
    <w:rsid w:val="006578E9"/>
    <w:rsid w:val="006D5155"/>
    <w:rsid w:val="006D6628"/>
    <w:rsid w:val="006D7C41"/>
    <w:rsid w:val="0078621B"/>
    <w:rsid w:val="007B7E52"/>
    <w:rsid w:val="007D5DD2"/>
    <w:rsid w:val="00821CA2"/>
    <w:rsid w:val="008B2DDB"/>
    <w:rsid w:val="00914B8F"/>
    <w:rsid w:val="00953487"/>
    <w:rsid w:val="009B31D4"/>
    <w:rsid w:val="009D2398"/>
    <w:rsid w:val="009E1DF8"/>
    <w:rsid w:val="00A127E7"/>
    <w:rsid w:val="00A57925"/>
    <w:rsid w:val="00A73F3E"/>
    <w:rsid w:val="00AC16AC"/>
    <w:rsid w:val="00AD7317"/>
    <w:rsid w:val="00AF5F4E"/>
    <w:rsid w:val="00B1758A"/>
    <w:rsid w:val="00B24371"/>
    <w:rsid w:val="00BF5396"/>
    <w:rsid w:val="00C259C1"/>
    <w:rsid w:val="00CD1ADF"/>
    <w:rsid w:val="00CF2077"/>
    <w:rsid w:val="00D17018"/>
    <w:rsid w:val="00D93C9C"/>
    <w:rsid w:val="00DE48FF"/>
    <w:rsid w:val="00DF6D88"/>
    <w:rsid w:val="00E2328C"/>
    <w:rsid w:val="00E32030"/>
    <w:rsid w:val="00E370B8"/>
    <w:rsid w:val="00E84D14"/>
    <w:rsid w:val="00EA5E72"/>
    <w:rsid w:val="00F01ABD"/>
    <w:rsid w:val="00F057A6"/>
    <w:rsid w:val="00F23F4F"/>
    <w:rsid w:val="00FB706A"/>
    <w:rsid w:val="00FF59F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55"/>
    <w:rPr>
      <w:rFonts w:ascii="Times New Roman" w:hAnsi="Times New Roman"/>
    </w:rPr>
  </w:style>
  <w:style w:type="paragraph" w:styleId="Heading1">
    <w:name w:val="heading 1"/>
    <w:basedOn w:val="Normal"/>
    <w:next w:val="Normal"/>
    <w:link w:val="Heading1Char"/>
    <w:autoRedefine/>
    <w:uiPriority w:val="9"/>
    <w:qFormat/>
    <w:rsid w:val="00373064"/>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autoRedefine/>
    <w:uiPriority w:val="9"/>
    <w:unhideWhenUsed/>
    <w:qFormat/>
    <w:rsid w:val="00373064"/>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C776E"/>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B06A1"/>
    <w:rPr>
      <w:rFonts w:ascii="Lucida Grande" w:hAnsi="Lucida Grande"/>
      <w:sz w:val="18"/>
      <w:szCs w:val="18"/>
    </w:rPr>
  </w:style>
  <w:style w:type="character" w:customStyle="1" w:styleId="Heading2Char">
    <w:name w:val="Heading 2 Char"/>
    <w:basedOn w:val="DefaultParagraphFont"/>
    <w:link w:val="Heading2"/>
    <w:uiPriority w:val="9"/>
    <w:rsid w:val="00373064"/>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373064"/>
    <w:rPr>
      <w:rFonts w:asciiTheme="majorHAnsi" w:eastAsiaTheme="majorEastAsia" w:hAnsiTheme="majorHAnsi" w:cstheme="majorBidi"/>
      <w:b/>
      <w:bCs/>
      <w:sz w:val="32"/>
      <w:szCs w:val="28"/>
    </w:rPr>
  </w:style>
  <w:style w:type="table" w:styleId="TableGrid">
    <w:name w:val="Table Grid"/>
    <w:basedOn w:val="TableNormal"/>
    <w:uiPriority w:val="59"/>
    <w:rsid w:val="005C7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C7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5C776E"/>
    <w:rPr>
      <w:rFonts w:ascii="Tahoma" w:hAnsi="Tahoma" w:cs="Tahoma"/>
      <w:sz w:val="16"/>
      <w:szCs w:val="16"/>
    </w:rPr>
  </w:style>
  <w:style w:type="character" w:styleId="CommentReference">
    <w:name w:val="annotation reference"/>
    <w:basedOn w:val="DefaultParagraphFont"/>
    <w:uiPriority w:val="99"/>
    <w:semiHidden/>
    <w:unhideWhenUsed/>
    <w:rsid w:val="00D17018"/>
    <w:rPr>
      <w:sz w:val="18"/>
      <w:szCs w:val="18"/>
    </w:rPr>
  </w:style>
  <w:style w:type="paragraph" w:styleId="CommentText">
    <w:name w:val="annotation text"/>
    <w:basedOn w:val="Normal"/>
    <w:link w:val="CommentTextChar"/>
    <w:uiPriority w:val="99"/>
    <w:semiHidden/>
    <w:unhideWhenUsed/>
    <w:rsid w:val="00D17018"/>
    <w:pPr>
      <w:spacing w:line="240" w:lineRule="auto"/>
    </w:pPr>
    <w:rPr>
      <w:sz w:val="24"/>
      <w:szCs w:val="24"/>
    </w:rPr>
  </w:style>
  <w:style w:type="character" w:customStyle="1" w:styleId="CommentTextChar">
    <w:name w:val="Comment Text Char"/>
    <w:basedOn w:val="DefaultParagraphFont"/>
    <w:link w:val="CommentText"/>
    <w:uiPriority w:val="99"/>
    <w:semiHidden/>
    <w:rsid w:val="00D17018"/>
    <w:rPr>
      <w:sz w:val="24"/>
      <w:szCs w:val="24"/>
    </w:rPr>
  </w:style>
  <w:style w:type="paragraph" w:styleId="CommentSubject">
    <w:name w:val="annotation subject"/>
    <w:basedOn w:val="CommentText"/>
    <w:next w:val="CommentText"/>
    <w:link w:val="CommentSubjectChar"/>
    <w:uiPriority w:val="99"/>
    <w:semiHidden/>
    <w:unhideWhenUsed/>
    <w:rsid w:val="00D17018"/>
    <w:rPr>
      <w:b/>
      <w:bCs/>
      <w:sz w:val="20"/>
      <w:szCs w:val="20"/>
    </w:rPr>
  </w:style>
  <w:style w:type="character" w:customStyle="1" w:styleId="CommentSubjectChar">
    <w:name w:val="Comment Subject Char"/>
    <w:basedOn w:val="CommentTextChar"/>
    <w:link w:val="CommentSubject"/>
    <w:uiPriority w:val="99"/>
    <w:semiHidden/>
    <w:rsid w:val="00D17018"/>
    <w:rPr>
      <w:b/>
      <w:bCs/>
      <w:sz w:val="20"/>
      <w:szCs w:val="20"/>
    </w:rPr>
  </w:style>
  <w:style w:type="paragraph" w:styleId="Header">
    <w:name w:val="header"/>
    <w:basedOn w:val="Normal"/>
    <w:link w:val="HeaderChar"/>
    <w:uiPriority w:val="99"/>
    <w:unhideWhenUsed/>
    <w:rsid w:val="000F2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3B1"/>
    <w:rPr>
      <w:rFonts w:ascii="Times New Roman" w:hAnsi="Times New Roman"/>
    </w:rPr>
  </w:style>
  <w:style w:type="paragraph" w:styleId="Footer">
    <w:name w:val="footer"/>
    <w:basedOn w:val="Normal"/>
    <w:link w:val="FooterChar"/>
    <w:uiPriority w:val="99"/>
    <w:unhideWhenUsed/>
    <w:rsid w:val="000F2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3B1"/>
    <w:rPr>
      <w:rFonts w:ascii="Times New Roman" w:hAnsi="Times New Roman"/>
    </w:rPr>
  </w:style>
  <w:style w:type="table" w:customStyle="1" w:styleId="TableGrid2">
    <w:name w:val="Table Grid2"/>
    <w:basedOn w:val="TableNormal"/>
    <w:next w:val="TableGrid"/>
    <w:uiPriority w:val="59"/>
    <w:rsid w:val="00A73F3E"/>
    <w:pPr>
      <w:spacing w:after="0" w:line="240" w:lineRule="auto"/>
    </w:pPr>
    <w:rPr>
      <w:rFonts w:ascii="Times New Roman" w:eastAsia="Times New Roman" w:hAnsi="Times New Roman" w:cs="Times New Roman"/>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55"/>
    <w:rPr>
      <w:rFonts w:ascii="Times New Roman" w:hAnsi="Times New Roman"/>
    </w:rPr>
  </w:style>
  <w:style w:type="paragraph" w:styleId="Heading1">
    <w:name w:val="heading 1"/>
    <w:basedOn w:val="Normal"/>
    <w:next w:val="Normal"/>
    <w:link w:val="Heading1Char"/>
    <w:autoRedefine/>
    <w:uiPriority w:val="9"/>
    <w:qFormat/>
    <w:rsid w:val="00373064"/>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autoRedefine/>
    <w:uiPriority w:val="9"/>
    <w:unhideWhenUsed/>
    <w:qFormat/>
    <w:rsid w:val="00373064"/>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C776E"/>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B06A1"/>
    <w:rPr>
      <w:rFonts w:ascii="Lucida Grande" w:hAnsi="Lucida Grande"/>
      <w:sz w:val="18"/>
      <w:szCs w:val="18"/>
    </w:rPr>
  </w:style>
  <w:style w:type="character" w:customStyle="1" w:styleId="Heading2Char">
    <w:name w:val="Heading 2 Char"/>
    <w:basedOn w:val="DefaultParagraphFont"/>
    <w:link w:val="Heading2"/>
    <w:uiPriority w:val="9"/>
    <w:rsid w:val="00373064"/>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373064"/>
    <w:rPr>
      <w:rFonts w:asciiTheme="majorHAnsi" w:eastAsiaTheme="majorEastAsia" w:hAnsiTheme="majorHAnsi" w:cstheme="majorBidi"/>
      <w:b/>
      <w:bCs/>
      <w:sz w:val="32"/>
      <w:szCs w:val="28"/>
    </w:rPr>
  </w:style>
  <w:style w:type="table" w:styleId="TableGrid">
    <w:name w:val="Table Grid"/>
    <w:basedOn w:val="TableNormal"/>
    <w:uiPriority w:val="59"/>
    <w:rsid w:val="005C7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7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5C776E"/>
    <w:rPr>
      <w:rFonts w:ascii="Tahoma" w:hAnsi="Tahoma" w:cs="Tahoma"/>
      <w:sz w:val="16"/>
      <w:szCs w:val="16"/>
    </w:rPr>
  </w:style>
  <w:style w:type="character" w:styleId="CommentReference">
    <w:name w:val="annotation reference"/>
    <w:basedOn w:val="DefaultParagraphFont"/>
    <w:uiPriority w:val="99"/>
    <w:semiHidden/>
    <w:unhideWhenUsed/>
    <w:rsid w:val="00D17018"/>
    <w:rPr>
      <w:sz w:val="18"/>
      <w:szCs w:val="18"/>
    </w:rPr>
  </w:style>
  <w:style w:type="paragraph" w:styleId="CommentText">
    <w:name w:val="annotation text"/>
    <w:basedOn w:val="Normal"/>
    <w:link w:val="CommentTextChar"/>
    <w:uiPriority w:val="99"/>
    <w:semiHidden/>
    <w:unhideWhenUsed/>
    <w:rsid w:val="00D17018"/>
    <w:pPr>
      <w:spacing w:line="240" w:lineRule="auto"/>
    </w:pPr>
    <w:rPr>
      <w:sz w:val="24"/>
      <w:szCs w:val="24"/>
    </w:rPr>
  </w:style>
  <w:style w:type="character" w:customStyle="1" w:styleId="CommentTextChar">
    <w:name w:val="Comment Text Char"/>
    <w:basedOn w:val="DefaultParagraphFont"/>
    <w:link w:val="CommentText"/>
    <w:uiPriority w:val="99"/>
    <w:semiHidden/>
    <w:rsid w:val="00D17018"/>
    <w:rPr>
      <w:sz w:val="24"/>
      <w:szCs w:val="24"/>
    </w:rPr>
  </w:style>
  <w:style w:type="paragraph" w:styleId="CommentSubject">
    <w:name w:val="annotation subject"/>
    <w:basedOn w:val="CommentText"/>
    <w:next w:val="CommentText"/>
    <w:link w:val="CommentSubjectChar"/>
    <w:uiPriority w:val="99"/>
    <w:semiHidden/>
    <w:unhideWhenUsed/>
    <w:rsid w:val="00D17018"/>
    <w:rPr>
      <w:b/>
      <w:bCs/>
      <w:sz w:val="20"/>
      <w:szCs w:val="20"/>
    </w:rPr>
  </w:style>
  <w:style w:type="character" w:customStyle="1" w:styleId="CommentSubjectChar">
    <w:name w:val="Comment Subject Char"/>
    <w:basedOn w:val="CommentTextChar"/>
    <w:link w:val="CommentSubject"/>
    <w:uiPriority w:val="99"/>
    <w:semiHidden/>
    <w:rsid w:val="00D17018"/>
    <w:rPr>
      <w:b/>
      <w:bCs/>
      <w:sz w:val="20"/>
      <w:szCs w:val="20"/>
    </w:rPr>
  </w:style>
  <w:style w:type="paragraph" w:styleId="Header">
    <w:name w:val="header"/>
    <w:basedOn w:val="Normal"/>
    <w:link w:val="HeaderChar"/>
    <w:uiPriority w:val="99"/>
    <w:unhideWhenUsed/>
    <w:rsid w:val="000F2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3B1"/>
    <w:rPr>
      <w:rFonts w:ascii="Times New Roman" w:hAnsi="Times New Roman"/>
    </w:rPr>
  </w:style>
  <w:style w:type="paragraph" w:styleId="Footer">
    <w:name w:val="footer"/>
    <w:basedOn w:val="Normal"/>
    <w:link w:val="FooterChar"/>
    <w:uiPriority w:val="99"/>
    <w:unhideWhenUsed/>
    <w:rsid w:val="000F2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3B1"/>
    <w:rPr>
      <w:rFonts w:ascii="Times New Roman" w:hAnsi="Times New Roman"/>
    </w:rPr>
  </w:style>
  <w:style w:type="table" w:customStyle="1" w:styleId="TableGrid2">
    <w:name w:val="Table Grid2"/>
    <w:basedOn w:val="TableNormal"/>
    <w:next w:val="TableGrid"/>
    <w:uiPriority w:val="59"/>
    <w:rsid w:val="00A73F3E"/>
    <w:pPr>
      <w:spacing w:after="0" w:line="240" w:lineRule="auto"/>
    </w:pPr>
    <w:rPr>
      <w:rFonts w:ascii="Times New Roman" w:eastAsia="Times New Roman" w:hAnsi="Times New Roman"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75354394">
      <w:bodyDiv w:val="1"/>
      <w:marLeft w:val="0"/>
      <w:marRight w:val="0"/>
      <w:marTop w:val="0"/>
      <w:marBottom w:val="0"/>
      <w:divBdr>
        <w:top w:val="none" w:sz="0" w:space="0" w:color="auto"/>
        <w:left w:val="none" w:sz="0" w:space="0" w:color="auto"/>
        <w:bottom w:val="none" w:sz="0" w:space="0" w:color="auto"/>
        <w:right w:val="none" w:sz="0" w:space="0" w:color="auto"/>
      </w:divBdr>
    </w:div>
    <w:div w:id="412312712">
      <w:bodyDiv w:val="1"/>
      <w:marLeft w:val="0"/>
      <w:marRight w:val="0"/>
      <w:marTop w:val="0"/>
      <w:marBottom w:val="0"/>
      <w:divBdr>
        <w:top w:val="none" w:sz="0" w:space="0" w:color="auto"/>
        <w:left w:val="none" w:sz="0" w:space="0" w:color="auto"/>
        <w:bottom w:val="none" w:sz="0" w:space="0" w:color="auto"/>
        <w:right w:val="none" w:sz="0" w:space="0" w:color="auto"/>
      </w:divBdr>
    </w:div>
    <w:div w:id="622856347">
      <w:bodyDiv w:val="1"/>
      <w:marLeft w:val="0"/>
      <w:marRight w:val="0"/>
      <w:marTop w:val="0"/>
      <w:marBottom w:val="0"/>
      <w:divBdr>
        <w:top w:val="none" w:sz="0" w:space="0" w:color="auto"/>
        <w:left w:val="none" w:sz="0" w:space="0" w:color="auto"/>
        <w:bottom w:val="none" w:sz="0" w:space="0" w:color="auto"/>
        <w:right w:val="none" w:sz="0" w:space="0" w:color="auto"/>
      </w:divBdr>
    </w:div>
    <w:div w:id="892736612">
      <w:bodyDiv w:val="1"/>
      <w:marLeft w:val="0"/>
      <w:marRight w:val="0"/>
      <w:marTop w:val="0"/>
      <w:marBottom w:val="0"/>
      <w:divBdr>
        <w:top w:val="none" w:sz="0" w:space="0" w:color="auto"/>
        <w:left w:val="none" w:sz="0" w:space="0" w:color="auto"/>
        <w:bottom w:val="none" w:sz="0" w:space="0" w:color="auto"/>
        <w:right w:val="none" w:sz="0" w:space="0" w:color="auto"/>
      </w:divBdr>
    </w:div>
    <w:div w:id="1007246684">
      <w:bodyDiv w:val="1"/>
      <w:marLeft w:val="0"/>
      <w:marRight w:val="0"/>
      <w:marTop w:val="0"/>
      <w:marBottom w:val="0"/>
      <w:divBdr>
        <w:top w:val="none" w:sz="0" w:space="0" w:color="auto"/>
        <w:left w:val="none" w:sz="0" w:space="0" w:color="auto"/>
        <w:bottom w:val="none" w:sz="0" w:space="0" w:color="auto"/>
        <w:right w:val="none" w:sz="0" w:space="0" w:color="auto"/>
      </w:divBdr>
    </w:div>
    <w:div w:id="1139804948">
      <w:bodyDiv w:val="1"/>
      <w:marLeft w:val="0"/>
      <w:marRight w:val="0"/>
      <w:marTop w:val="0"/>
      <w:marBottom w:val="0"/>
      <w:divBdr>
        <w:top w:val="none" w:sz="0" w:space="0" w:color="auto"/>
        <w:left w:val="none" w:sz="0" w:space="0" w:color="auto"/>
        <w:bottom w:val="none" w:sz="0" w:space="0" w:color="auto"/>
        <w:right w:val="none" w:sz="0" w:space="0" w:color="auto"/>
      </w:divBdr>
    </w:div>
    <w:div w:id="19747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7F12-C671-4348-B156-BFA16E9D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Moayyeri, Alireza</dc:creator>
  <cp:lastModifiedBy>Roberta Blake</cp:lastModifiedBy>
  <cp:revision>4</cp:revision>
  <dcterms:created xsi:type="dcterms:W3CDTF">2015-12-16T23:42:00Z</dcterms:created>
  <dcterms:modified xsi:type="dcterms:W3CDTF">2015-12-16T23:50:00Z</dcterms:modified>
</cp:coreProperties>
</file>