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7B" w:rsidRDefault="00DA5F7B" w:rsidP="00B97DAA">
      <w:pPr>
        <w:pStyle w:val="desc"/>
        <w:spacing w:before="0" w:after="0"/>
        <w:rPr>
          <w:rFonts w:ascii="Arial" w:hAnsi="Arial" w:cs="Arial"/>
          <w:b/>
          <w:sz w:val="22"/>
          <w:szCs w:val="22"/>
        </w:rPr>
      </w:pPr>
      <w:r>
        <w:rPr>
          <w:rFonts w:ascii="Arial" w:hAnsi="Arial" w:cs="Arial"/>
          <w:b/>
          <w:sz w:val="22"/>
          <w:szCs w:val="22"/>
        </w:rPr>
        <w:t>Twin Research and Human Genetics</w:t>
      </w:r>
    </w:p>
    <w:p w:rsidR="00DA5F7B" w:rsidRDefault="00DA5F7B" w:rsidP="00B97DAA">
      <w:pPr>
        <w:pStyle w:val="desc"/>
        <w:spacing w:before="0" w:after="0"/>
        <w:rPr>
          <w:rFonts w:ascii="Arial" w:hAnsi="Arial" w:cs="Arial"/>
          <w:b/>
          <w:sz w:val="22"/>
          <w:szCs w:val="22"/>
        </w:rPr>
      </w:pPr>
    </w:p>
    <w:p w:rsidR="00DA5F7B" w:rsidRDefault="00DA5F7B" w:rsidP="00DA5F7B">
      <w:pPr>
        <w:spacing w:after="0" w:line="360" w:lineRule="auto"/>
        <w:rPr>
          <w:rFonts w:ascii="Arial" w:hAnsi="Arial" w:cs="Arial"/>
          <w:b/>
        </w:rPr>
      </w:pPr>
      <w:r w:rsidRPr="005E5C6C">
        <w:rPr>
          <w:rFonts w:ascii="Arial" w:hAnsi="Arial" w:cs="Arial"/>
          <w:b/>
          <w:iCs/>
        </w:rPr>
        <w:t xml:space="preserve">Evolution of Stage 1 Twin-to-Twin Transfusion Syndrome (TTTS): </w:t>
      </w:r>
      <w:r w:rsidRPr="00F40018">
        <w:rPr>
          <w:rFonts w:ascii="Arial" w:hAnsi="Arial" w:cs="Arial"/>
          <w:b/>
        </w:rPr>
        <w:t>Systematic Review and Meta-</w:t>
      </w:r>
      <w:r>
        <w:rPr>
          <w:rFonts w:ascii="Arial" w:hAnsi="Arial" w:cs="Arial"/>
          <w:b/>
        </w:rPr>
        <w:t>A</w:t>
      </w:r>
      <w:r w:rsidRPr="00F40018">
        <w:rPr>
          <w:rFonts w:ascii="Arial" w:hAnsi="Arial" w:cs="Arial"/>
          <w:b/>
        </w:rPr>
        <w:t>nalysis</w:t>
      </w:r>
    </w:p>
    <w:p w:rsidR="00DA5F7B" w:rsidRDefault="00DA5F7B" w:rsidP="00DA5F7B">
      <w:pPr>
        <w:spacing w:after="0" w:line="360" w:lineRule="auto"/>
        <w:rPr>
          <w:rFonts w:ascii="Arial" w:hAnsi="Arial" w:cs="Arial"/>
        </w:rPr>
      </w:pPr>
      <w:r>
        <w:rPr>
          <w:rFonts w:ascii="Arial" w:hAnsi="Arial" w:cs="Arial"/>
        </w:rPr>
        <w:t>Asma Khalil</w:t>
      </w:r>
      <w:r w:rsidRPr="00F40018">
        <w:rPr>
          <w:rFonts w:ascii="Arial" w:hAnsi="Arial" w:cs="Arial"/>
        </w:rPr>
        <w:t xml:space="preserve">, </w:t>
      </w:r>
      <w:r>
        <w:rPr>
          <w:rFonts w:ascii="Arial" w:hAnsi="Arial" w:cs="Arial"/>
        </w:rPr>
        <w:t xml:space="preserve">Emily Cooper, Rosemary Townsend, and </w:t>
      </w:r>
      <w:proofErr w:type="spellStart"/>
      <w:r>
        <w:rPr>
          <w:rFonts w:ascii="Arial" w:hAnsi="Arial" w:cs="Arial"/>
        </w:rPr>
        <w:t>Basky</w:t>
      </w:r>
      <w:proofErr w:type="spellEnd"/>
      <w:r>
        <w:rPr>
          <w:rFonts w:ascii="Arial" w:hAnsi="Arial" w:cs="Arial"/>
        </w:rPr>
        <w:t xml:space="preserve"> </w:t>
      </w:r>
      <w:proofErr w:type="spellStart"/>
      <w:r>
        <w:rPr>
          <w:rFonts w:ascii="Arial" w:hAnsi="Arial" w:cs="Arial"/>
        </w:rPr>
        <w:t>Thilaganathan</w:t>
      </w:r>
      <w:proofErr w:type="spellEnd"/>
    </w:p>
    <w:p w:rsidR="00DA5F7B" w:rsidRPr="00DA5F7B" w:rsidRDefault="00DA5F7B" w:rsidP="00B97DAA">
      <w:pPr>
        <w:pStyle w:val="desc"/>
        <w:spacing w:before="0" w:after="0"/>
        <w:rPr>
          <w:rFonts w:ascii="Arial" w:hAnsi="Arial" w:cs="Arial"/>
          <w:b/>
          <w:sz w:val="20"/>
          <w:szCs w:val="20"/>
        </w:rPr>
      </w:pPr>
    </w:p>
    <w:p w:rsidR="00B97DAA" w:rsidRDefault="00B97DAA" w:rsidP="00B97DAA">
      <w:pPr>
        <w:pStyle w:val="desc"/>
        <w:spacing w:before="0" w:after="0"/>
        <w:rPr>
          <w:rFonts w:ascii="Arial" w:hAnsi="Arial" w:cs="Arial"/>
          <w:b/>
          <w:sz w:val="22"/>
          <w:szCs w:val="22"/>
        </w:rPr>
      </w:pPr>
      <w:r w:rsidRPr="006A57E8">
        <w:rPr>
          <w:rFonts w:ascii="Arial" w:hAnsi="Arial" w:cs="Arial"/>
          <w:b/>
          <w:sz w:val="22"/>
          <w:szCs w:val="22"/>
        </w:rPr>
        <w:t>Supplementary</w:t>
      </w:r>
      <w:r w:rsidRPr="006A57E8">
        <w:rPr>
          <w:rFonts w:ascii="Arial" w:hAnsi="Arial" w:cs="Arial"/>
          <w:sz w:val="22"/>
          <w:szCs w:val="22"/>
          <w:u w:val="single"/>
        </w:rPr>
        <w:t xml:space="preserve"> </w:t>
      </w:r>
      <w:r w:rsidRPr="006A57E8">
        <w:rPr>
          <w:rFonts w:ascii="Arial" w:hAnsi="Arial" w:cs="Arial"/>
          <w:b/>
          <w:sz w:val="22"/>
          <w:szCs w:val="22"/>
        </w:rPr>
        <w:t>Table 1</w:t>
      </w:r>
    </w:p>
    <w:p w:rsidR="00B97DAA" w:rsidRPr="006A57E8" w:rsidRDefault="00B97DAA" w:rsidP="00B97DAA">
      <w:pPr>
        <w:pStyle w:val="desc"/>
        <w:spacing w:before="0" w:after="0"/>
        <w:rPr>
          <w:rFonts w:ascii="Arial" w:hAnsi="Arial" w:cs="Arial"/>
          <w:color w:val="000000"/>
          <w:sz w:val="22"/>
          <w:szCs w:val="22"/>
        </w:rPr>
      </w:pPr>
      <w:r w:rsidRPr="006A57E8">
        <w:rPr>
          <w:rFonts w:ascii="Arial" w:hAnsi="Arial" w:cs="Arial"/>
          <w:sz w:val="22"/>
          <w:szCs w:val="22"/>
        </w:rPr>
        <w:t xml:space="preserve">Search strategy using Medline (1946 – January 2016), </w:t>
      </w:r>
      <w:proofErr w:type="spellStart"/>
      <w:r w:rsidRPr="006A57E8">
        <w:rPr>
          <w:rFonts w:ascii="Arial" w:hAnsi="Arial" w:cs="Arial"/>
          <w:sz w:val="22"/>
          <w:szCs w:val="22"/>
        </w:rPr>
        <w:t>Embase</w:t>
      </w:r>
      <w:proofErr w:type="spellEnd"/>
      <w:r w:rsidRPr="006A57E8">
        <w:rPr>
          <w:rFonts w:ascii="Arial" w:hAnsi="Arial" w:cs="Arial"/>
          <w:sz w:val="22"/>
          <w:szCs w:val="22"/>
        </w:rPr>
        <w:t xml:space="preserve"> (1947 – January 2016) and The Cochrane Library (since inception) including The Cochrane Database of Systematic Reviews (CDSR), Database of Abstracts of Reviews of Effects (DARE) and The Cochrane Central Register of Controlled Trials (CENTRAL).</w:t>
      </w:r>
    </w:p>
    <w:p w:rsidR="00B97DAA" w:rsidRPr="0083656A" w:rsidRDefault="00B97DAA" w:rsidP="00B97DAA">
      <w:pPr>
        <w:spacing w:before="40" w:after="40" w:line="320" w:lineRule="atLeast"/>
        <w:rPr>
          <w:rFonts w:ascii="Arial" w:eastAsia="Arial Unicode MS" w:hAnsi="Arial" w:cs="Arial"/>
        </w:rPr>
      </w:pPr>
      <w:r w:rsidRPr="0083656A">
        <w:rPr>
          <w:rFonts w:ascii="Arial" w:eastAsia="Arial Unicode MS" w:hAnsi="Arial" w:cs="Arial"/>
          <w:b/>
          <w:bCs/>
        </w:rPr>
        <w:t xml:space="preserve">Databases: </w:t>
      </w:r>
      <w:proofErr w:type="spellStart"/>
      <w:r w:rsidRPr="0083656A">
        <w:rPr>
          <w:rFonts w:ascii="Arial" w:eastAsia="Arial Unicode MS" w:hAnsi="Arial" w:cs="Arial"/>
        </w:rPr>
        <w:t>Embase</w:t>
      </w:r>
      <w:proofErr w:type="spellEnd"/>
      <w:r w:rsidRPr="0083656A">
        <w:rPr>
          <w:rFonts w:ascii="Arial" w:eastAsia="Arial Unicode MS" w:hAnsi="Arial" w:cs="Arial"/>
        </w:rPr>
        <w:t>®</w:t>
      </w:r>
      <w:proofErr w:type="gramStart"/>
      <w:r w:rsidRPr="0083656A">
        <w:rPr>
          <w:rFonts w:ascii="Arial" w:eastAsia="Arial Unicode MS" w:hAnsi="Arial" w:cs="Arial"/>
        </w:rPr>
        <w:t xml:space="preserve">,  </w:t>
      </w:r>
      <w:proofErr w:type="spellStart"/>
      <w:r w:rsidRPr="0083656A">
        <w:rPr>
          <w:rFonts w:ascii="Arial" w:eastAsia="Arial Unicode MS" w:hAnsi="Arial" w:cs="Arial"/>
        </w:rPr>
        <w:t>Embase</w:t>
      </w:r>
      <w:proofErr w:type="spellEnd"/>
      <w:proofErr w:type="gramEnd"/>
      <w:r w:rsidRPr="0083656A">
        <w:rPr>
          <w:rFonts w:ascii="Arial" w:eastAsia="Arial Unicode MS" w:hAnsi="Arial" w:cs="Arial"/>
        </w:rPr>
        <w:t>® Alert,  MEDLINE®</w:t>
      </w:r>
    </w:p>
    <w:p w:rsidR="00B97DAA" w:rsidRPr="0083656A" w:rsidRDefault="00B97DAA" w:rsidP="00B97DAA">
      <w:pPr>
        <w:spacing w:before="40" w:after="40" w:line="320" w:lineRule="atLeast"/>
        <w:rPr>
          <w:rFonts w:ascii="Arial" w:eastAsia="Arial Unicode MS" w:hAnsi="Arial" w:cs="Arial"/>
        </w:rPr>
      </w:pPr>
    </w:p>
    <w:tbl>
      <w:tblPr>
        <w:tblW w:w="99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000"/>
      </w:tblPr>
      <w:tblGrid>
        <w:gridCol w:w="799"/>
        <w:gridCol w:w="7797"/>
        <w:gridCol w:w="1311"/>
      </w:tblGrid>
      <w:tr w:rsidR="00B97DAA" w:rsidRPr="0083656A" w:rsidTr="00F10476">
        <w:trPr>
          <w:jc w:val="center"/>
        </w:trPr>
        <w:tc>
          <w:tcPr>
            <w:tcW w:w="799" w:type="dxa"/>
            <w:tcBorders>
              <w:top w:val="nil"/>
              <w:left w:val="nil"/>
              <w:bottom w:val="nil"/>
              <w:right w:val="nil"/>
            </w:tcBorders>
            <w:shd w:val="clear" w:color="auto" w:fill="000000"/>
            <w:tcMar>
              <w:top w:w="50" w:type="dxa"/>
              <w:left w:w="50" w:type="dxa"/>
              <w:bottom w:w="50" w:type="dxa"/>
              <w:right w:w="50" w:type="dxa"/>
            </w:tcMar>
            <w:vAlign w:val="center"/>
          </w:tcPr>
          <w:p w:rsidR="00B97DAA" w:rsidRPr="0083656A" w:rsidRDefault="00B97DAA" w:rsidP="00F10476">
            <w:pPr>
              <w:rPr>
                <w:rFonts w:ascii="Arial" w:eastAsia="Arial Unicode MS" w:hAnsi="Arial" w:cs="Arial"/>
                <w:color w:val="FFFFFF"/>
              </w:rPr>
            </w:pPr>
            <w:r w:rsidRPr="0083656A">
              <w:rPr>
                <w:rFonts w:ascii="Arial" w:eastAsia="Arial Unicode MS" w:hAnsi="Arial" w:cs="Arial"/>
                <w:b/>
                <w:bCs/>
                <w:color w:val="FFFFFF"/>
              </w:rPr>
              <w:t>Set#</w:t>
            </w:r>
          </w:p>
        </w:tc>
        <w:tc>
          <w:tcPr>
            <w:tcW w:w="7797" w:type="dxa"/>
            <w:tcBorders>
              <w:top w:val="nil"/>
              <w:left w:val="nil"/>
              <w:bottom w:val="nil"/>
              <w:right w:val="nil"/>
            </w:tcBorders>
            <w:shd w:val="clear" w:color="auto" w:fill="000000"/>
            <w:tcMar>
              <w:top w:w="50" w:type="dxa"/>
              <w:left w:w="50" w:type="dxa"/>
              <w:bottom w:w="50" w:type="dxa"/>
              <w:right w:w="50" w:type="dxa"/>
            </w:tcMar>
            <w:vAlign w:val="center"/>
          </w:tcPr>
          <w:p w:rsidR="00B97DAA" w:rsidRPr="0083656A" w:rsidRDefault="00B97DAA" w:rsidP="00F10476">
            <w:pPr>
              <w:rPr>
                <w:rFonts w:ascii="Arial" w:eastAsia="Arial Unicode MS" w:hAnsi="Arial" w:cs="Arial"/>
                <w:color w:val="FFFFFF"/>
              </w:rPr>
            </w:pPr>
            <w:r w:rsidRPr="0083656A">
              <w:rPr>
                <w:rFonts w:ascii="Arial" w:eastAsia="Arial Unicode MS" w:hAnsi="Arial" w:cs="Arial"/>
                <w:b/>
                <w:bCs/>
                <w:color w:val="FFFFFF"/>
              </w:rPr>
              <w:t>Searched for</w:t>
            </w:r>
          </w:p>
        </w:tc>
        <w:tc>
          <w:tcPr>
            <w:tcW w:w="1311" w:type="dxa"/>
            <w:tcBorders>
              <w:top w:val="nil"/>
              <w:left w:val="nil"/>
              <w:bottom w:val="nil"/>
              <w:right w:val="nil"/>
            </w:tcBorders>
            <w:shd w:val="clear" w:color="auto" w:fill="000000"/>
            <w:tcMar>
              <w:top w:w="50" w:type="dxa"/>
              <w:left w:w="50" w:type="dxa"/>
              <w:bottom w:w="50" w:type="dxa"/>
              <w:right w:w="50" w:type="dxa"/>
            </w:tcMar>
            <w:vAlign w:val="center"/>
          </w:tcPr>
          <w:p w:rsidR="00B97DAA" w:rsidRPr="0083656A" w:rsidRDefault="00B97DAA" w:rsidP="00F10476">
            <w:pPr>
              <w:rPr>
                <w:rFonts w:ascii="Arial" w:eastAsia="Arial Unicode MS" w:hAnsi="Arial" w:cs="Arial"/>
                <w:color w:val="FFFFFF"/>
              </w:rPr>
            </w:pPr>
            <w:r w:rsidRPr="0083656A">
              <w:rPr>
                <w:rFonts w:ascii="Arial" w:eastAsia="Arial Unicode MS" w:hAnsi="Arial" w:cs="Arial"/>
                <w:b/>
                <w:bCs/>
                <w:color w:val="FFFFFF"/>
              </w:rPr>
              <w:t>Results</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s23 and (s26 or s27 or s28) and (s6 or s7 or s8 or s9 or s10 or s11 or s12 or s13 or s14 or s15 or s16 or s17)</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157</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s23 and (s26 or s27 or s28)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189</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s20 and (s26 or s27 or s28) and (s6 or s7 or s8 or s9 or s10 or s11 or s12 or s13 or s14 or s15 or s16 or s17)</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78</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s20 and (s26 or s27 or s28)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91</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S30</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(s6 or s7 or s8 or s9 or s10 or s11 or s12 or s13 or s14 or s15 or s16 or s17) and (s26 or s27 or s28)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506</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S29</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(s26 or s27 or s28)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753</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S28</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ti,ab</w:t>
            </w:r>
            <w:proofErr w:type="spellEnd"/>
            <w:r w:rsidRPr="0083656A">
              <w:rPr>
                <w:rFonts w:ascii="Arial" w:eastAsia="Arial Unicode MS" w:hAnsi="Arial" w:cs="Arial"/>
              </w:rPr>
              <w:t>(survival or course or progress[*3] or (advanced near/5 (stage[*1] or staging)))</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4435101</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S27</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EMB.EXACT("overall survival") OR EMB.EXACT("survival time") OR EMB.EXACT("survival prediction") OR EMB.EXACT("survival rate") OR EMB.EXACT.EXPLODE("survival") OR EMB.EXACT("disease course")</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1146953</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S26</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MESH.EXACT("Survival") OR MESH.EXACT("Survival Rate") OR MESH.EXACT.EXPLODE("Survival Analysis") OR MESH.EXACT("Disease Progression")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421456</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lastRenderedPageBreak/>
              <w:t>S25</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(s6 or s7 or s8 or s9 or s10 or s11 or s12 or s13 or s14 or s15 or s16 or s17) and s23</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248</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s23</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330</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 xml:space="preserve">EMB.EXACT("staging") or </w:t>
            </w:r>
            <w:proofErr w:type="spellStart"/>
            <w:r w:rsidRPr="0083656A">
              <w:rPr>
                <w:rFonts w:ascii="Arial" w:eastAsia="Arial Unicode MS" w:hAnsi="Arial" w:cs="Arial"/>
              </w:rPr>
              <w:t>ti,ab</w:t>
            </w:r>
            <w:proofErr w:type="spellEnd"/>
            <w:r w:rsidRPr="0083656A">
              <w:rPr>
                <w:rFonts w:ascii="Arial" w:eastAsia="Arial Unicode MS" w:hAnsi="Arial" w:cs="Arial"/>
              </w:rPr>
              <w:t>(</w:t>
            </w:r>
            <w:proofErr w:type="spellStart"/>
            <w:r w:rsidRPr="0083656A">
              <w:rPr>
                <w:rFonts w:ascii="Arial" w:eastAsia="Arial Unicode MS" w:hAnsi="Arial" w:cs="Arial"/>
              </w:rPr>
              <w:t>quintero</w:t>
            </w:r>
            <w:proofErr w:type="spellEnd"/>
            <w:r w:rsidRPr="0083656A">
              <w:rPr>
                <w:rFonts w:ascii="Arial" w:eastAsia="Arial Unicode MS" w:hAnsi="Arial" w:cs="Arial"/>
              </w:rPr>
              <w:t xml:space="preserve"> or stage[*1] or staging)</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2090343</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(s6 or s7 or s8 or s9 or s10 or s11 or s12 or s13 or s14 or s15 or s16 or s17) and s20</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112</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s20</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137</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S20</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ti,ab</w:t>
            </w:r>
            <w:proofErr w:type="spellEnd"/>
            <w:r w:rsidRPr="0083656A">
              <w:rPr>
                <w:rFonts w:ascii="Arial" w:eastAsia="Arial Unicode MS" w:hAnsi="Arial" w:cs="Arial"/>
              </w:rPr>
              <w:t>((stage[*1] or staging) near/5 (early or I or one or 1))</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570855</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S19</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not (s6 or s7 or s8 or s9 or s10 or s11 or s12 or s13 or s14 or s15 or s16 or s17)</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1765</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S18</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s5 and (s6 or s7 or s8 or s9 or s10 or s11 or s12 or s13 or s14 or s15 or s16 or s17)</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1533</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S17</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ti,ab</w:t>
            </w:r>
            <w:proofErr w:type="spellEnd"/>
            <w:r w:rsidRPr="0083656A">
              <w:rPr>
                <w:rFonts w:ascii="Arial" w:eastAsia="Arial Unicode MS" w:hAnsi="Arial" w:cs="Arial"/>
              </w:rPr>
              <w:t xml:space="preserve">(prospective[*2] or retrospective[*2] or "follow up" or </w:t>
            </w:r>
            <w:proofErr w:type="spellStart"/>
            <w:r w:rsidRPr="0083656A">
              <w:rPr>
                <w:rFonts w:ascii="Arial" w:eastAsia="Arial Unicode MS" w:hAnsi="Arial" w:cs="Arial"/>
              </w:rPr>
              <w:t>followup</w:t>
            </w:r>
            <w:proofErr w:type="spellEnd"/>
            <w:r w:rsidRPr="0083656A">
              <w:rPr>
                <w:rFonts w:ascii="Arial" w:eastAsia="Arial Unicode MS" w:hAnsi="Arial" w:cs="Arial"/>
              </w:rPr>
              <w:t xml:space="preserve"> or longitudinal[*2] or "case control[*4]" or cohort or "cross sectional[*2]" or observation[*2])</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6292455</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S16</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EMB.EXACT("evaluation study") OR EMB.EXACT("follow up") OR EMB.EXACT("evaluation and follow up")</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1118662</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S15</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EMB.EXACT("longitudinal study") OR EMB.EXACT.EXPLODE("case control study") OR EMB.EXACT("major clinical study") OR EMB.EXACT("prospective study") OR EMB.EXACT("retrospective study") OR EMB.EXACT("clinical study") OR EMB.EXACT("cross-sectional study") OR EMB.EXACT("cohort analysis") OR EMB.EXACT("observational study")</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3493727</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 xml:space="preserve">MESH.EXACT("Evaluation Studies as Topic") or </w:t>
            </w:r>
            <w:proofErr w:type="spellStart"/>
            <w:r w:rsidRPr="0083656A">
              <w:rPr>
                <w:rFonts w:ascii="Arial" w:eastAsia="Arial Unicode MS" w:hAnsi="Arial" w:cs="Arial"/>
              </w:rPr>
              <w:t>rtype.exact</w:t>
            </w:r>
            <w:proofErr w:type="spellEnd"/>
            <w:r w:rsidRPr="0083656A">
              <w:rPr>
                <w:rFonts w:ascii="Arial" w:eastAsia="Arial Unicode MS" w:hAnsi="Arial" w:cs="Arial"/>
              </w:rPr>
              <w:t>("Evaluation Studies" or "Observational Study")</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347514</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MESH.EXACT("Follow-Up Studies") OR MESH.EXACT("Longitudinal Studies") OR MESH.EXACT("Cohort Studies") OR MESH.EXACT("Retrospective Studies") OR MESH.EXACT("Prospective Studies") OR MESH.EXACT("Case-Control Studies") OR MESH.EXACT("Cross-Sectional Studies") OR MESH.EXACT("Evaluation Studies")</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1796796</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ti,ab</w:t>
            </w:r>
            <w:proofErr w:type="spellEnd"/>
            <w:r w:rsidRPr="0083656A">
              <w:rPr>
                <w:rFonts w:ascii="Arial" w:eastAsia="Arial Unicode MS" w:hAnsi="Arial" w:cs="Arial"/>
              </w:rPr>
              <w:t xml:space="preserve">("meta </w:t>
            </w:r>
            <w:proofErr w:type="spellStart"/>
            <w:r w:rsidRPr="0083656A">
              <w:rPr>
                <w:rFonts w:ascii="Arial" w:eastAsia="Arial Unicode MS" w:hAnsi="Arial" w:cs="Arial"/>
              </w:rPr>
              <w:t>analy</w:t>
            </w:r>
            <w:proofErr w:type="spellEnd"/>
            <w:r w:rsidRPr="0083656A">
              <w:rPr>
                <w:rFonts w:ascii="Arial" w:eastAsia="Arial Unicode MS" w:hAnsi="Arial" w:cs="Arial"/>
              </w:rPr>
              <w:t xml:space="preserve">[*3]" or </w:t>
            </w:r>
            <w:proofErr w:type="spellStart"/>
            <w:r w:rsidRPr="0083656A">
              <w:rPr>
                <w:rFonts w:ascii="Arial" w:eastAsia="Arial Unicode MS" w:hAnsi="Arial" w:cs="Arial"/>
              </w:rPr>
              <w:t>metaanaly</w:t>
            </w:r>
            <w:proofErr w:type="spellEnd"/>
            <w:r w:rsidRPr="0083656A">
              <w:rPr>
                <w:rFonts w:ascii="Arial" w:eastAsia="Arial Unicode MS" w:hAnsi="Arial" w:cs="Arial"/>
              </w:rPr>
              <w:t>[*3] or "systematic review[*1]" or trial[*1] or ((</w:t>
            </w:r>
            <w:proofErr w:type="spellStart"/>
            <w:r w:rsidRPr="0083656A">
              <w:rPr>
                <w:rFonts w:ascii="Arial" w:eastAsia="Arial Unicode MS" w:hAnsi="Arial" w:cs="Arial"/>
              </w:rPr>
              <w:t>singl</w:t>
            </w:r>
            <w:proofErr w:type="spellEnd"/>
            <w:r w:rsidRPr="0083656A">
              <w:rPr>
                <w:rFonts w:ascii="Arial" w:eastAsia="Arial Unicode MS" w:hAnsi="Arial" w:cs="Arial"/>
              </w:rPr>
              <w:t xml:space="preserve">[*4] or </w:t>
            </w:r>
            <w:proofErr w:type="spellStart"/>
            <w:r w:rsidRPr="0083656A">
              <w:rPr>
                <w:rFonts w:ascii="Arial" w:eastAsia="Arial Unicode MS" w:hAnsi="Arial" w:cs="Arial"/>
              </w:rPr>
              <w:t>doubl</w:t>
            </w:r>
            <w:proofErr w:type="spellEnd"/>
            <w:r w:rsidRPr="0083656A">
              <w:rPr>
                <w:rFonts w:ascii="Arial" w:eastAsia="Arial Unicode MS" w:hAnsi="Arial" w:cs="Arial"/>
              </w:rPr>
              <w:t xml:space="preserve">[*4] or </w:t>
            </w:r>
            <w:proofErr w:type="spellStart"/>
            <w:r w:rsidRPr="0083656A">
              <w:rPr>
                <w:rFonts w:ascii="Arial" w:eastAsia="Arial Unicode MS" w:hAnsi="Arial" w:cs="Arial"/>
              </w:rPr>
              <w:t>trebl</w:t>
            </w:r>
            <w:proofErr w:type="spellEnd"/>
            <w:r w:rsidRPr="0083656A">
              <w:rPr>
                <w:rFonts w:ascii="Arial" w:eastAsia="Arial Unicode MS" w:hAnsi="Arial" w:cs="Arial"/>
              </w:rPr>
              <w:t xml:space="preserve">[*4] or </w:t>
            </w:r>
            <w:proofErr w:type="spellStart"/>
            <w:r w:rsidRPr="0083656A">
              <w:rPr>
                <w:rFonts w:ascii="Arial" w:eastAsia="Arial Unicode MS" w:hAnsi="Arial" w:cs="Arial"/>
              </w:rPr>
              <w:t>tripl</w:t>
            </w:r>
            <w:proofErr w:type="spellEnd"/>
            <w:r w:rsidRPr="0083656A">
              <w:rPr>
                <w:rFonts w:ascii="Arial" w:eastAsia="Arial Unicode MS" w:hAnsi="Arial" w:cs="Arial"/>
              </w:rPr>
              <w:t xml:space="preserve">[*4]) near/5 (blind[*4] or mask[*4])) or </w:t>
            </w:r>
            <w:proofErr w:type="spellStart"/>
            <w:r w:rsidRPr="0083656A">
              <w:rPr>
                <w:rFonts w:ascii="Arial" w:eastAsia="Arial Unicode MS" w:hAnsi="Arial" w:cs="Arial"/>
              </w:rPr>
              <w:t>rct</w:t>
            </w:r>
            <w:proofErr w:type="spellEnd"/>
            <w:r w:rsidRPr="0083656A">
              <w:rPr>
                <w:rFonts w:ascii="Arial" w:eastAsia="Arial Unicode MS" w:hAnsi="Arial" w:cs="Arial"/>
              </w:rPr>
              <w:t xml:space="preserve">[*1] or randomized or </w:t>
            </w:r>
            <w:proofErr w:type="spellStart"/>
            <w:r w:rsidRPr="0083656A">
              <w:rPr>
                <w:rFonts w:ascii="Arial" w:eastAsia="Arial Unicode MS" w:hAnsi="Arial" w:cs="Arial"/>
              </w:rPr>
              <w:t>randomised</w:t>
            </w:r>
            <w:proofErr w:type="spellEnd"/>
            <w:r w:rsidRPr="0083656A">
              <w:rPr>
                <w:rFonts w:ascii="Arial" w:eastAsia="Arial Unicode MS" w:hAnsi="Arial" w:cs="Arial"/>
              </w:rPr>
              <w:t xml:space="preserve"> or randomization or </w:t>
            </w:r>
            <w:proofErr w:type="spellStart"/>
            <w:r w:rsidRPr="0083656A">
              <w:rPr>
                <w:rFonts w:ascii="Arial" w:eastAsia="Arial Unicode MS" w:hAnsi="Arial" w:cs="Arial"/>
              </w:rPr>
              <w:t>randomisation</w:t>
            </w:r>
            <w:proofErr w:type="spellEnd"/>
            <w:r w:rsidRPr="0083656A">
              <w:rPr>
                <w:rFonts w:ascii="Arial" w:eastAsia="Arial Unicode MS" w:hAnsi="Arial" w:cs="Arial"/>
              </w:rPr>
              <w:t xml:space="preserve"> or randomly or crossover or "</w:t>
            </w:r>
            <w:proofErr w:type="spellStart"/>
            <w:r w:rsidRPr="0083656A">
              <w:rPr>
                <w:rFonts w:ascii="Arial" w:eastAsia="Arial Unicode MS" w:hAnsi="Arial" w:cs="Arial"/>
              </w:rPr>
              <w:t>cross over</w:t>
            </w:r>
            <w:proofErr w:type="spellEnd"/>
            <w:r w:rsidRPr="0083656A">
              <w:rPr>
                <w:rFonts w:ascii="Arial" w:eastAsia="Arial Unicode MS" w:hAnsi="Arial" w:cs="Arial"/>
              </w:rPr>
              <w:t>")</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2953631</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lastRenderedPageBreak/>
              <w:t>S11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EMB.EXACT("meta analysis (topic)") OR EMB.EXACT.EXPLODE("clinical trial (topic)") OR EMB.EXACT("systematic review (topic)")</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211664</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S10</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EMB(ct)</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1232863</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S9</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EMB.EXACT("triple blind procedure") OR EMB.EXACT("crossover procedure") OR EMB.EXACT("single blind procedure") OR EMB.EXACT("double blind procedure") OR EMB.EXACT("controlled study") OR EMB.EXACT("meta analysis") OR EMB.EXACT("comparative study") OR EMB.EXACT("systematic review") OR EMB.EXACT.EXPLODE("randomization")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5781174</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S8</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EMB.EXACT("phase 4 clinical trial") OR EMB.EXACT("phase 2 clinical trial") OR EMB.EXACT("phase 3 clinical trial") OR EMB.EXACT("phase 1 clinical trial") OR EMB.EXACT("randomized controlled trial") OR EMB.EXACT("multicenter study") OR EMB.EXACT("controlled clinical trial") OR EMB.EXACT("clinical trial")</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1268608</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S7</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MESH.EXACT.EXPLODE("Clinical Trials as Topic") OR MESH.EXACT("Meta-Analysis as Topic") OR MESH.EXACT("Random Allocation") OR MESH.EXACT("Single-Blind Method") OR MESH.EXACT("Double-Blind Method") OR MESH.EXACT("Cross-Over Studies") OR MESH.EXACT("Meta-Analysis")</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507746</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S6</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rtype.exact</w:t>
            </w:r>
            <w:proofErr w:type="spellEnd"/>
            <w:r w:rsidRPr="0083656A">
              <w:rPr>
                <w:rFonts w:ascii="Arial" w:eastAsia="Arial Unicode MS" w:hAnsi="Arial" w:cs="Arial"/>
              </w:rPr>
              <w:t>("Comparative Study" OR "Clinical Trial, Phase III" OR "Randomized Controlled Trial" OR "Controlled Clinical Trial" OR "Clinical Trial, Phase IV" OR "Clinical Trial, Phase I" OR "Meta-Analysis" OR "Clinical Trial" OR "Clinical Trial, Phase II" OR "Multicenter Study" OR "Clinical Study")</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2383347</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b/>
              </w:rPr>
            </w:pPr>
            <w:r w:rsidRPr="0083656A">
              <w:rPr>
                <w:rFonts w:ascii="Arial" w:eastAsia="Arial Unicode MS" w:hAnsi="Arial" w:cs="Arial"/>
                <w:b/>
              </w:rPr>
              <w:t>S5</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b/>
              </w:rPr>
            </w:pPr>
            <w:r w:rsidRPr="0083656A">
              <w:rPr>
                <w:rFonts w:ascii="Arial" w:eastAsia="Arial Unicode MS" w:hAnsi="Arial" w:cs="Arial"/>
                <w:b/>
              </w:rPr>
              <w:t>(s1 or s2 or s3) and la(English)</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b/>
              </w:rPr>
            </w:pPr>
            <w:r w:rsidRPr="0083656A">
              <w:rPr>
                <w:rFonts w:ascii="Arial" w:eastAsia="Arial Unicode MS" w:hAnsi="Arial" w:cs="Arial"/>
                <w:b/>
              </w:rPr>
              <w:t>3028</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S4</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 or s2 or s3</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5382</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S3</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proofErr w:type="spellStart"/>
            <w:r w:rsidRPr="0083656A">
              <w:rPr>
                <w:rFonts w:ascii="Arial" w:eastAsia="Arial Unicode MS" w:hAnsi="Arial" w:cs="Arial"/>
              </w:rPr>
              <w:t>ti,ab</w:t>
            </w:r>
            <w:proofErr w:type="spellEnd"/>
            <w:r w:rsidRPr="0083656A">
              <w:rPr>
                <w:rFonts w:ascii="Arial" w:eastAsia="Arial Unicode MS" w:hAnsi="Arial" w:cs="Arial"/>
              </w:rPr>
              <w:t xml:space="preserve">("twin twin" or "twin to twin" or </w:t>
            </w:r>
            <w:proofErr w:type="spellStart"/>
            <w:r w:rsidRPr="0083656A">
              <w:rPr>
                <w:rFonts w:ascii="Arial" w:eastAsia="Arial Unicode MS" w:hAnsi="Arial" w:cs="Arial"/>
              </w:rPr>
              <w:t>ttts</w:t>
            </w:r>
            <w:proofErr w:type="spellEnd"/>
            <w:r w:rsidRPr="0083656A">
              <w:rPr>
                <w:rFonts w:ascii="Arial" w:eastAsia="Arial Unicode MS" w:hAnsi="Arial" w:cs="Arial"/>
              </w:rPr>
              <w:t xml:space="preserve"> or ((twin or </w:t>
            </w:r>
            <w:proofErr w:type="spellStart"/>
            <w:r w:rsidRPr="0083656A">
              <w:rPr>
                <w:rFonts w:ascii="Arial" w:eastAsia="Arial Unicode MS" w:hAnsi="Arial" w:cs="Arial"/>
              </w:rPr>
              <w:t>fetofetal</w:t>
            </w:r>
            <w:proofErr w:type="spellEnd"/>
            <w:r w:rsidRPr="0083656A">
              <w:rPr>
                <w:rFonts w:ascii="Arial" w:eastAsia="Arial Unicode MS" w:hAnsi="Arial" w:cs="Arial"/>
              </w:rPr>
              <w:t xml:space="preserve"> or "</w:t>
            </w:r>
            <w:proofErr w:type="spellStart"/>
            <w:r w:rsidRPr="0083656A">
              <w:rPr>
                <w:rFonts w:ascii="Arial" w:eastAsia="Arial Unicode MS" w:hAnsi="Arial" w:cs="Arial"/>
              </w:rPr>
              <w:t>feto</w:t>
            </w:r>
            <w:proofErr w:type="spellEnd"/>
            <w:r w:rsidRPr="0083656A">
              <w:rPr>
                <w:rFonts w:ascii="Arial" w:eastAsia="Arial Unicode MS" w:hAnsi="Arial" w:cs="Arial"/>
              </w:rPr>
              <w:t xml:space="preserve"> fetal" or </w:t>
            </w:r>
            <w:proofErr w:type="spellStart"/>
            <w:r w:rsidRPr="0083656A">
              <w:rPr>
                <w:rFonts w:ascii="Arial" w:eastAsia="Arial Unicode MS" w:hAnsi="Arial" w:cs="Arial"/>
              </w:rPr>
              <w:t>foetofoetal</w:t>
            </w:r>
            <w:proofErr w:type="spellEnd"/>
            <w:r w:rsidRPr="0083656A">
              <w:rPr>
                <w:rFonts w:ascii="Arial" w:eastAsia="Arial Unicode MS" w:hAnsi="Arial" w:cs="Arial"/>
              </w:rPr>
              <w:t xml:space="preserve"> or "</w:t>
            </w:r>
            <w:proofErr w:type="spellStart"/>
            <w:r w:rsidRPr="0083656A">
              <w:rPr>
                <w:rFonts w:ascii="Arial" w:eastAsia="Arial Unicode MS" w:hAnsi="Arial" w:cs="Arial"/>
              </w:rPr>
              <w:t>foeto</w:t>
            </w:r>
            <w:proofErr w:type="spellEnd"/>
            <w:r w:rsidRPr="0083656A">
              <w:rPr>
                <w:rFonts w:ascii="Arial" w:eastAsia="Arial Unicode MS" w:hAnsi="Arial" w:cs="Arial"/>
              </w:rPr>
              <w:t xml:space="preserve"> </w:t>
            </w:r>
            <w:proofErr w:type="spellStart"/>
            <w:r w:rsidRPr="0083656A">
              <w:rPr>
                <w:rFonts w:ascii="Arial" w:eastAsia="Arial Unicode MS" w:hAnsi="Arial" w:cs="Arial"/>
              </w:rPr>
              <w:t>foetal</w:t>
            </w:r>
            <w:proofErr w:type="spellEnd"/>
            <w:r w:rsidRPr="0083656A">
              <w:rPr>
                <w:rFonts w:ascii="Arial" w:eastAsia="Arial Unicode MS" w:hAnsi="Arial" w:cs="Arial"/>
              </w:rPr>
              <w:t>" or "intrauterine cross" or "intra uterine cross") near/5 transfusion))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2648</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S2</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EMB.EXACT("twin twin transfusion syndrome")</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1817</w:t>
            </w:r>
          </w:p>
        </w:tc>
      </w:tr>
      <w:tr w:rsidR="00B97DAA" w:rsidRPr="0083656A" w:rsidTr="00F10476">
        <w:trPr>
          <w:jc w:val="center"/>
        </w:trPr>
        <w:tc>
          <w:tcPr>
            <w:tcW w:w="79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S1</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rPr>
                <w:rFonts w:ascii="Arial" w:eastAsia="Arial Unicode MS" w:hAnsi="Arial" w:cs="Arial"/>
              </w:rPr>
            </w:pPr>
            <w:r w:rsidRPr="0083656A">
              <w:rPr>
                <w:rFonts w:ascii="Arial" w:eastAsia="Arial Unicode MS" w:hAnsi="Arial" w:cs="Arial"/>
              </w:rPr>
              <w:t>MESH.EXACT("</w:t>
            </w:r>
            <w:proofErr w:type="spellStart"/>
            <w:r w:rsidRPr="0083656A">
              <w:rPr>
                <w:rFonts w:ascii="Arial" w:eastAsia="Arial Unicode MS" w:hAnsi="Arial" w:cs="Arial"/>
              </w:rPr>
              <w:t>Fetofetal</w:t>
            </w:r>
            <w:proofErr w:type="spellEnd"/>
            <w:r w:rsidRPr="0083656A">
              <w:rPr>
                <w:rFonts w:ascii="Arial" w:eastAsia="Arial Unicode MS" w:hAnsi="Arial" w:cs="Arial"/>
              </w:rPr>
              <w:t xml:space="preserve"> Transfusion")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rsidR="00B97DAA" w:rsidRPr="0083656A" w:rsidRDefault="00B97DAA" w:rsidP="00F10476">
            <w:pPr>
              <w:jc w:val="right"/>
              <w:rPr>
                <w:rFonts w:ascii="Arial" w:eastAsia="Arial Unicode MS" w:hAnsi="Arial" w:cs="Arial"/>
              </w:rPr>
            </w:pPr>
            <w:r w:rsidRPr="0083656A">
              <w:rPr>
                <w:rFonts w:ascii="Arial" w:eastAsia="Arial Unicode MS" w:hAnsi="Arial" w:cs="Arial"/>
              </w:rPr>
              <w:t>1675</w:t>
            </w:r>
          </w:p>
        </w:tc>
      </w:tr>
    </w:tbl>
    <w:p w:rsidR="00B97DAA" w:rsidRPr="0083656A" w:rsidRDefault="00B97DAA" w:rsidP="00B97DAA">
      <w:pPr>
        <w:rPr>
          <w:rFonts w:ascii="Arial" w:eastAsia="Arial Unicode MS" w:hAnsi="Arial" w:cs="Arial"/>
          <w:b/>
          <w:bCs/>
        </w:rPr>
      </w:pPr>
    </w:p>
    <w:p w:rsidR="00B97DAA" w:rsidRPr="0083656A" w:rsidRDefault="00B97DAA" w:rsidP="00B97DAA">
      <w:pPr>
        <w:rPr>
          <w:rFonts w:ascii="Arial" w:eastAsia="Arial Unicode MS" w:hAnsi="Arial" w:cs="Arial"/>
          <w:b/>
          <w:bCs/>
        </w:rPr>
      </w:pPr>
      <w:r w:rsidRPr="0083656A">
        <w:rPr>
          <w:rFonts w:ascii="Arial" w:eastAsia="Arial Unicode MS" w:hAnsi="Arial" w:cs="Arial"/>
          <w:b/>
          <w:bCs/>
        </w:rPr>
        <w:br w:type="page"/>
      </w:r>
    </w:p>
    <w:p w:rsidR="00B97DAA" w:rsidRPr="0083656A" w:rsidRDefault="00B97DAA" w:rsidP="00B97DAA">
      <w:pPr>
        <w:rPr>
          <w:rFonts w:ascii="Arial" w:hAnsi="Arial" w:cs="Arial"/>
        </w:rPr>
      </w:pPr>
      <w:r w:rsidRPr="0083656A">
        <w:rPr>
          <w:rFonts w:ascii="Arial" w:eastAsia="Arial Unicode MS" w:hAnsi="Arial" w:cs="Arial"/>
          <w:b/>
          <w:bCs/>
        </w:rPr>
        <w:lastRenderedPageBreak/>
        <w:t xml:space="preserve">Databases: </w:t>
      </w:r>
      <w:r w:rsidRPr="0083656A">
        <w:rPr>
          <w:rFonts w:ascii="Arial" w:eastAsia="Arial Unicode MS" w:hAnsi="Arial" w:cs="Arial"/>
        </w:rPr>
        <w:t>The Cochrane Library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904"/>
      </w:tblGrid>
      <w:tr w:rsidR="00B97DAA" w:rsidRPr="0083656A" w:rsidTr="00F10476">
        <w:tc>
          <w:tcPr>
            <w:tcW w:w="675" w:type="dxa"/>
            <w:shd w:val="clear" w:color="auto" w:fill="auto"/>
          </w:tcPr>
          <w:p w:rsidR="00B97DAA" w:rsidRPr="0083656A" w:rsidRDefault="00B97DAA" w:rsidP="00F10476">
            <w:pPr>
              <w:rPr>
                <w:rFonts w:ascii="Arial" w:hAnsi="Arial" w:cs="Arial"/>
                <w:b/>
              </w:rPr>
            </w:pPr>
            <w:r w:rsidRPr="0083656A">
              <w:rPr>
                <w:rFonts w:ascii="Arial" w:hAnsi="Arial" w:cs="Arial"/>
                <w:b/>
              </w:rPr>
              <w:t>ID</w:t>
            </w:r>
          </w:p>
        </w:tc>
        <w:tc>
          <w:tcPr>
            <w:tcW w:w="6946" w:type="dxa"/>
            <w:shd w:val="clear" w:color="auto" w:fill="auto"/>
          </w:tcPr>
          <w:p w:rsidR="00B97DAA" w:rsidRPr="0083656A" w:rsidRDefault="00B97DAA" w:rsidP="00F10476">
            <w:pPr>
              <w:rPr>
                <w:rFonts w:ascii="Arial" w:hAnsi="Arial" w:cs="Arial"/>
                <w:b/>
              </w:rPr>
            </w:pPr>
            <w:r w:rsidRPr="0083656A">
              <w:rPr>
                <w:rFonts w:ascii="Arial" w:hAnsi="Arial" w:cs="Arial"/>
                <w:b/>
              </w:rPr>
              <w:t xml:space="preserve">Search </w:t>
            </w:r>
          </w:p>
        </w:tc>
        <w:tc>
          <w:tcPr>
            <w:tcW w:w="904" w:type="dxa"/>
            <w:shd w:val="clear" w:color="auto" w:fill="auto"/>
          </w:tcPr>
          <w:p w:rsidR="00B97DAA" w:rsidRPr="0083656A" w:rsidRDefault="00B97DAA" w:rsidP="00F10476">
            <w:pPr>
              <w:rPr>
                <w:rFonts w:ascii="Arial" w:hAnsi="Arial" w:cs="Arial"/>
                <w:b/>
              </w:rPr>
            </w:pPr>
            <w:r w:rsidRPr="0083656A">
              <w:rPr>
                <w:rFonts w:ascii="Arial" w:hAnsi="Arial" w:cs="Arial"/>
                <w:b/>
              </w:rPr>
              <w:t>Hits</w:t>
            </w:r>
          </w:p>
        </w:tc>
      </w:tr>
      <w:tr w:rsidR="00B97DAA" w:rsidRPr="0083656A" w:rsidTr="00F10476">
        <w:tc>
          <w:tcPr>
            <w:tcW w:w="675" w:type="dxa"/>
            <w:shd w:val="clear" w:color="auto" w:fill="auto"/>
          </w:tcPr>
          <w:p w:rsidR="00B97DAA" w:rsidRPr="0083656A" w:rsidRDefault="00B97DAA" w:rsidP="00F10476">
            <w:pPr>
              <w:rPr>
                <w:rFonts w:ascii="Arial" w:hAnsi="Arial" w:cs="Arial"/>
              </w:rPr>
            </w:pPr>
            <w:r w:rsidRPr="0083656A">
              <w:rPr>
                <w:rFonts w:ascii="Arial" w:hAnsi="Arial" w:cs="Arial"/>
              </w:rPr>
              <w:t>#1</w:t>
            </w:r>
          </w:p>
        </w:tc>
        <w:tc>
          <w:tcPr>
            <w:tcW w:w="6946" w:type="dxa"/>
            <w:shd w:val="clear" w:color="auto" w:fill="auto"/>
          </w:tcPr>
          <w:p w:rsidR="00B97DAA" w:rsidRPr="0083656A" w:rsidRDefault="00B97DAA" w:rsidP="00F10476">
            <w:pPr>
              <w:pStyle w:val="NormalWeb"/>
              <w:rPr>
                <w:rFonts w:ascii="Arial" w:hAnsi="Arial" w:cs="Arial"/>
                <w:sz w:val="22"/>
                <w:szCs w:val="22"/>
              </w:rPr>
            </w:pPr>
            <w:proofErr w:type="spellStart"/>
            <w:r w:rsidRPr="0083656A">
              <w:rPr>
                <w:rFonts w:ascii="Arial" w:hAnsi="Arial" w:cs="Arial"/>
                <w:sz w:val="22"/>
                <w:szCs w:val="22"/>
                <w:lang/>
              </w:rPr>
              <w:t>MeSH</w:t>
            </w:r>
            <w:proofErr w:type="spellEnd"/>
            <w:r w:rsidRPr="0083656A">
              <w:rPr>
                <w:rFonts w:ascii="Arial" w:hAnsi="Arial" w:cs="Arial"/>
                <w:sz w:val="22"/>
                <w:szCs w:val="22"/>
                <w:lang/>
              </w:rPr>
              <w:t xml:space="preserve"> descriptor: [</w:t>
            </w:r>
            <w:proofErr w:type="spellStart"/>
            <w:r w:rsidRPr="0083656A">
              <w:rPr>
                <w:rFonts w:ascii="Arial" w:hAnsi="Arial" w:cs="Arial"/>
                <w:sz w:val="22"/>
                <w:szCs w:val="22"/>
              </w:rPr>
              <w:t>Fetofetal</w:t>
            </w:r>
            <w:proofErr w:type="spellEnd"/>
            <w:r w:rsidRPr="0083656A">
              <w:rPr>
                <w:rFonts w:ascii="Arial" w:hAnsi="Arial" w:cs="Arial"/>
                <w:sz w:val="22"/>
                <w:szCs w:val="22"/>
              </w:rPr>
              <w:t xml:space="preserve"> Transfusion</w:t>
            </w:r>
            <w:r w:rsidRPr="0083656A">
              <w:rPr>
                <w:rFonts w:ascii="Arial" w:hAnsi="Arial" w:cs="Arial"/>
                <w:sz w:val="22"/>
                <w:szCs w:val="22"/>
                <w:lang/>
              </w:rPr>
              <w:t>] this term only</w:t>
            </w:r>
          </w:p>
        </w:tc>
        <w:tc>
          <w:tcPr>
            <w:tcW w:w="904" w:type="dxa"/>
            <w:shd w:val="clear" w:color="auto" w:fill="auto"/>
          </w:tcPr>
          <w:p w:rsidR="00B97DAA" w:rsidRPr="0083656A" w:rsidRDefault="00B97DAA" w:rsidP="00F10476">
            <w:pPr>
              <w:rPr>
                <w:rFonts w:ascii="Arial" w:hAnsi="Arial" w:cs="Arial"/>
              </w:rPr>
            </w:pPr>
            <w:r w:rsidRPr="0083656A">
              <w:rPr>
                <w:rFonts w:ascii="Arial" w:hAnsi="Arial" w:cs="Arial"/>
              </w:rPr>
              <w:t>27</w:t>
            </w:r>
          </w:p>
        </w:tc>
      </w:tr>
      <w:tr w:rsidR="00B97DAA" w:rsidRPr="0083656A" w:rsidTr="00F10476">
        <w:tc>
          <w:tcPr>
            <w:tcW w:w="675" w:type="dxa"/>
            <w:shd w:val="clear" w:color="auto" w:fill="auto"/>
          </w:tcPr>
          <w:p w:rsidR="00B97DAA" w:rsidRPr="0083656A" w:rsidRDefault="00B97DAA" w:rsidP="00F10476">
            <w:pPr>
              <w:rPr>
                <w:rFonts w:ascii="Arial" w:hAnsi="Arial" w:cs="Arial"/>
              </w:rPr>
            </w:pPr>
            <w:r w:rsidRPr="0083656A">
              <w:rPr>
                <w:rFonts w:ascii="Arial" w:hAnsi="Arial" w:cs="Arial"/>
              </w:rPr>
              <w:t>#2</w:t>
            </w:r>
          </w:p>
        </w:tc>
        <w:tc>
          <w:tcPr>
            <w:tcW w:w="6946" w:type="dxa"/>
            <w:shd w:val="clear" w:color="auto" w:fill="auto"/>
          </w:tcPr>
          <w:p w:rsidR="00B97DAA" w:rsidRPr="0083656A" w:rsidRDefault="00B97DAA" w:rsidP="00F10476">
            <w:pPr>
              <w:rPr>
                <w:rFonts w:ascii="Arial" w:hAnsi="Arial" w:cs="Arial"/>
              </w:rPr>
            </w:pPr>
            <w:r w:rsidRPr="0083656A">
              <w:rPr>
                <w:rFonts w:ascii="Arial" w:hAnsi="Arial" w:cs="Arial"/>
              </w:rPr>
              <w:t xml:space="preserve">"twin twin" or "twin to twin" or </w:t>
            </w:r>
            <w:proofErr w:type="spellStart"/>
            <w:r w:rsidRPr="0083656A">
              <w:rPr>
                <w:rFonts w:ascii="Arial" w:hAnsi="Arial" w:cs="Arial"/>
              </w:rPr>
              <w:t>ttts:ti,ab,kw</w:t>
            </w:r>
            <w:proofErr w:type="spellEnd"/>
          </w:p>
        </w:tc>
        <w:tc>
          <w:tcPr>
            <w:tcW w:w="904" w:type="dxa"/>
            <w:shd w:val="clear" w:color="auto" w:fill="auto"/>
          </w:tcPr>
          <w:p w:rsidR="00B97DAA" w:rsidRPr="0083656A" w:rsidRDefault="00B97DAA" w:rsidP="00F10476">
            <w:pPr>
              <w:rPr>
                <w:rFonts w:ascii="Arial" w:hAnsi="Arial" w:cs="Arial"/>
              </w:rPr>
            </w:pPr>
            <w:r w:rsidRPr="0083656A">
              <w:rPr>
                <w:rFonts w:ascii="Arial" w:hAnsi="Arial" w:cs="Arial"/>
              </w:rPr>
              <w:t>52</w:t>
            </w:r>
          </w:p>
        </w:tc>
      </w:tr>
      <w:tr w:rsidR="00B97DAA" w:rsidRPr="0083656A" w:rsidTr="00F10476">
        <w:tc>
          <w:tcPr>
            <w:tcW w:w="675" w:type="dxa"/>
            <w:shd w:val="clear" w:color="auto" w:fill="auto"/>
          </w:tcPr>
          <w:p w:rsidR="00B97DAA" w:rsidRPr="0083656A" w:rsidRDefault="00B97DAA" w:rsidP="00F10476">
            <w:pPr>
              <w:rPr>
                <w:rFonts w:ascii="Arial" w:hAnsi="Arial" w:cs="Arial"/>
              </w:rPr>
            </w:pPr>
            <w:r w:rsidRPr="0083656A">
              <w:rPr>
                <w:rFonts w:ascii="Arial" w:hAnsi="Arial" w:cs="Arial"/>
              </w:rPr>
              <w:t>#3</w:t>
            </w:r>
          </w:p>
        </w:tc>
        <w:tc>
          <w:tcPr>
            <w:tcW w:w="6946" w:type="dxa"/>
            <w:shd w:val="clear" w:color="auto" w:fill="auto"/>
          </w:tcPr>
          <w:p w:rsidR="00B97DAA" w:rsidRPr="0083656A" w:rsidRDefault="00B97DAA" w:rsidP="00F10476">
            <w:pPr>
              <w:rPr>
                <w:rFonts w:ascii="Arial" w:hAnsi="Arial" w:cs="Arial"/>
              </w:rPr>
            </w:pPr>
            <w:r w:rsidRPr="0083656A">
              <w:rPr>
                <w:rFonts w:ascii="Arial" w:hAnsi="Arial" w:cs="Arial"/>
              </w:rPr>
              <w:t xml:space="preserve">(twin or </w:t>
            </w:r>
            <w:proofErr w:type="spellStart"/>
            <w:r w:rsidRPr="0083656A">
              <w:rPr>
                <w:rFonts w:ascii="Arial" w:hAnsi="Arial" w:cs="Arial"/>
              </w:rPr>
              <w:t>fetofetal</w:t>
            </w:r>
            <w:proofErr w:type="spellEnd"/>
            <w:r w:rsidRPr="0083656A">
              <w:rPr>
                <w:rFonts w:ascii="Arial" w:hAnsi="Arial" w:cs="Arial"/>
              </w:rPr>
              <w:t xml:space="preserve"> or "</w:t>
            </w:r>
            <w:proofErr w:type="spellStart"/>
            <w:r w:rsidRPr="0083656A">
              <w:rPr>
                <w:rFonts w:ascii="Arial" w:hAnsi="Arial" w:cs="Arial"/>
              </w:rPr>
              <w:t>feto</w:t>
            </w:r>
            <w:proofErr w:type="spellEnd"/>
            <w:r w:rsidRPr="0083656A">
              <w:rPr>
                <w:rFonts w:ascii="Arial" w:hAnsi="Arial" w:cs="Arial"/>
              </w:rPr>
              <w:t xml:space="preserve"> fetal" or </w:t>
            </w:r>
            <w:proofErr w:type="spellStart"/>
            <w:r w:rsidRPr="0083656A">
              <w:rPr>
                <w:rFonts w:ascii="Arial" w:hAnsi="Arial" w:cs="Arial"/>
              </w:rPr>
              <w:t>foetofoetal</w:t>
            </w:r>
            <w:proofErr w:type="spellEnd"/>
            <w:r w:rsidRPr="0083656A">
              <w:rPr>
                <w:rFonts w:ascii="Arial" w:hAnsi="Arial" w:cs="Arial"/>
              </w:rPr>
              <w:t xml:space="preserve"> or "</w:t>
            </w:r>
            <w:proofErr w:type="spellStart"/>
            <w:r w:rsidRPr="0083656A">
              <w:rPr>
                <w:rFonts w:ascii="Arial" w:hAnsi="Arial" w:cs="Arial"/>
              </w:rPr>
              <w:t>foeto</w:t>
            </w:r>
            <w:proofErr w:type="spellEnd"/>
            <w:r w:rsidRPr="0083656A">
              <w:rPr>
                <w:rFonts w:ascii="Arial" w:hAnsi="Arial" w:cs="Arial"/>
              </w:rPr>
              <w:t xml:space="preserve"> </w:t>
            </w:r>
            <w:proofErr w:type="spellStart"/>
            <w:r w:rsidRPr="0083656A">
              <w:rPr>
                <w:rFonts w:ascii="Arial" w:hAnsi="Arial" w:cs="Arial"/>
              </w:rPr>
              <w:t>foetal</w:t>
            </w:r>
            <w:proofErr w:type="spellEnd"/>
            <w:r w:rsidRPr="0083656A">
              <w:rPr>
                <w:rFonts w:ascii="Arial" w:hAnsi="Arial" w:cs="Arial"/>
              </w:rPr>
              <w:t xml:space="preserve">" or "intrauterine cross" or "intra uterine cross") near/5 </w:t>
            </w:r>
            <w:proofErr w:type="spellStart"/>
            <w:r w:rsidRPr="0083656A">
              <w:rPr>
                <w:rFonts w:ascii="Arial" w:hAnsi="Arial" w:cs="Arial"/>
              </w:rPr>
              <w:t>transfusion:ti,ab,kw</w:t>
            </w:r>
            <w:proofErr w:type="spellEnd"/>
            <w:r w:rsidRPr="0083656A">
              <w:rPr>
                <w:rFonts w:ascii="Arial" w:hAnsi="Arial" w:cs="Arial"/>
              </w:rPr>
              <w:t xml:space="preserve">  </w:t>
            </w:r>
          </w:p>
        </w:tc>
        <w:tc>
          <w:tcPr>
            <w:tcW w:w="904" w:type="dxa"/>
            <w:shd w:val="clear" w:color="auto" w:fill="auto"/>
          </w:tcPr>
          <w:p w:rsidR="00B97DAA" w:rsidRPr="0083656A" w:rsidRDefault="00B97DAA" w:rsidP="00F10476">
            <w:pPr>
              <w:rPr>
                <w:rFonts w:ascii="Arial" w:hAnsi="Arial" w:cs="Arial"/>
              </w:rPr>
            </w:pPr>
            <w:r w:rsidRPr="0083656A">
              <w:rPr>
                <w:rFonts w:ascii="Arial" w:hAnsi="Arial" w:cs="Arial"/>
              </w:rPr>
              <w:t>51</w:t>
            </w:r>
          </w:p>
        </w:tc>
      </w:tr>
      <w:tr w:rsidR="00B97DAA" w:rsidRPr="0083656A" w:rsidTr="00F10476">
        <w:tc>
          <w:tcPr>
            <w:tcW w:w="675" w:type="dxa"/>
            <w:shd w:val="clear" w:color="auto" w:fill="auto"/>
          </w:tcPr>
          <w:p w:rsidR="00B97DAA" w:rsidRPr="0083656A" w:rsidRDefault="00B97DAA" w:rsidP="00F10476">
            <w:pPr>
              <w:rPr>
                <w:rFonts w:ascii="Arial" w:hAnsi="Arial" w:cs="Arial"/>
                <w:b/>
              </w:rPr>
            </w:pPr>
            <w:r w:rsidRPr="0083656A">
              <w:rPr>
                <w:rFonts w:ascii="Arial" w:hAnsi="Arial" w:cs="Arial"/>
                <w:b/>
              </w:rPr>
              <w:t>#4</w:t>
            </w:r>
          </w:p>
        </w:tc>
        <w:tc>
          <w:tcPr>
            <w:tcW w:w="6946" w:type="dxa"/>
            <w:shd w:val="clear" w:color="auto" w:fill="auto"/>
          </w:tcPr>
          <w:p w:rsidR="00B97DAA" w:rsidRPr="0083656A" w:rsidRDefault="00B97DAA" w:rsidP="00F10476">
            <w:pPr>
              <w:pStyle w:val="NoSpacing"/>
              <w:rPr>
                <w:rFonts w:ascii="Arial" w:hAnsi="Arial" w:cs="Arial"/>
                <w:b/>
                <w:sz w:val="22"/>
                <w:szCs w:val="22"/>
              </w:rPr>
            </w:pPr>
            <w:r w:rsidRPr="0083656A">
              <w:rPr>
                <w:rFonts w:ascii="Arial" w:hAnsi="Arial" w:cs="Arial"/>
                <w:b/>
                <w:sz w:val="22"/>
                <w:szCs w:val="22"/>
              </w:rPr>
              <w:t>#1 or #2 or #3</w:t>
            </w:r>
          </w:p>
        </w:tc>
        <w:tc>
          <w:tcPr>
            <w:tcW w:w="904" w:type="dxa"/>
            <w:shd w:val="clear" w:color="auto" w:fill="auto"/>
          </w:tcPr>
          <w:p w:rsidR="00B97DAA" w:rsidRPr="0083656A" w:rsidRDefault="00B97DAA" w:rsidP="00F10476">
            <w:pPr>
              <w:rPr>
                <w:rFonts w:ascii="Arial" w:hAnsi="Arial" w:cs="Arial"/>
                <w:b/>
              </w:rPr>
            </w:pPr>
            <w:r w:rsidRPr="0083656A">
              <w:rPr>
                <w:rFonts w:ascii="Arial" w:hAnsi="Arial" w:cs="Arial"/>
                <w:b/>
              </w:rPr>
              <w:t>57</w:t>
            </w:r>
          </w:p>
        </w:tc>
      </w:tr>
    </w:tbl>
    <w:p w:rsidR="00B97DAA" w:rsidRPr="0083656A" w:rsidRDefault="00B97DAA" w:rsidP="00B97DAA">
      <w:pPr>
        <w:pStyle w:val="PlainText"/>
        <w:numPr>
          <w:ilvl w:val="0"/>
          <w:numId w:val="1"/>
        </w:numPr>
        <w:rPr>
          <w:rFonts w:ascii="Arial" w:hAnsi="Arial" w:cs="Arial"/>
          <w:sz w:val="22"/>
          <w:szCs w:val="22"/>
        </w:rPr>
      </w:pPr>
      <w:r w:rsidRPr="0083656A">
        <w:rPr>
          <w:rFonts w:ascii="Arial" w:hAnsi="Arial" w:cs="Arial"/>
          <w:sz w:val="22"/>
          <w:szCs w:val="22"/>
        </w:rPr>
        <w:t>The Cochrane Database of Systematic Reviews (CDSR, Cochrane Reviews: Issue 1 of 12, January 2016) (3 references)</w:t>
      </w:r>
    </w:p>
    <w:p w:rsidR="00B97DAA" w:rsidRPr="0083656A" w:rsidRDefault="00B97DAA" w:rsidP="00B97DAA">
      <w:pPr>
        <w:pStyle w:val="PlainText"/>
        <w:numPr>
          <w:ilvl w:val="0"/>
          <w:numId w:val="1"/>
        </w:numPr>
        <w:rPr>
          <w:rFonts w:ascii="Arial" w:hAnsi="Arial" w:cs="Arial"/>
          <w:sz w:val="22"/>
          <w:szCs w:val="22"/>
        </w:rPr>
      </w:pPr>
      <w:r w:rsidRPr="0083656A">
        <w:rPr>
          <w:rFonts w:ascii="Arial" w:hAnsi="Arial" w:cs="Arial"/>
          <w:sz w:val="22"/>
          <w:szCs w:val="22"/>
        </w:rPr>
        <w:t>Database of Abstracts of Reviews of Effect (DARE, Other Reviews: Issue 2 of 4, April 2015) (12 references)</w:t>
      </w:r>
    </w:p>
    <w:p w:rsidR="00B97DAA" w:rsidRPr="0083656A" w:rsidRDefault="00B97DAA" w:rsidP="00B97DAA">
      <w:pPr>
        <w:pStyle w:val="PlainText"/>
        <w:numPr>
          <w:ilvl w:val="0"/>
          <w:numId w:val="1"/>
        </w:numPr>
        <w:rPr>
          <w:rFonts w:ascii="Arial" w:hAnsi="Arial" w:cs="Arial"/>
          <w:sz w:val="22"/>
          <w:szCs w:val="22"/>
        </w:rPr>
      </w:pPr>
      <w:r w:rsidRPr="0083656A">
        <w:rPr>
          <w:rFonts w:ascii="Arial" w:hAnsi="Arial" w:cs="Arial"/>
          <w:sz w:val="22"/>
          <w:szCs w:val="22"/>
        </w:rPr>
        <w:t>The Cochrane Central Register of Controlled Trials (CENTRAL, Trials: Issue 12 of 12, December 2015) (38 references)</w:t>
      </w:r>
    </w:p>
    <w:p w:rsidR="00B97DAA" w:rsidRPr="0083656A" w:rsidRDefault="00B97DAA" w:rsidP="00B97DAA">
      <w:pPr>
        <w:pStyle w:val="PlainText"/>
        <w:numPr>
          <w:ilvl w:val="0"/>
          <w:numId w:val="1"/>
        </w:numPr>
        <w:rPr>
          <w:rFonts w:ascii="Arial" w:hAnsi="Arial" w:cs="Arial"/>
          <w:sz w:val="22"/>
          <w:szCs w:val="22"/>
        </w:rPr>
      </w:pPr>
      <w:r w:rsidRPr="0083656A">
        <w:rPr>
          <w:rFonts w:ascii="Arial" w:hAnsi="Arial" w:cs="Arial"/>
          <w:sz w:val="22"/>
          <w:szCs w:val="22"/>
        </w:rPr>
        <w:t>Health Technology Assessment Database (HTA, Technology Assessments: Issue 4 of 4, October 2015) (3 references)</w:t>
      </w:r>
    </w:p>
    <w:p w:rsidR="00B97DAA" w:rsidRPr="0083656A" w:rsidRDefault="00B97DAA" w:rsidP="00B97DAA">
      <w:pPr>
        <w:pStyle w:val="PlainText"/>
        <w:numPr>
          <w:ilvl w:val="0"/>
          <w:numId w:val="1"/>
        </w:numPr>
        <w:rPr>
          <w:rFonts w:ascii="Arial" w:hAnsi="Arial" w:cs="Arial"/>
          <w:sz w:val="22"/>
          <w:szCs w:val="22"/>
        </w:rPr>
      </w:pPr>
      <w:r w:rsidRPr="0083656A">
        <w:rPr>
          <w:rFonts w:ascii="Arial" w:hAnsi="Arial" w:cs="Arial"/>
          <w:sz w:val="22"/>
          <w:szCs w:val="22"/>
        </w:rPr>
        <w:t>NHS Economic Evaluation Database (NHS-EED, Economic Evaluations: Issue 2 of 4, April 2015) (1 reference)</w:t>
      </w:r>
    </w:p>
    <w:p w:rsidR="00B97DAA" w:rsidRDefault="00B97DAA" w:rsidP="00B97DAA"/>
    <w:p w:rsidR="00B97DAA" w:rsidRPr="00F40018" w:rsidRDefault="00B97DAA" w:rsidP="00B97DAA">
      <w:pPr>
        <w:pStyle w:val="PlainText"/>
        <w:rPr>
          <w:rFonts w:ascii="Arial" w:hAnsi="Arial" w:cs="Arial"/>
          <w:sz w:val="22"/>
          <w:szCs w:val="22"/>
        </w:rPr>
      </w:pPr>
    </w:p>
    <w:p w:rsidR="009570F1" w:rsidRDefault="009570F1" w:rsidP="00B97DAA"/>
    <w:sectPr w:rsidR="009570F1" w:rsidSect="009570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Lapidary333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51B7"/>
    <w:multiLevelType w:val="hybridMultilevel"/>
    <w:tmpl w:val="26FE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97DAA"/>
    <w:rsid w:val="009570F1"/>
    <w:rsid w:val="00B97DAA"/>
    <w:rsid w:val="00DA5F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A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
    <w:name w:val="desc"/>
    <w:basedOn w:val="Normal"/>
    <w:rsid w:val="00B97DAA"/>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B97DAA"/>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B97DAA"/>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B97DAA"/>
    <w:rPr>
      <w:rFonts w:ascii="Consolas" w:eastAsia="Calibri" w:hAnsi="Consolas" w:cs="Times New Roman"/>
      <w:sz w:val="21"/>
      <w:szCs w:val="21"/>
      <w:lang w:val="en-GB"/>
    </w:rPr>
  </w:style>
  <w:style w:type="paragraph" w:styleId="NoSpacing">
    <w:name w:val="No Spacing"/>
    <w:uiPriority w:val="1"/>
    <w:qFormat/>
    <w:rsid w:val="00B97DAA"/>
    <w:pPr>
      <w:spacing w:after="0" w:line="240" w:lineRule="auto"/>
    </w:pPr>
    <w:rPr>
      <w:rFonts w:ascii="Lapidary333 BT" w:eastAsia="Times New Roman" w:hAnsi="Lapidary333 BT"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5211</Characters>
  <Application>Microsoft Office Word</Application>
  <DocSecurity>0</DocSecurity>
  <Lines>43</Lines>
  <Paragraphs>12</Paragraphs>
  <ScaleCrop>false</ScaleCrop>
  <Company>Queensland Institute of Medical Research</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Blake</dc:creator>
  <cp:keywords/>
  <dc:description/>
  <cp:lastModifiedBy>Roberta Blake</cp:lastModifiedBy>
  <cp:revision>2</cp:revision>
  <dcterms:created xsi:type="dcterms:W3CDTF">2016-03-30T00:07:00Z</dcterms:created>
  <dcterms:modified xsi:type="dcterms:W3CDTF">2016-03-30T00:08:00Z</dcterms:modified>
</cp:coreProperties>
</file>