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EB" w:rsidRPr="00E323EB" w:rsidRDefault="00E323EB" w:rsidP="00B20DC3">
      <w:pPr>
        <w:spacing w:line="360" w:lineRule="auto"/>
        <w:ind w:right="-450"/>
        <w:outlineLvl w:val="0"/>
        <w:rPr>
          <w:b/>
        </w:rPr>
      </w:pPr>
      <w:r w:rsidRPr="00E323EB">
        <w:rPr>
          <w:b/>
        </w:rPr>
        <w:t>Twin Research and Human Genetics</w:t>
      </w:r>
    </w:p>
    <w:p w:rsidR="00E323EB" w:rsidRDefault="00CD007F" w:rsidP="00B20DC3">
      <w:pPr>
        <w:spacing w:line="360" w:lineRule="auto"/>
        <w:ind w:right="-450"/>
        <w:outlineLvl w:val="0"/>
      </w:pPr>
      <w:r w:rsidRPr="00E323EB">
        <w:rPr>
          <w:b/>
        </w:rPr>
        <w:t>Suppleme</w:t>
      </w:r>
      <w:r w:rsidR="00C66291" w:rsidRPr="00E323EB">
        <w:rPr>
          <w:b/>
        </w:rPr>
        <w:t>ntary materials</w:t>
      </w:r>
    </w:p>
    <w:p w:rsidR="00C66291" w:rsidRPr="004F1922" w:rsidRDefault="004F1922" w:rsidP="00B20DC3">
      <w:pPr>
        <w:spacing w:line="360" w:lineRule="auto"/>
        <w:ind w:right="-450"/>
        <w:outlineLvl w:val="0"/>
        <w:rPr>
          <w:b/>
          <w:lang w:val="en-US"/>
        </w:rPr>
      </w:pPr>
      <w:r w:rsidRPr="004F1922">
        <w:rPr>
          <w:b/>
          <w:lang w:val="en-US"/>
        </w:rPr>
        <w:t xml:space="preserve">The </w:t>
      </w:r>
      <w:r w:rsidR="00E323EB" w:rsidRPr="004F1922">
        <w:rPr>
          <w:b/>
          <w:lang w:val="en-US"/>
        </w:rPr>
        <w:t xml:space="preserve">Genetic Overlap </w:t>
      </w:r>
      <w:proofErr w:type="gramStart"/>
      <w:r w:rsidR="00E323EB" w:rsidRPr="004F1922">
        <w:rPr>
          <w:b/>
          <w:lang w:val="en-US"/>
        </w:rPr>
        <w:t>Between</w:t>
      </w:r>
      <w:proofErr w:type="gramEnd"/>
      <w:r w:rsidR="00E323EB" w:rsidRPr="004F1922">
        <w:rPr>
          <w:b/>
          <w:lang w:val="en-US"/>
        </w:rPr>
        <w:t xml:space="preserve"> Hair </w:t>
      </w:r>
      <w:r w:rsidRPr="004F1922">
        <w:rPr>
          <w:b/>
          <w:lang w:val="en-US"/>
        </w:rPr>
        <w:t xml:space="preserve">and </w:t>
      </w:r>
      <w:r w:rsidR="00E323EB" w:rsidRPr="004F1922">
        <w:rPr>
          <w:b/>
          <w:lang w:val="en-US"/>
        </w:rPr>
        <w:t>Eye Color</w:t>
      </w:r>
    </w:p>
    <w:p w:rsidR="00C66291" w:rsidRDefault="004F1922" w:rsidP="00B20DC3">
      <w:pPr>
        <w:spacing w:line="360" w:lineRule="auto"/>
        <w:outlineLvl w:val="0"/>
      </w:pPr>
      <w:r>
        <w:t>R</w:t>
      </w:r>
      <w:r w:rsidR="00C66291" w:rsidRPr="004F1922">
        <w:t>esults of a genome</w:t>
      </w:r>
      <w:r w:rsidR="00C66291" w:rsidRPr="004F1922">
        <w:rPr>
          <w:lang w:eastAsia="zh-CN"/>
        </w:rPr>
        <w:t>-</w:t>
      </w:r>
      <w:r w:rsidR="00C66291" w:rsidRPr="004F1922">
        <w:t>wide association study for eye color in the Netherlands Twin Register</w:t>
      </w:r>
      <w:r w:rsidR="00C721DA">
        <w:t xml:space="preserve"> (NTR)</w:t>
      </w:r>
    </w:p>
    <w:p w:rsidR="00E323EB" w:rsidRPr="001B16E8" w:rsidRDefault="00E323EB" w:rsidP="00E323EB">
      <w:pPr>
        <w:spacing w:line="360" w:lineRule="auto"/>
        <w:ind w:right="-450"/>
        <w:rPr>
          <w:lang w:val="en-US"/>
        </w:rPr>
      </w:pPr>
      <w:proofErr w:type="spellStart"/>
      <w:r w:rsidRPr="001D6230">
        <w:t>Bochao</w:t>
      </w:r>
      <w:proofErr w:type="spellEnd"/>
      <w:r w:rsidRPr="001D6230">
        <w:rPr>
          <w:lang w:val="en-US"/>
        </w:rPr>
        <w:t xml:space="preserve"> </w:t>
      </w:r>
      <w:r w:rsidRPr="001B16E8">
        <w:rPr>
          <w:lang w:val="en-US" w:eastAsia="zh-CN"/>
        </w:rPr>
        <w:t>D</w:t>
      </w:r>
      <w:r w:rsidRPr="001B16E8">
        <w:rPr>
          <w:lang w:val="en-US"/>
        </w:rPr>
        <w:t>. Lin, G</w:t>
      </w:r>
      <w:r>
        <w:rPr>
          <w:lang w:val="en-US"/>
        </w:rPr>
        <w:t>onneke</w:t>
      </w:r>
      <w:r w:rsidRPr="001B16E8">
        <w:rPr>
          <w:lang w:val="en-US"/>
        </w:rPr>
        <w:t xml:space="preserve"> Willemsen, A</w:t>
      </w:r>
      <w:r>
        <w:rPr>
          <w:lang w:val="en-US"/>
        </w:rPr>
        <w:t>bdel</w:t>
      </w:r>
      <w:r w:rsidRPr="001B16E8">
        <w:rPr>
          <w:lang w:val="en-US"/>
        </w:rPr>
        <w:t xml:space="preserve"> Abdellaoui, </w:t>
      </w:r>
      <w:proofErr w:type="spellStart"/>
      <w:r w:rsidRPr="001B16E8">
        <w:rPr>
          <w:lang w:val="en-US"/>
        </w:rPr>
        <w:t>M</w:t>
      </w:r>
      <w:r>
        <w:rPr>
          <w:lang w:val="en-US"/>
        </w:rPr>
        <w:t>eike</w:t>
      </w:r>
      <w:proofErr w:type="spellEnd"/>
      <w:r w:rsidRPr="001B16E8">
        <w:rPr>
          <w:lang w:val="en-US"/>
        </w:rPr>
        <w:t xml:space="preserve"> Bartels, </w:t>
      </w:r>
      <w:r w:rsidRPr="001D6230">
        <w:t>Erik A.</w:t>
      </w:r>
      <w:r w:rsidRPr="001B16E8">
        <w:rPr>
          <w:lang w:val="en-US"/>
        </w:rPr>
        <w:t xml:space="preserve"> Ehli, </w:t>
      </w:r>
      <w:r w:rsidRPr="001D6230">
        <w:t>Gareth E.</w:t>
      </w:r>
      <w:r w:rsidRPr="001B16E8">
        <w:rPr>
          <w:lang w:val="en-US"/>
        </w:rPr>
        <w:t xml:space="preserve"> Davies, </w:t>
      </w:r>
      <w:proofErr w:type="spellStart"/>
      <w:r w:rsidRPr="001B16E8">
        <w:rPr>
          <w:lang w:val="en-US"/>
        </w:rPr>
        <w:t>D</w:t>
      </w:r>
      <w:r>
        <w:rPr>
          <w:lang w:val="en-US"/>
        </w:rPr>
        <w:t>orret</w:t>
      </w:r>
      <w:proofErr w:type="spellEnd"/>
      <w:r>
        <w:rPr>
          <w:lang w:val="en-US"/>
        </w:rPr>
        <w:t xml:space="preserve"> </w:t>
      </w:r>
      <w:r w:rsidRPr="001B16E8">
        <w:rPr>
          <w:lang w:val="en-US"/>
        </w:rPr>
        <w:t xml:space="preserve">I. Boomsma, </w:t>
      </w:r>
      <w:r>
        <w:rPr>
          <w:lang w:val="en-US"/>
        </w:rPr>
        <w:t xml:space="preserve">and </w:t>
      </w:r>
      <w:proofErr w:type="spellStart"/>
      <w:r w:rsidRPr="001B16E8">
        <w:rPr>
          <w:lang w:val="en-US"/>
        </w:rPr>
        <w:t>J</w:t>
      </w:r>
      <w:r>
        <w:rPr>
          <w:lang w:val="en-US"/>
        </w:rPr>
        <w:t>ouke</w:t>
      </w:r>
      <w:proofErr w:type="spellEnd"/>
      <w:r>
        <w:rPr>
          <w:lang w:val="en-US"/>
        </w:rPr>
        <w:t xml:space="preserve"> </w:t>
      </w:r>
      <w:r w:rsidRPr="001B16E8">
        <w:rPr>
          <w:lang w:val="en-US"/>
        </w:rPr>
        <w:t xml:space="preserve">J. </w:t>
      </w:r>
      <w:proofErr w:type="spellStart"/>
      <w:r w:rsidRPr="001B16E8">
        <w:rPr>
          <w:lang w:val="en-US"/>
        </w:rPr>
        <w:t>Hottenga</w:t>
      </w:r>
      <w:proofErr w:type="spellEnd"/>
    </w:p>
    <w:p w:rsidR="00E323EB" w:rsidRPr="006F7657" w:rsidRDefault="00E323EB" w:rsidP="00E323EB">
      <w:pPr>
        <w:spacing w:line="360" w:lineRule="auto"/>
        <w:ind w:right="-450"/>
        <w:rPr>
          <w:lang w:val="nl-NL"/>
        </w:rPr>
      </w:pPr>
      <w:r w:rsidRPr="001B16E8">
        <w:rPr>
          <w:lang w:val="en-US"/>
        </w:rPr>
        <w:t xml:space="preserve">Netherlands Twin Register, Department of Biological Psychology, </w:t>
      </w:r>
      <w:proofErr w:type="spellStart"/>
      <w:r w:rsidRPr="001B16E8">
        <w:rPr>
          <w:lang w:val="en-US"/>
        </w:rPr>
        <w:t>Vrije</w:t>
      </w:r>
      <w:proofErr w:type="spellEnd"/>
      <w:r w:rsidRPr="001B16E8">
        <w:rPr>
          <w:lang w:val="en-US"/>
        </w:rPr>
        <w:t xml:space="preserve"> </w:t>
      </w:r>
      <w:proofErr w:type="spellStart"/>
      <w:r w:rsidRPr="001B16E8">
        <w:rPr>
          <w:lang w:val="en-US"/>
        </w:rPr>
        <w:t>Universiteit</w:t>
      </w:r>
      <w:proofErr w:type="spellEnd"/>
      <w:r w:rsidRPr="001B16E8">
        <w:rPr>
          <w:lang w:val="en-US"/>
        </w:rPr>
        <w:t xml:space="preserve">, </w:t>
      </w:r>
      <w:r w:rsidRPr="006F7657">
        <w:rPr>
          <w:lang w:val="nl-NL"/>
        </w:rPr>
        <w:t xml:space="preserve">Amsterdam, </w:t>
      </w:r>
      <w:proofErr w:type="gramStart"/>
      <w:r w:rsidRPr="006F7657">
        <w:rPr>
          <w:lang w:val="nl-NL"/>
        </w:rPr>
        <w:t>The</w:t>
      </w:r>
      <w:proofErr w:type="gramEnd"/>
      <w:r w:rsidRPr="006F7657">
        <w:rPr>
          <w:lang w:val="nl-NL"/>
        </w:rPr>
        <w:t xml:space="preserve"> Netherlands </w:t>
      </w:r>
    </w:p>
    <w:p w:rsidR="00E323EB" w:rsidRPr="006F7657" w:rsidRDefault="00E323EB" w:rsidP="00E323EB">
      <w:pPr>
        <w:spacing w:line="360" w:lineRule="auto"/>
        <w:ind w:right="-450"/>
        <w:rPr>
          <w:lang w:val="nl-NL"/>
        </w:rPr>
      </w:pPr>
      <w:r w:rsidRPr="006F7657">
        <w:rPr>
          <w:lang w:val="nl-NL"/>
        </w:rPr>
        <w:t xml:space="preserve"> </w:t>
      </w:r>
    </w:p>
    <w:p w:rsidR="00E323EB" w:rsidRDefault="00E323EB" w:rsidP="00B20DC3">
      <w:pPr>
        <w:spacing w:line="360" w:lineRule="auto"/>
        <w:outlineLvl w:val="0"/>
      </w:pPr>
    </w:p>
    <w:p w:rsidR="00E323EB" w:rsidRPr="004F1922" w:rsidRDefault="00E323EB" w:rsidP="00B20DC3">
      <w:pPr>
        <w:spacing w:line="360" w:lineRule="auto"/>
        <w:outlineLvl w:val="0"/>
      </w:pPr>
    </w:p>
    <w:p w:rsidR="00C66291" w:rsidRPr="003668C1" w:rsidRDefault="00C66291" w:rsidP="00B20DC3">
      <w:pPr>
        <w:pStyle w:val="NoSpacing"/>
        <w:spacing w:line="360" w:lineRule="auto"/>
        <w:outlineLvl w:val="0"/>
        <w:rPr>
          <w:b/>
        </w:rPr>
      </w:pPr>
      <w:r w:rsidRPr="003668C1">
        <w:rPr>
          <w:b/>
        </w:rPr>
        <w:t>Participants</w:t>
      </w:r>
    </w:p>
    <w:p w:rsidR="00C66291" w:rsidRPr="004F1922" w:rsidRDefault="00C66291" w:rsidP="003668C1">
      <w:pPr>
        <w:pStyle w:val="NoSpacing"/>
        <w:spacing w:line="360" w:lineRule="auto"/>
      </w:pPr>
      <w:r w:rsidRPr="004F1922">
        <w:t xml:space="preserve">Within the NTR, there were </w:t>
      </w:r>
      <w:r w:rsidRPr="004F1922">
        <w:rPr>
          <w:bCs/>
        </w:rPr>
        <w:t>7063</w:t>
      </w:r>
      <w:r w:rsidRPr="004F1922">
        <w:t xml:space="preserve"> Dutch ancestry participants, clustered in 3407 families (2641 men, age: 44.99</w:t>
      </w:r>
      <w:bookmarkStart w:id="0" w:name="OLE_LINK61"/>
      <w:bookmarkStart w:id="1" w:name="OLE_LINK62"/>
      <w:r w:rsidRPr="004F1922">
        <w:t>±</w:t>
      </w:r>
      <w:bookmarkEnd w:id="0"/>
      <w:bookmarkEnd w:id="1"/>
      <w:r w:rsidRPr="004F1922">
        <w:t xml:space="preserve">19.15; 4546 women, age: 45.15±16.72) with information on both genotype and eye color.  </w:t>
      </w:r>
      <w:r w:rsidR="00C721DA">
        <w:t>Data on</w:t>
      </w:r>
      <w:r w:rsidRPr="004F1922">
        <w:t xml:space="preserve"> eye color were obtained from surveys. Participants reported their eye color by choosing from one o</w:t>
      </w:r>
      <w:r w:rsidR="004F1922">
        <w:t>f three answer possibilities: “</w:t>
      </w:r>
      <w:r w:rsidR="007F703B">
        <w:t>blue/grey", "green/hazel" and "</w:t>
      </w:r>
      <w:r w:rsidRPr="004F1922">
        <w:t>brown". Written informed consent was obtained from all participants.</w:t>
      </w:r>
    </w:p>
    <w:p w:rsidR="003668C1" w:rsidRDefault="003668C1" w:rsidP="003668C1">
      <w:pPr>
        <w:pStyle w:val="NoSpacing"/>
        <w:rPr>
          <w:b/>
        </w:rPr>
      </w:pPr>
    </w:p>
    <w:p w:rsidR="00C66291" w:rsidRPr="003668C1" w:rsidRDefault="00C66291" w:rsidP="00B20DC3">
      <w:pPr>
        <w:pStyle w:val="NoSpacing"/>
        <w:spacing w:line="360" w:lineRule="auto"/>
        <w:outlineLvl w:val="0"/>
        <w:rPr>
          <w:b/>
        </w:rPr>
      </w:pPr>
      <w:r w:rsidRPr="003668C1">
        <w:rPr>
          <w:b/>
        </w:rPr>
        <w:t>Genotyping data</w:t>
      </w:r>
    </w:p>
    <w:p w:rsidR="00C66291" w:rsidRPr="004F1922" w:rsidRDefault="00C66291" w:rsidP="003668C1">
      <w:pPr>
        <w:pStyle w:val="NoSpacing"/>
        <w:spacing w:line="360" w:lineRule="auto"/>
      </w:pPr>
      <w:r w:rsidRPr="004F1922">
        <w:t>Buccal or blood DNA samples were collected for multiple NTR projects. DNA extraction and purification of these samples were performed at various points in time</w:t>
      </w:r>
      <w:r w:rsidR="003A4B5F">
        <w:rPr>
          <w:rFonts w:hint="eastAsia"/>
          <w:lang w:eastAsia="zh-CN"/>
        </w:rPr>
        <w:t xml:space="preserve"> </w:t>
      </w:r>
      <w:r w:rsidR="00123921">
        <w:fldChar w:fldCharType="begin">
          <w:fldData xml:space="preserve">PEVuZE5vdGU+PENpdGU+PEF1dGhvcj5Cb29tc21hPC9BdXRob3I+PFllYXI+MjAwODwvWWVhcj48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</w:fldData>
        </w:fldChar>
      </w:r>
      <w:r w:rsidR="003A4B5F">
        <w:instrText xml:space="preserve"> ADDIN EN.CITE </w:instrText>
      </w:r>
      <w:r w:rsidR="00123921">
        <w:fldChar w:fldCharType="begin">
          <w:fldData xml:space="preserve">PEVuZE5vdGU+PENpdGU+PEF1dGhvcj5Cb29tc21hPC9BdXRob3I+PFllYXI+MjAwODwvWWVhcj48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</w:fldData>
        </w:fldChar>
      </w:r>
      <w:r w:rsidR="003A4B5F">
        <w:instrText xml:space="preserve"> ADDIN EN.CITE.DATA </w:instrText>
      </w:r>
      <w:r w:rsidR="00123921">
        <w:fldChar w:fldCharType="end"/>
      </w:r>
      <w:r w:rsidR="00123921">
        <w:fldChar w:fldCharType="separate"/>
      </w:r>
      <w:r w:rsidR="003A4B5F">
        <w:rPr>
          <w:noProof/>
        </w:rPr>
        <w:t>(Boomsma et al., 2008; Willemsen et al., 2010)</w:t>
      </w:r>
      <w:r w:rsidR="00123921">
        <w:fldChar w:fldCharType="end"/>
      </w:r>
      <w:r w:rsidRPr="004F1922">
        <w:t xml:space="preserve">, following several manufacturer specific protocols to obtain the best quality and concentration prior to SNP platform genotyping. Quality control was done within and between platforms and subsets prior to imputation. For each platform, the individual SNP markers were lifted over to build 37 (HG19) of the Human reference genome, using the </w:t>
      </w:r>
      <w:proofErr w:type="spellStart"/>
      <w:r w:rsidRPr="004F1922">
        <w:t>LiftOver</w:t>
      </w:r>
      <w:proofErr w:type="spellEnd"/>
      <w:r w:rsidRPr="004F1922">
        <w:t xml:space="preserve"> tool. SNPs that were not mapped at all, SNPs that had ambiguous locations, and SNPs that did not have matching (or strand opposite alleles) were removed. Samples were excluded from the data if their expected sex did not match their genotyped sex, if the genotype missing rate was above 10% or if the Plink F inbreeding value was either &gt;0.10 or &lt;−0.10. Quality control details were detailed in Lin et al</w:t>
      </w:r>
      <w:r w:rsidR="003668C1">
        <w:t>.</w:t>
      </w:r>
      <w:r w:rsidRPr="004F1922">
        <w:t xml:space="preserve"> </w:t>
      </w:r>
      <w:r w:rsidR="003668C1">
        <w:rPr>
          <w:noProof/>
        </w:rPr>
        <w:t>(</w:t>
      </w:r>
      <w:r w:rsidRPr="004F1922">
        <w:rPr>
          <w:noProof/>
        </w:rPr>
        <w:t>2015)</w:t>
      </w:r>
      <w:r w:rsidRPr="004F1922">
        <w:t xml:space="preserve">.  </w:t>
      </w:r>
    </w:p>
    <w:p w:rsidR="00AB1258" w:rsidRDefault="00C66291" w:rsidP="004F1922">
      <w:pPr>
        <w:autoSpaceDE w:val="0"/>
        <w:autoSpaceDN w:val="0"/>
        <w:adjustRightInd w:val="0"/>
        <w:spacing w:after="0" w:line="360" w:lineRule="auto"/>
        <w:rPr>
          <w:rFonts w:cs="Times New Roman"/>
        </w:rPr>
      </w:pPr>
      <w:r w:rsidRPr="004F1922">
        <w:rPr>
          <w:rFonts w:cs="Times New Roman"/>
        </w:rPr>
        <w:t xml:space="preserve">Phasing of all samples and imputing cross-missing platform SNPs was done with MACH 1 </w:t>
      </w:r>
      <w:r w:rsidRPr="004F1922">
        <w:rPr>
          <w:rFonts w:cs="Times New Roman"/>
          <w:noProof/>
        </w:rPr>
        <w:t>(Li</w:t>
      </w:r>
      <w:r w:rsidR="005044C2">
        <w:rPr>
          <w:rFonts w:cs="Times New Roman"/>
          <w:noProof/>
        </w:rPr>
        <w:t xml:space="preserve"> et al.</w:t>
      </w:r>
      <w:r w:rsidRPr="004F1922">
        <w:rPr>
          <w:rFonts w:cs="Times New Roman"/>
          <w:noProof/>
        </w:rPr>
        <w:t>, 2010)</w:t>
      </w:r>
      <w:r w:rsidRPr="004F1922">
        <w:rPr>
          <w:rFonts w:cs="Times New Roman"/>
        </w:rPr>
        <w:t xml:space="preserve">. The phased data were then imputed with MINIMAC </w:t>
      </w:r>
      <w:r w:rsidRPr="004F1922">
        <w:rPr>
          <w:rFonts w:cs="Times New Roman"/>
          <w:noProof/>
        </w:rPr>
        <w:t>(Howie</w:t>
      </w:r>
      <w:r w:rsidR="005044C2">
        <w:rPr>
          <w:rFonts w:cs="Times New Roman"/>
          <w:noProof/>
        </w:rPr>
        <w:t xml:space="preserve"> et al.</w:t>
      </w:r>
      <w:r w:rsidRPr="004F1922">
        <w:rPr>
          <w:rFonts w:cs="Times New Roman"/>
          <w:noProof/>
        </w:rPr>
        <w:t>, 2012)</w:t>
      </w:r>
      <w:r w:rsidRPr="004F1922">
        <w:rPr>
          <w:rFonts w:cs="Times New Roman"/>
        </w:rPr>
        <w:t xml:space="preserve"> </w:t>
      </w:r>
      <w:r w:rsidR="008E7805">
        <w:rPr>
          <w:rFonts w:ascii="Calibri" w:hAnsi="Calibri" w:cs="Calibri"/>
          <w:lang w:val="en-US"/>
        </w:rPr>
        <w:t xml:space="preserve">against the 1000 Genomes Phase 1 Reference panel </w:t>
      </w:r>
      <w:r w:rsidRPr="004F1922">
        <w:rPr>
          <w:rFonts w:cs="Times New Roman"/>
        </w:rPr>
        <w:t xml:space="preserve">in batches of around 500 individuals for 561 chromosome chunks obtained by the CHUNKCHROMOSOME program </w:t>
      </w:r>
      <w:r w:rsidRPr="004F1922">
        <w:rPr>
          <w:rFonts w:cs="Times New Roman"/>
          <w:noProof/>
        </w:rPr>
        <w:t>(Liu</w:t>
      </w:r>
      <w:r w:rsidR="005044C2">
        <w:rPr>
          <w:rFonts w:cs="Times New Roman"/>
          <w:noProof/>
        </w:rPr>
        <w:t xml:space="preserve"> et al.</w:t>
      </w:r>
      <w:r w:rsidRPr="004F1922">
        <w:rPr>
          <w:rFonts w:cs="Times New Roman"/>
          <w:noProof/>
        </w:rPr>
        <w:t>, 2013)</w:t>
      </w:r>
      <w:r w:rsidRPr="004F1922">
        <w:rPr>
          <w:rFonts w:cs="Times New Roman"/>
        </w:rPr>
        <w:t>. After imputation, SNPs were filtered base</w:t>
      </w:r>
      <w:r w:rsidR="007F703B">
        <w:rPr>
          <w:rFonts w:cs="Times New Roman"/>
        </w:rPr>
        <w:t>d on the Mendelian error rate (</w:t>
      </w:r>
      <w:r w:rsidRPr="004F1922">
        <w:rPr>
          <w:rFonts w:cs="Times New Roman"/>
        </w:rPr>
        <w:t xml:space="preserve">&gt; 2%) in families. </w:t>
      </w:r>
      <w:r w:rsidR="003668C1">
        <w:rPr>
          <w:rFonts w:cs="Times New Roman"/>
        </w:rPr>
        <w:t xml:space="preserve">If the imputed allele frequency </w:t>
      </w:r>
      <w:proofErr w:type="gramStart"/>
      <w:r w:rsidRPr="004F1922">
        <w:rPr>
          <w:rFonts w:cs="Times New Roman"/>
        </w:rPr>
        <w:t>differed</w:t>
      </w:r>
      <w:proofErr w:type="gramEnd"/>
      <w:r w:rsidRPr="004F1922">
        <w:rPr>
          <w:rFonts w:cs="Times New Roman"/>
        </w:rPr>
        <w:t xml:space="preserve"> more than 0.15 from the 1</w:t>
      </w:r>
      <w:r w:rsidR="00AB1258">
        <w:rPr>
          <w:rFonts w:cs="Times New Roman"/>
        </w:rPr>
        <w:t>000G reference allele frequency, SNPs were removed.</w:t>
      </w:r>
    </w:p>
    <w:p w:rsidR="003668C1" w:rsidRDefault="00C66291" w:rsidP="003668C1">
      <w:pPr>
        <w:pStyle w:val="NoSpacing"/>
      </w:pPr>
      <w:r w:rsidRPr="004F1922">
        <w:t xml:space="preserve"> </w:t>
      </w:r>
    </w:p>
    <w:p w:rsidR="00C66291" w:rsidRPr="003668C1" w:rsidRDefault="00C66291" w:rsidP="00B20DC3">
      <w:pPr>
        <w:pStyle w:val="NoSpacing"/>
        <w:spacing w:line="360" w:lineRule="auto"/>
        <w:outlineLvl w:val="0"/>
        <w:rPr>
          <w:b/>
        </w:rPr>
      </w:pPr>
      <w:r w:rsidRPr="003668C1">
        <w:rPr>
          <w:b/>
        </w:rPr>
        <w:t>GWA Analysis</w:t>
      </w:r>
    </w:p>
    <w:p w:rsidR="00C66291" w:rsidRPr="004F1922" w:rsidRDefault="00C66291" w:rsidP="003668C1">
      <w:pPr>
        <w:pStyle w:val="NoSpacing"/>
        <w:spacing w:line="360" w:lineRule="auto"/>
        <w:rPr>
          <w:rFonts w:cs="TimesNewRomanPSMT"/>
          <w:lang w:eastAsia="zh-CN"/>
        </w:rPr>
      </w:pPr>
      <w:r w:rsidRPr="005A56A9">
        <w:t>We performed 3 case-control GWAS on binary eye color variables: brown versus non-brown eye color, blue/grey versus non-blue/grey eye color, green/hazel versus non-green/hazel eye color, with logistic regressi</w:t>
      </w:r>
      <w:r w:rsidR="005044C2">
        <w:t>on, having age, sex, 3 Dutch PC</w:t>
      </w:r>
      <w:r w:rsidRPr="005A56A9">
        <w:t xml:space="preserve">s and corrections for genotype platform as covariates. Analyses were performed with the PLINK 1.07 software running a logistic regression on each SNP, taking </w:t>
      </w:r>
      <w:r w:rsidRPr="005A56A9">
        <w:lastRenderedPageBreak/>
        <w:t xml:space="preserve">genotype inaccuracy into account </w:t>
      </w:r>
      <w:r w:rsidR="003668C1">
        <w:t xml:space="preserve">by </w:t>
      </w:r>
      <w:r w:rsidRPr="005A56A9">
        <w:t xml:space="preserve">using dosage data (Purcell et al., 2007). Familial structure was taken into account </w:t>
      </w:r>
      <w:r w:rsidR="003668C1">
        <w:t>using "--family" option</w:t>
      </w:r>
      <w:r w:rsidRPr="005A56A9">
        <w:t xml:space="preserve">. </w:t>
      </w:r>
      <w:r w:rsidR="00E23EC0" w:rsidRPr="005A56A9">
        <w:t>F</w:t>
      </w:r>
      <w:r w:rsidRPr="005A56A9">
        <w:t>iltering on MAF &gt; 0.01, imputation quality R</w:t>
      </w:r>
      <w:r w:rsidRPr="004F1922">
        <w:rPr>
          <w:rFonts w:cs="TimesNewRomanPSMT"/>
          <w:vertAlign w:val="superscript"/>
        </w:rPr>
        <w:t>2</w:t>
      </w:r>
      <w:r w:rsidRPr="004F1922">
        <w:rPr>
          <w:rFonts w:cs="TimesNewRomanPSMT"/>
        </w:rPr>
        <w:t>&gt; 0.80, and Hardy</w:t>
      </w:r>
      <w:r w:rsidR="005044C2">
        <w:rPr>
          <w:rFonts w:cs="TimesNewRomanPSMT"/>
        </w:rPr>
        <w:t>-</w:t>
      </w:r>
      <w:r w:rsidRPr="004F1922">
        <w:rPr>
          <w:rFonts w:cs="TimesNewRomanPSMT"/>
        </w:rPr>
        <w:t xml:space="preserve">Weinberg equilibrium (HWE) </w:t>
      </w:r>
      <w:r w:rsidRPr="000F6DF4">
        <w:rPr>
          <w:rFonts w:cs="TimesNewRomanPSMT"/>
        </w:rPr>
        <w:t>p-values</w:t>
      </w:r>
      <w:r w:rsidRPr="004F1922">
        <w:rPr>
          <w:rFonts w:cs="TimesNewRomanPSMT"/>
          <w:i/>
        </w:rPr>
        <w:t xml:space="preserve"> </w:t>
      </w:r>
      <w:r w:rsidRPr="004F1922">
        <w:rPr>
          <w:rFonts w:cs="TimesNewRomanPSMT"/>
        </w:rPr>
        <w:t>&gt;0.0001 were done after the GWA analyses within all eye color informativ</w:t>
      </w:r>
      <w:r w:rsidR="00AB1258">
        <w:rPr>
          <w:rFonts w:cs="TimesNewRomanPSMT"/>
        </w:rPr>
        <w:t xml:space="preserve">e individuals. </w:t>
      </w:r>
      <w:r w:rsidRPr="004F1922">
        <w:rPr>
          <w:rFonts w:cs="TimesNewRomanPSMT"/>
        </w:rPr>
        <w:t>This left 5,834,593 SNPs for generating Manhattan and QQ plot.</w:t>
      </w:r>
    </w:p>
    <w:p w:rsidR="003668C1" w:rsidRPr="003668C1" w:rsidRDefault="003668C1" w:rsidP="003668C1">
      <w:pPr>
        <w:pStyle w:val="NoSpacing"/>
        <w:spacing w:line="360" w:lineRule="auto"/>
        <w:rPr>
          <w:b/>
        </w:rPr>
      </w:pPr>
    </w:p>
    <w:p w:rsidR="00C66291" w:rsidRPr="003668C1" w:rsidRDefault="00C66291" w:rsidP="00B20DC3">
      <w:pPr>
        <w:pStyle w:val="NoSpacing"/>
        <w:spacing w:line="360" w:lineRule="auto"/>
        <w:outlineLvl w:val="0"/>
        <w:rPr>
          <w:b/>
          <w:lang w:eastAsia="zh-CN"/>
        </w:rPr>
      </w:pPr>
      <w:r w:rsidRPr="003668C1">
        <w:rPr>
          <w:b/>
        </w:rPr>
        <w:t>Results</w:t>
      </w:r>
    </w:p>
    <w:p w:rsidR="00C66291" w:rsidRPr="004F1922" w:rsidRDefault="00C66291" w:rsidP="003668C1">
      <w:pPr>
        <w:pStyle w:val="NoSpacing"/>
        <w:spacing w:line="360" w:lineRule="auto"/>
      </w:pPr>
      <w:r w:rsidRPr="004F1922">
        <w:rPr>
          <w:lang w:eastAsia="zh-CN"/>
        </w:rPr>
        <w:t xml:space="preserve">The eye color prevalence </w:t>
      </w:r>
      <w:r w:rsidR="003668C1">
        <w:rPr>
          <w:lang w:eastAsia="zh-CN"/>
        </w:rPr>
        <w:t>was</w:t>
      </w:r>
      <w:r w:rsidRPr="004F1922">
        <w:rPr>
          <w:lang w:eastAsia="zh-CN"/>
        </w:rPr>
        <w:t xml:space="preserve"> </w:t>
      </w:r>
      <w:r w:rsidRPr="004F1922">
        <w:t>62.28%</w:t>
      </w:r>
      <w:r w:rsidRPr="004F1922">
        <w:rPr>
          <w:lang w:eastAsia="zh-CN"/>
        </w:rPr>
        <w:t xml:space="preserve"> for </w:t>
      </w:r>
      <w:r w:rsidRPr="004F1922">
        <w:t>blue/grey</w:t>
      </w:r>
      <w:r w:rsidRPr="004F1922">
        <w:rPr>
          <w:lang w:eastAsia="zh-CN"/>
        </w:rPr>
        <w:t xml:space="preserve"> eyes</w:t>
      </w:r>
      <w:r w:rsidRPr="004F1922">
        <w:t>, 19.58%</w:t>
      </w:r>
      <w:r w:rsidRPr="004F1922">
        <w:rPr>
          <w:lang w:eastAsia="zh-CN"/>
        </w:rPr>
        <w:t xml:space="preserve"> for </w:t>
      </w:r>
      <w:r w:rsidRPr="004F1922">
        <w:t>green/light</w:t>
      </w:r>
      <w:r w:rsidRPr="004F1922">
        <w:rPr>
          <w:lang w:eastAsia="zh-CN"/>
        </w:rPr>
        <w:t xml:space="preserve"> eyes </w:t>
      </w:r>
      <w:r w:rsidRPr="004F1922">
        <w:t>and 18.14%</w:t>
      </w:r>
      <w:r w:rsidRPr="004F1922">
        <w:rPr>
          <w:lang w:eastAsia="zh-CN"/>
        </w:rPr>
        <w:t xml:space="preserve"> for </w:t>
      </w:r>
      <w:r w:rsidRPr="004F1922">
        <w:t>brown</w:t>
      </w:r>
      <w:r w:rsidRPr="004F1922">
        <w:rPr>
          <w:lang w:eastAsia="zh-CN"/>
        </w:rPr>
        <w:t xml:space="preserve"> eyes.</w:t>
      </w:r>
      <w:r w:rsidR="003668C1">
        <w:rPr>
          <w:lang w:eastAsia="zh-CN"/>
        </w:rPr>
        <w:t xml:space="preserve"> </w:t>
      </w:r>
      <w:r w:rsidRPr="004F1922">
        <w:t xml:space="preserve">The top SNPs in a LD block for each eye color are shown in </w:t>
      </w:r>
      <w:r w:rsidR="005044C2">
        <w:t>T</w:t>
      </w:r>
      <w:r w:rsidRPr="004F1922">
        <w:t xml:space="preserve">able 1. The resulting Q-Q and Manhattan plots for all eye </w:t>
      </w:r>
      <w:proofErr w:type="spellStart"/>
      <w:r w:rsidRPr="004F1922">
        <w:t>colors</w:t>
      </w:r>
      <w:proofErr w:type="spellEnd"/>
      <w:r w:rsidRPr="004F1922">
        <w:t xml:space="preserve"> are shown in</w:t>
      </w:r>
      <w:r w:rsidR="00A65527">
        <w:t xml:space="preserve"> the supplemental figures (S1</w:t>
      </w:r>
      <w:r w:rsidR="005044C2">
        <w:t>–</w:t>
      </w:r>
      <w:r w:rsidR="00A65527">
        <w:t>S</w:t>
      </w:r>
      <w:r w:rsidR="00A65527">
        <w:rPr>
          <w:rFonts w:hint="eastAsia"/>
          <w:lang w:eastAsia="zh-CN"/>
        </w:rPr>
        <w:t>3</w:t>
      </w:r>
      <w:r w:rsidRPr="004F1922">
        <w:t xml:space="preserve">).  </w:t>
      </w:r>
    </w:p>
    <w:p w:rsidR="00C66291" w:rsidRPr="004F1922" w:rsidRDefault="00C66291" w:rsidP="003668C1">
      <w:pPr>
        <w:pStyle w:val="NoSpacing"/>
        <w:spacing w:line="360" w:lineRule="auto"/>
      </w:pPr>
      <w:r w:rsidRPr="004F1922">
        <w:t>For brown eye color, we found that the presence of the T allele at rs74940492, an intron variant for HERC2, significantly decreases the probability of brown eye colo</w:t>
      </w:r>
      <w:r w:rsidR="005044C2">
        <w:t>r (OR=0.09, p=5.4E-8). This SNP</w:t>
      </w:r>
      <w:r w:rsidRPr="004F1922">
        <w:t xml:space="preserve"> is in the same LD block with top SNP rs2240202 for blue eye color (OR=13.55, p=1.0E-47). This locus was also found to be associated with blond hair color, brown hair color and dark hair color in our study. HERC2</w:t>
      </w:r>
      <w:r w:rsidR="005044C2">
        <w:t>,</w:t>
      </w:r>
      <w:r w:rsidRPr="004F1922">
        <w:t xml:space="preserve"> which </w:t>
      </w:r>
      <w:proofErr w:type="spellStart"/>
      <w:r w:rsidRPr="004F1922">
        <w:t>harbors</w:t>
      </w:r>
      <w:proofErr w:type="spellEnd"/>
      <w:r w:rsidRPr="004F1922">
        <w:t xml:space="preserve"> this SNP</w:t>
      </w:r>
      <w:r w:rsidR="005044C2">
        <w:t>,</w:t>
      </w:r>
      <w:r w:rsidRPr="004F1922">
        <w:t xml:space="preserve"> has been identified as an eye iris color gene by multiple studies </w:t>
      </w:r>
      <w:r w:rsidRPr="004F1922">
        <w:rPr>
          <w:noProof/>
        </w:rPr>
        <w:t>(Kayser et al., 2008; Sturm et al., 2008)</w:t>
      </w:r>
      <w:r w:rsidRPr="004F1922">
        <w:t>.</w:t>
      </w:r>
    </w:p>
    <w:p w:rsidR="00C66291" w:rsidRPr="004F1922" w:rsidRDefault="00C66291" w:rsidP="003668C1">
      <w:pPr>
        <w:pStyle w:val="NoSpacing"/>
        <w:spacing w:line="360" w:lineRule="auto"/>
      </w:pPr>
      <w:r w:rsidRPr="004F1922">
        <w:t>The top SNP rs4904871, an intron genetic variant in SLC24A4, was significantly associated with both blue eye color (OR=0.71, p=2.8E-13) and green e</w:t>
      </w:r>
      <w:r w:rsidR="005044C2">
        <w:t xml:space="preserve">ye color (OR=1.52, p=3.8E-20). </w:t>
      </w:r>
      <w:r w:rsidRPr="004F1922">
        <w:t xml:space="preserve">This SNP has also been associated with hair color in GWA studies </w:t>
      </w:r>
      <w:r w:rsidRPr="004F1922">
        <w:rPr>
          <w:noProof/>
        </w:rPr>
        <w:t>(Lin et al., 2015)</w:t>
      </w:r>
      <w:r w:rsidRPr="004F1922">
        <w:t>. The rs12896399, which is located in the same LD block of rs4904871 (LD r</w:t>
      </w:r>
      <w:r w:rsidRPr="00A65527">
        <w:rPr>
          <w:vertAlign w:val="superscript"/>
        </w:rPr>
        <w:t>2</w:t>
      </w:r>
      <w:r w:rsidRPr="004F1922">
        <w:t>=0.95 distance~22kb)</w:t>
      </w:r>
      <w:r w:rsidR="005044C2">
        <w:t>,</w:t>
      </w:r>
      <w:r w:rsidRPr="004F1922">
        <w:t xml:space="preserve"> was found to be associated with blond versus brown hair color, blue versus green eye color </w:t>
      </w:r>
      <w:r w:rsidRPr="004F1922">
        <w:rPr>
          <w:noProof/>
        </w:rPr>
        <w:t>(Sulem et al., 2007)</w:t>
      </w:r>
      <w:r w:rsidRPr="004F1922">
        <w:t xml:space="preserve"> and black versus blond hair color </w:t>
      </w:r>
      <w:r w:rsidRPr="004F1922">
        <w:rPr>
          <w:noProof/>
        </w:rPr>
        <w:t>(Han et al., 2008)</w:t>
      </w:r>
      <w:r w:rsidRPr="004F1922">
        <w:t xml:space="preserve"> in other GWA studies.</w:t>
      </w:r>
    </w:p>
    <w:p w:rsidR="00C66291" w:rsidRPr="004F1922" w:rsidRDefault="00C66291" w:rsidP="003668C1">
      <w:pPr>
        <w:pStyle w:val="NoSpacing"/>
        <w:spacing w:line="360" w:lineRule="auto"/>
      </w:pPr>
      <w:r w:rsidRPr="004F1922">
        <w:t xml:space="preserve">The T allele of rs67279079 at TYR has been found to significantly decrease the probability of blue eye color (OR=0.70, p=3.1E-11), and simultaneously to increase the probability of green/hazel eye color (OR=1.49, p=3.6E-10). The TYR gene codes </w:t>
      </w:r>
      <w:proofErr w:type="spellStart"/>
      <w:r w:rsidRPr="004F1922">
        <w:t>tyrosinase</w:t>
      </w:r>
      <w:proofErr w:type="spellEnd"/>
      <w:r w:rsidRPr="004F1922">
        <w:t xml:space="preserve"> located in </w:t>
      </w:r>
      <w:proofErr w:type="spellStart"/>
      <w:r w:rsidRPr="004F1922">
        <w:t>melanocyte</w:t>
      </w:r>
      <w:proofErr w:type="spellEnd"/>
      <w:r w:rsidRPr="004F1922">
        <w:t xml:space="preserve">, which is responsible for the first step in melanin production. This gene is associated </w:t>
      </w:r>
      <w:proofErr w:type="spellStart"/>
      <w:r w:rsidR="00B3592D" w:rsidRPr="004F1922">
        <w:t>oculocutaneous</w:t>
      </w:r>
      <w:proofErr w:type="spellEnd"/>
      <w:r w:rsidR="00B3592D" w:rsidRPr="004F1922">
        <w:t xml:space="preserve"> </w:t>
      </w:r>
      <w:r w:rsidRPr="004F1922">
        <w:t>albinism and</w:t>
      </w:r>
      <w:r w:rsidR="003172D6">
        <w:t xml:space="preserve"> skin tanning ability</w:t>
      </w:r>
      <w:r w:rsidRPr="004F1922">
        <w:t xml:space="preserve"> </w:t>
      </w:r>
      <w:r w:rsidRPr="004F1922">
        <w:rPr>
          <w:noProof/>
        </w:rPr>
        <w:t>(J. Liu et al., 2010; Morice-Picard et al., 2014; Zhang et al., 2013)</w:t>
      </w:r>
      <w:r w:rsidRPr="004F1922">
        <w:t xml:space="preserve">. Three known pigment genetic loci were thus confirmed, but no new genetic variants for eye color were identified. </w:t>
      </w:r>
    </w:p>
    <w:p w:rsidR="003668C1" w:rsidRDefault="003668C1" w:rsidP="003668C1">
      <w:pPr>
        <w:pStyle w:val="NoSpacing"/>
        <w:spacing w:line="360" w:lineRule="auto"/>
        <w:rPr>
          <w:b/>
        </w:rPr>
      </w:pPr>
    </w:p>
    <w:p w:rsidR="00C66291" w:rsidRPr="003668C1" w:rsidRDefault="00C66291" w:rsidP="00B20DC3">
      <w:pPr>
        <w:pStyle w:val="NoSpacing"/>
        <w:spacing w:line="360" w:lineRule="auto"/>
        <w:outlineLvl w:val="0"/>
        <w:rPr>
          <w:b/>
        </w:rPr>
      </w:pPr>
      <w:r w:rsidRPr="003668C1">
        <w:rPr>
          <w:b/>
        </w:rPr>
        <w:t xml:space="preserve">Conclusion </w:t>
      </w:r>
    </w:p>
    <w:p w:rsidR="00C66291" w:rsidRPr="004F1922" w:rsidRDefault="00C66291" w:rsidP="003668C1">
      <w:pPr>
        <w:pStyle w:val="NoSpacing"/>
        <w:spacing w:line="360" w:lineRule="auto"/>
      </w:pPr>
      <w:r w:rsidRPr="004F1922">
        <w:t>In this study, we have replicated genetic variants for eye color: HERC2 for brown eye color and blue/grey eye color; TYR and SLC24A4 for blue/grey and green/hazel eye color.</w:t>
      </w:r>
    </w:p>
    <w:p w:rsidR="00C66291" w:rsidRPr="004F1922" w:rsidRDefault="00C66291" w:rsidP="000C3CF7">
      <w:pPr>
        <w:spacing w:line="360" w:lineRule="auto"/>
      </w:pPr>
      <w:r w:rsidRPr="004F1922">
        <w:br w:type="page"/>
      </w:r>
    </w:p>
    <w:p w:rsidR="00C66291" w:rsidRPr="004F1922" w:rsidRDefault="00C66291" w:rsidP="005044C2">
      <w:pPr>
        <w:ind w:firstLine="284"/>
        <w:rPr>
          <w:bCs/>
        </w:rPr>
        <w:sectPr w:rsidR="00C66291" w:rsidRPr="004F1922" w:rsidSect="003668C1">
          <w:pgSz w:w="12240" w:h="15840"/>
          <w:pgMar w:top="1440" w:right="1440" w:bottom="990" w:left="1440" w:header="720" w:footer="720" w:gutter="0"/>
          <w:cols w:space="720"/>
          <w:docGrid w:linePitch="360"/>
        </w:sectPr>
      </w:pPr>
    </w:p>
    <w:p w:rsidR="00C66291" w:rsidRPr="004F1922" w:rsidRDefault="003668C1" w:rsidP="00B20DC3">
      <w:pPr>
        <w:ind w:firstLine="284"/>
        <w:outlineLvl w:val="0"/>
        <w:rPr>
          <w:bCs/>
        </w:rPr>
      </w:pPr>
      <w:r>
        <w:rPr>
          <w:bCs/>
        </w:rPr>
        <w:lastRenderedPageBreak/>
        <w:t>Table 1</w:t>
      </w:r>
      <w:r w:rsidR="00C66291" w:rsidRPr="004F1922">
        <w:rPr>
          <w:bCs/>
        </w:rPr>
        <w:t xml:space="preserve">: SNP </w:t>
      </w:r>
      <w:r w:rsidR="00E323EB">
        <w:rPr>
          <w:bCs/>
        </w:rPr>
        <w:t>A</w:t>
      </w:r>
      <w:r w:rsidR="00C66291" w:rsidRPr="004F1922">
        <w:rPr>
          <w:bCs/>
        </w:rPr>
        <w:t xml:space="preserve">ssociations </w:t>
      </w:r>
      <w:r>
        <w:rPr>
          <w:bCs/>
        </w:rPr>
        <w:t xml:space="preserve">for </w:t>
      </w:r>
      <w:r w:rsidR="00E323EB">
        <w:rPr>
          <w:bCs/>
        </w:rPr>
        <w:t>Three</w:t>
      </w:r>
      <w:r>
        <w:rPr>
          <w:bCs/>
        </w:rPr>
        <w:t xml:space="preserve"> </w:t>
      </w:r>
      <w:r w:rsidR="00E323EB">
        <w:rPr>
          <w:bCs/>
        </w:rPr>
        <w:t xml:space="preserve">Eye </w:t>
      </w:r>
      <w:proofErr w:type="spellStart"/>
      <w:r w:rsidR="00E323EB">
        <w:rPr>
          <w:bCs/>
        </w:rPr>
        <w:t>Colors</w:t>
      </w:r>
      <w:proofErr w:type="spellEnd"/>
    </w:p>
    <w:tbl>
      <w:tblPr>
        <w:tblpPr w:leftFromText="180" w:rightFromText="180" w:vertAnchor="text" w:horzAnchor="margin" w:tblpY="553"/>
        <w:tblOverlap w:val="never"/>
        <w:tblW w:w="13428" w:type="dxa"/>
        <w:tblBorders>
          <w:top w:val="single" w:sz="4" w:space="0" w:color="auto"/>
          <w:bottom w:val="single" w:sz="4" w:space="0" w:color="auto"/>
        </w:tblBorders>
        <w:tblLook w:val="04A0"/>
      </w:tblPr>
      <w:tblGrid>
        <w:gridCol w:w="1114"/>
        <w:gridCol w:w="1190"/>
        <w:gridCol w:w="1431"/>
        <w:gridCol w:w="808"/>
        <w:gridCol w:w="971"/>
        <w:gridCol w:w="927"/>
        <w:gridCol w:w="1136"/>
        <w:gridCol w:w="810"/>
        <w:gridCol w:w="810"/>
        <w:gridCol w:w="1256"/>
        <w:gridCol w:w="698"/>
        <w:gridCol w:w="1089"/>
        <w:gridCol w:w="1188"/>
      </w:tblGrid>
      <w:tr w:rsidR="00C66291" w:rsidRPr="004F1922" w:rsidTr="005044C2">
        <w:trPr>
          <w:trHeight w:val="173"/>
        </w:trPr>
        <w:tc>
          <w:tcPr>
            <w:tcW w:w="0" w:type="auto"/>
            <w:vMerge w:val="restart"/>
            <w:tcBorders>
              <w:top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Locus</w:t>
            </w:r>
          </w:p>
        </w:tc>
        <w:tc>
          <w:tcPr>
            <w:tcW w:w="0" w:type="auto"/>
            <w:vMerge w:val="restart"/>
            <w:tcBorders>
              <w:top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Chr</w:t>
            </w:r>
          </w:p>
          <w:p w:rsidR="00C66291" w:rsidRPr="004F1922" w:rsidRDefault="00C66291" w:rsidP="005044C2">
            <w:pPr>
              <w:tabs>
                <w:tab w:val="left" w:pos="340"/>
                <w:tab w:val="center" w:pos="456"/>
              </w:tabs>
              <w:spacing w:after="0" w:line="240" w:lineRule="auto"/>
              <w:jc w:val="center"/>
            </w:pPr>
            <w:r w:rsidRPr="004F1922">
              <w:t>location</w:t>
            </w:r>
          </w:p>
        </w:tc>
        <w:tc>
          <w:tcPr>
            <w:tcW w:w="0" w:type="auto"/>
            <w:vMerge w:val="restart"/>
            <w:tcBorders>
              <w:top w:val="single" w:sz="4" w:space="0" w:color="auto"/>
              <w:bottom w:val="nil"/>
            </w:tcBorders>
          </w:tcPr>
          <w:p w:rsidR="00C66291" w:rsidRPr="004F1922" w:rsidRDefault="00E323EB" w:rsidP="005044C2">
            <w:pPr>
              <w:tabs>
                <w:tab w:val="left" w:pos="340"/>
                <w:tab w:val="center" w:pos="456"/>
              </w:tabs>
              <w:spacing w:after="0" w:line="240" w:lineRule="auto"/>
              <w:jc w:val="center"/>
            </w:pPr>
            <w:r>
              <w:t>Top</w:t>
            </w:r>
            <w:r w:rsidR="00C66291" w:rsidRPr="004F1922">
              <w:t xml:space="preserve"> SNPs</w:t>
            </w:r>
          </w:p>
        </w:tc>
        <w:tc>
          <w:tcPr>
            <w:tcW w:w="0" w:type="auto"/>
            <w:vMerge w:val="restart"/>
            <w:tcBorders>
              <w:top w:val="single" w:sz="4" w:space="0" w:color="auto"/>
              <w:bottom w:val="nil"/>
              <w:right w:val="single" w:sz="4" w:space="0" w:color="auto"/>
            </w:tcBorders>
          </w:tcPr>
          <w:p w:rsidR="00C66291" w:rsidRPr="004F1922" w:rsidRDefault="00C66291" w:rsidP="005044C2">
            <w:pPr>
              <w:tabs>
                <w:tab w:val="left" w:pos="340"/>
                <w:tab w:val="center" w:pos="456"/>
              </w:tabs>
              <w:spacing w:after="0" w:line="240" w:lineRule="auto"/>
              <w:jc w:val="center"/>
            </w:pPr>
            <w:r w:rsidRPr="004F1922">
              <w:t>MAF</w:t>
            </w:r>
          </w:p>
        </w:tc>
        <w:tc>
          <w:tcPr>
            <w:tcW w:w="3034" w:type="dxa"/>
            <w:gridSpan w:val="3"/>
            <w:tcBorders>
              <w:top w:val="single" w:sz="4" w:space="0" w:color="auto"/>
              <w:left w:val="single" w:sz="4" w:space="0" w:color="auto"/>
              <w:bottom w:val="single" w:sz="4" w:space="0" w:color="auto"/>
              <w:right w:val="single" w:sz="4" w:space="0" w:color="auto"/>
            </w:tcBorders>
          </w:tcPr>
          <w:p w:rsidR="00C66291" w:rsidRPr="004F1922" w:rsidRDefault="00C66291" w:rsidP="005044C2">
            <w:pPr>
              <w:tabs>
                <w:tab w:val="left" w:pos="340"/>
                <w:tab w:val="center" w:pos="456"/>
              </w:tabs>
              <w:spacing w:after="0" w:line="240" w:lineRule="auto"/>
              <w:jc w:val="center"/>
            </w:pPr>
            <w:r w:rsidRPr="004F1922">
              <w:t>Brown eye color</w:t>
            </w:r>
          </w:p>
        </w:tc>
        <w:tc>
          <w:tcPr>
            <w:tcW w:w="2876" w:type="dxa"/>
            <w:gridSpan w:val="3"/>
            <w:tcBorders>
              <w:top w:val="single" w:sz="4" w:space="0" w:color="auto"/>
              <w:left w:val="single" w:sz="4" w:space="0" w:color="auto"/>
              <w:bottom w:val="single" w:sz="4" w:space="0" w:color="auto"/>
              <w:right w:val="single" w:sz="4" w:space="0" w:color="auto"/>
            </w:tcBorders>
          </w:tcPr>
          <w:p w:rsidR="00C66291" w:rsidRPr="004F1922" w:rsidRDefault="00C66291" w:rsidP="005044C2">
            <w:pPr>
              <w:tabs>
                <w:tab w:val="left" w:pos="340"/>
                <w:tab w:val="center" w:pos="456"/>
              </w:tabs>
              <w:spacing w:after="0" w:line="240" w:lineRule="auto"/>
              <w:jc w:val="center"/>
            </w:pPr>
            <w:r w:rsidRPr="004F1922">
              <w:t>Blue eye color</w:t>
            </w:r>
          </w:p>
        </w:tc>
        <w:tc>
          <w:tcPr>
            <w:tcW w:w="2897" w:type="dxa"/>
            <w:gridSpan w:val="3"/>
            <w:tcBorders>
              <w:top w:val="single" w:sz="4" w:space="0" w:color="auto"/>
              <w:left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Green eye color</w:t>
            </w:r>
          </w:p>
        </w:tc>
      </w:tr>
      <w:tr w:rsidR="00C66291" w:rsidRPr="004F1922" w:rsidTr="005044C2">
        <w:trPr>
          <w:trHeight w:val="237"/>
        </w:trPr>
        <w:tc>
          <w:tcPr>
            <w:tcW w:w="0" w:type="auto"/>
            <w:vMerge/>
            <w:tcBorders>
              <w:top w:val="nil"/>
              <w:bottom w:val="single" w:sz="4" w:space="0" w:color="auto"/>
            </w:tcBorders>
          </w:tcPr>
          <w:p w:rsidR="00C66291" w:rsidRPr="004F1922" w:rsidRDefault="00C66291" w:rsidP="005044C2">
            <w:pPr>
              <w:tabs>
                <w:tab w:val="left" w:pos="340"/>
                <w:tab w:val="center" w:pos="456"/>
              </w:tabs>
              <w:spacing w:after="0" w:line="240" w:lineRule="auto"/>
              <w:jc w:val="center"/>
            </w:pPr>
          </w:p>
        </w:tc>
        <w:tc>
          <w:tcPr>
            <w:tcW w:w="0" w:type="auto"/>
            <w:vMerge/>
            <w:tcBorders>
              <w:top w:val="nil"/>
              <w:bottom w:val="single" w:sz="4" w:space="0" w:color="auto"/>
            </w:tcBorders>
          </w:tcPr>
          <w:p w:rsidR="00C66291" w:rsidRPr="004F1922" w:rsidRDefault="00C66291" w:rsidP="005044C2">
            <w:pPr>
              <w:tabs>
                <w:tab w:val="left" w:pos="340"/>
                <w:tab w:val="center" w:pos="456"/>
              </w:tabs>
              <w:spacing w:after="0" w:line="240" w:lineRule="auto"/>
              <w:jc w:val="center"/>
            </w:pPr>
          </w:p>
        </w:tc>
        <w:tc>
          <w:tcPr>
            <w:tcW w:w="0" w:type="auto"/>
            <w:vMerge/>
            <w:tcBorders>
              <w:top w:val="nil"/>
              <w:bottom w:val="single" w:sz="4" w:space="0" w:color="auto"/>
            </w:tcBorders>
          </w:tcPr>
          <w:p w:rsidR="00C66291" w:rsidRPr="004F1922" w:rsidRDefault="00C66291" w:rsidP="005044C2">
            <w:pPr>
              <w:tabs>
                <w:tab w:val="left" w:pos="340"/>
                <w:tab w:val="center" w:pos="456"/>
              </w:tabs>
              <w:spacing w:after="0" w:line="240" w:lineRule="auto"/>
              <w:jc w:val="center"/>
            </w:pPr>
          </w:p>
        </w:tc>
        <w:tc>
          <w:tcPr>
            <w:tcW w:w="0" w:type="auto"/>
            <w:vMerge/>
            <w:tcBorders>
              <w:top w:val="nil"/>
              <w:bottom w:val="single" w:sz="4" w:space="0" w:color="auto"/>
              <w:right w:val="single" w:sz="4" w:space="0" w:color="auto"/>
            </w:tcBorders>
          </w:tcPr>
          <w:p w:rsidR="00C66291" w:rsidRPr="004F1922" w:rsidRDefault="00C66291" w:rsidP="005044C2">
            <w:pPr>
              <w:tabs>
                <w:tab w:val="left" w:pos="340"/>
                <w:tab w:val="center" w:pos="456"/>
              </w:tabs>
              <w:spacing w:after="0" w:line="240" w:lineRule="auto"/>
              <w:jc w:val="center"/>
            </w:pPr>
          </w:p>
        </w:tc>
        <w:tc>
          <w:tcPr>
            <w:tcW w:w="971" w:type="dxa"/>
            <w:tcBorders>
              <w:top w:val="single" w:sz="4" w:space="0" w:color="auto"/>
              <w:left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OR</w:t>
            </w:r>
          </w:p>
        </w:tc>
        <w:tc>
          <w:tcPr>
            <w:tcW w:w="927" w:type="dxa"/>
            <w:tcBorders>
              <w:top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SE</w:t>
            </w:r>
          </w:p>
        </w:tc>
        <w:tc>
          <w:tcPr>
            <w:tcW w:w="1136" w:type="dxa"/>
            <w:tcBorders>
              <w:top w:val="single" w:sz="4" w:space="0" w:color="auto"/>
              <w:bottom w:val="single" w:sz="4" w:space="0" w:color="auto"/>
              <w:right w:val="single" w:sz="4" w:space="0" w:color="auto"/>
            </w:tcBorders>
          </w:tcPr>
          <w:p w:rsidR="00C66291" w:rsidRPr="004F1922" w:rsidRDefault="00C66291" w:rsidP="005044C2">
            <w:pPr>
              <w:tabs>
                <w:tab w:val="left" w:pos="340"/>
                <w:tab w:val="center" w:pos="456"/>
              </w:tabs>
              <w:spacing w:after="0" w:line="240" w:lineRule="auto"/>
              <w:jc w:val="center"/>
            </w:pPr>
            <w:r w:rsidRPr="004F1922">
              <w:t>p</w:t>
            </w:r>
          </w:p>
        </w:tc>
        <w:tc>
          <w:tcPr>
            <w:tcW w:w="810" w:type="dxa"/>
            <w:tcBorders>
              <w:top w:val="single" w:sz="4" w:space="0" w:color="auto"/>
              <w:left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OR</w:t>
            </w:r>
          </w:p>
        </w:tc>
        <w:tc>
          <w:tcPr>
            <w:tcW w:w="810" w:type="dxa"/>
            <w:tcBorders>
              <w:top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SE</w:t>
            </w:r>
          </w:p>
        </w:tc>
        <w:tc>
          <w:tcPr>
            <w:tcW w:w="1256" w:type="dxa"/>
            <w:tcBorders>
              <w:top w:val="single" w:sz="4" w:space="0" w:color="auto"/>
              <w:bottom w:val="single" w:sz="4" w:space="0" w:color="auto"/>
              <w:right w:val="single" w:sz="4" w:space="0" w:color="auto"/>
            </w:tcBorders>
          </w:tcPr>
          <w:p w:rsidR="00C66291" w:rsidRPr="004F1922" w:rsidRDefault="00C66291" w:rsidP="005044C2">
            <w:pPr>
              <w:tabs>
                <w:tab w:val="left" w:pos="340"/>
                <w:tab w:val="center" w:pos="456"/>
              </w:tabs>
              <w:spacing w:after="0" w:line="240" w:lineRule="auto"/>
              <w:jc w:val="center"/>
            </w:pPr>
            <w:r w:rsidRPr="004F1922">
              <w:t>p</w:t>
            </w:r>
          </w:p>
        </w:tc>
        <w:tc>
          <w:tcPr>
            <w:tcW w:w="0" w:type="auto"/>
            <w:tcBorders>
              <w:top w:val="single" w:sz="4" w:space="0" w:color="auto"/>
              <w:left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OR</w:t>
            </w:r>
          </w:p>
        </w:tc>
        <w:tc>
          <w:tcPr>
            <w:tcW w:w="1068" w:type="dxa"/>
            <w:tcBorders>
              <w:top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SE</w:t>
            </w:r>
          </w:p>
        </w:tc>
        <w:tc>
          <w:tcPr>
            <w:tcW w:w="1165" w:type="dxa"/>
            <w:tcBorders>
              <w:top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p</w:t>
            </w:r>
          </w:p>
        </w:tc>
      </w:tr>
      <w:tr w:rsidR="00C66291" w:rsidRPr="004F1922" w:rsidTr="005044C2">
        <w:trPr>
          <w:trHeight w:val="320"/>
        </w:trPr>
        <w:tc>
          <w:tcPr>
            <w:tcW w:w="0" w:type="auto"/>
            <w:tcBorders>
              <w:top w:val="single" w:sz="4" w:space="0" w:color="auto"/>
            </w:tcBorders>
          </w:tcPr>
          <w:p w:rsidR="00C66291" w:rsidRPr="004F1922" w:rsidRDefault="00C66291" w:rsidP="005044C2">
            <w:pPr>
              <w:tabs>
                <w:tab w:val="left" w:pos="340"/>
                <w:tab w:val="center" w:pos="456"/>
              </w:tabs>
              <w:spacing w:after="0" w:line="240" w:lineRule="auto"/>
              <w:jc w:val="center"/>
            </w:pPr>
            <w:bookmarkStart w:id="2" w:name="_Hlk460399684"/>
            <w:r w:rsidRPr="004F1922">
              <w:t>HERC2</w:t>
            </w:r>
          </w:p>
        </w:tc>
        <w:tc>
          <w:tcPr>
            <w:tcW w:w="0" w:type="auto"/>
            <w:tcBorders>
              <w:top w:val="single" w:sz="4" w:space="0" w:color="auto"/>
            </w:tcBorders>
          </w:tcPr>
          <w:p w:rsidR="00C66291" w:rsidRPr="004F1922" w:rsidRDefault="00C66291" w:rsidP="005044C2">
            <w:pPr>
              <w:tabs>
                <w:tab w:val="left" w:pos="340"/>
                <w:tab w:val="center" w:pos="456"/>
              </w:tabs>
              <w:spacing w:after="0" w:line="240" w:lineRule="auto"/>
              <w:jc w:val="center"/>
            </w:pPr>
            <w:r w:rsidRPr="004F1922">
              <w:t>15q13</w:t>
            </w:r>
          </w:p>
        </w:tc>
        <w:tc>
          <w:tcPr>
            <w:tcW w:w="0" w:type="auto"/>
            <w:tcBorders>
              <w:top w:val="single" w:sz="4" w:space="0" w:color="auto"/>
            </w:tcBorders>
          </w:tcPr>
          <w:p w:rsidR="00C66291" w:rsidRPr="004F1922" w:rsidRDefault="00C66291" w:rsidP="005044C2">
            <w:pPr>
              <w:tabs>
                <w:tab w:val="left" w:pos="340"/>
                <w:tab w:val="center" w:pos="456"/>
              </w:tabs>
              <w:spacing w:after="0" w:line="240" w:lineRule="auto"/>
              <w:jc w:val="center"/>
            </w:pPr>
            <w:r w:rsidRPr="004F1922">
              <w:t>rs2240202</w:t>
            </w:r>
          </w:p>
        </w:tc>
        <w:tc>
          <w:tcPr>
            <w:tcW w:w="0" w:type="auto"/>
            <w:tcBorders>
              <w:top w:val="single" w:sz="4" w:space="0" w:color="auto"/>
              <w:right w:val="single" w:sz="4" w:space="0" w:color="auto"/>
            </w:tcBorders>
          </w:tcPr>
          <w:p w:rsidR="00C66291" w:rsidRPr="004F1922" w:rsidRDefault="00C66291" w:rsidP="005044C2">
            <w:pPr>
              <w:tabs>
                <w:tab w:val="left" w:pos="340"/>
                <w:tab w:val="center" w:pos="456"/>
              </w:tabs>
              <w:spacing w:after="0" w:line="240" w:lineRule="auto"/>
              <w:jc w:val="center"/>
            </w:pPr>
            <w:r w:rsidRPr="004F1922">
              <w:t>0.036</w:t>
            </w:r>
          </w:p>
        </w:tc>
        <w:tc>
          <w:tcPr>
            <w:tcW w:w="971" w:type="dxa"/>
            <w:tcBorders>
              <w:top w:val="single" w:sz="4" w:space="0" w:color="auto"/>
              <w:left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0.09</w:t>
            </w:r>
          </w:p>
        </w:tc>
        <w:tc>
          <w:tcPr>
            <w:tcW w:w="927" w:type="dxa"/>
            <w:tcBorders>
              <w:top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0.123</w:t>
            </w:r>
          </w:p>
        </w:tc>
        <w:tc>
          <w:tcPr>
            <w:tcW w:w="1136" w:type="dxa"/>
            <w:tcBorders>
              <w:top w:val="single" w:sz="4" w:space="0" w:color="auto"/>
              <w:bottom w:val="nil"/>
              <w:right w:val="single" w:sz="4" w:space="0" w:color="auto"/>
            </w:tcBorders>
          </w:tcPr>
          <w:p w:rsidR="00C66291" w:rsidRPr="004F1922" w:rsidRDefault="00C66291" w:rsidP="005044C2">
            <w:pPr>
              <w:tabs>
                <w:tab w:val="left" w:pos="340"/>
                <w:tab w:val="center" w:pos="456"/>
              </w:tabs>
              <w:spacing w:after="0" w:line="240" w:lineRule="auto"/>
              <w:jc w:val="center"/>
              <w:rPr>
                <w:b/>
              </w:rPr>
            </w:pPr>
            <w:r w:rsidRPr="004F1922">
              <w:rPr>
                <w:b/>
              </w:rPr>
              <w:t>5.4E-83</w:t>
            </w:r>
          </w:p>
        </w:tc>
        <w:tc>
          <w:tcPr>
            <w:tcW w:w="810" w:type="dxa"/>
            <w:tcBorders>
              <w:top w:val="single" w:sz="4" w:space="0" w:color="auto"/>
              <w:left w:val="single" w:sz="4" w:space="0" w:color="auto"/>
            </w:tcBorders>
          </w:tcPr>
          <w:p w:rsidR="00C66291" w:rsidRPr="004F1922" w:rsidRDefault="00C66291" w:rsidP="005044C2">
            <w:pPr>
              <w:tabs>
                <w:tab w:val="left" w:pos="340"/>
                <w:tab w:val="center" w:pos="456"/>
              </w:tabs>
              <w:spacing w:after="0" w:line="240" w:lineRule="auto"/>
              <w:jc w:val="center"/>
            </w:pPr>
            <w:r w:rsidRPr="004F1922">
              <w:t>14.53</w:t>
            </w:r>
          </w:p>
        </w:tc>
        <w:tc>
          <w:tcPr>
            <w:tcW w:w="810" w:type="dxa"/>
            <w:tcBorders>
              <w:top w:val="single" w:sz="4" w:space="0" w:color="auto"/>
            </w:tcBorders>
          </w:tcPr>
          <w:p w:rsidR="00C66291" w:rsidRPr="004F1922" w:rsidRDefault="00C66291" w:rsidP="005044C2">
            <w:pPr>
              <w:tabs>
                <w:tab w:val="left" w:pos="340"/>
                <w:tab w:val="center" w:pos="456"/>
              </w:tabs>
              <w:spacing w:after="0" w:line="240" w:lineRule="auto"/>
              <w:jc w:val="center"/>
            </w:pPr>
            <w:r w:rsidRPr="004F1922">
              <w:t>0.189</w:t>
            </w:r>
          </w:p>
        </w:tc>
        <w:tc>
          <w:tcPr>
            <w:tcW w:w="1256" w:type="dxa"/>
            <w:tcBorders>
              <w:top w:val="single" w:sz="4" w:space="0" w:color="auto"/>
              <w:right w:val="single" w:sz="4" w:space="0" w:color="auto"/>
            </w:tcBorders>
          </w:tcPr>
          <w:p w:rsidR="00C66291" w:rsidRPr="004F1922" w:rsidRDefault="00C66291" w:rsidP="005044C2">
            <w:pPr>
              <w:tabs>
                <w:tab w:val="left" w:pos="340"/>
                <w:tab w:val="center" w:pos="456"/>
              </w:tabs>
              <w:spacing w:after="0" w:line="240" w:lineRule="auto"/>
              <w:jc w:val="center"/>
              <w:rPr>
                <w:b/>
              </w:rPr>
            </w:pPr>
            <w:r w:rsidRPr="004F1922">
              <w:rPr>
                <w:b/>
              </w:rPr>
              <w:t>2.5E-45</w:t>
            </w:r>
          </w:p>
        </w:tc>
        <w:tc>
          <w:tcPr>
            <w:tcW w:w="0" w:type="auto"/>
            <w:tcBorders>
              <w:top w:val="single" w:sz="4" w:space="0" w:color="auto"/>
              <w:left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0.89</w:t>
            </w:r>
          </w:p>
        </w:tc>
        <w:tc>
          <w:tcPr>
            <w:tcW w:w="1068" w:type="dxa"/>
            <w:tcBorders>
              <w:top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0.128</w:t>
            </w:r>
          </w:p>
        </w:tc>
        <w:tc>
          <w:tcPr>
            <w:tcW w:w="1165" w:type="dxa"/>
            <w:tcBorders>
              <w:top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0.343</w:t>
            </w:r>
          </w:p>
        </w:tc>
      </w:tr>
      <w:tr w:rsidR="00C66291" w:rsidRPr="004F1922" w:rsidTr="005044C2">
        <w:trPr>
          <w:trHeight w:val="67"/>
        </w:trPr>
        <w:tc>
          <w:tcPr>
            <w:tcW w:w="0" w:type="auto"/>
          </w:tcPr>
          <w:p w:rsidR="00C66291" w:rsidRPr="004F1922" w:rsidRDefault="00C66291" w:rsidP="005044C2">
            <w:pPr>
              <w:tabs>
                <w:tab w:val="left" w:pos="340"/>
                <w:tab w:val="center" w:pos="456"/>
              </w:tabs>
              <w:spacing w:after="0" w:line="240" w:lineRule="auto"/>
              <w:jc w:val="center"/>
            </w:pPr>
            <w:bookmarkStart w:id="3" w:name="_Hlk398738160"/>
            <w:bookmarkStart w:id="4" w:name="_Hlk398731768"/>
            <w:r w:rsidRPr="004F1922">
              <w:t>HERC2</w:t>
            </w:r>
          </w:p>
        </w:tc>
        <w:tc>
          <w:tcPr>
            <w:tcW w:w="0" w:type="auto"/>
          </w:tcPr>
          <w:p w:rsidR="00C66291" w:rsidRPr="004F1922" w:rsidRDefault="00C66291" w:rsidP="005044C2">
            <w:pPr>
              <w:tabs>
                <w:tab w:val="left" w:pos="340"/>
                <w:tab w:val="center" w:pos="456"/>
              </w:tabs>
              <w:spacing w:after="0" w:line="240" w:lineRule="auto"/>
              <w:jc w:val="center"/>
            </w:pPr>
            <w:r w:rsidRPr="004F1922">
              <w:t>15q13</w:t>
            </w:r>
          </w:p>
        </w:tc>
        <w:tc>
          <w:tcPr>
            <w:tcW w:w="0" w:type="auto"/>
          </w:tcPr>
          <w:p w:rsidR="00C66291" w:rsidRPr="004F1922" w:rsidRDefault="00C66291" w:rsidP="005044C2">
            <w:pPr>
              <w:tabs>
                <w:tab w:val="left" w:pos="340"/>
                <w:tab w:val="center" w:pos="456"/>
              </w:tabs>
              <w:spacing w:after="0" w:line="240" w:lineRule="auto"/>
              <w:jc w:val="center"/>
            </w:pPr>
            <w:r w:rsidRPr="004F1922">
              <w:t>rs74940492</w:t>
            </w:r>
          </w:p>
        </w:tc>
        <w:tc>
          <w:tcPr>
            <w:tcW w:w="0" w:type="auto"/>
            <w:tcBorders>
              <w:right w:val="single" w:sz="4" w:space="0" w:color="auto"/>
            </w:tcBorders>
          </w:tcPr>
          <w:p w:rsidR="00C66291" w:rsidRPr="004F1922" w:rsidRDefault="00C66291" w:rsidP="005044C2">
            <w:pPr>
              <w:tabs>
                <w:tab w:val="left" w:pos="340"/>
                <w:tab w:val="center" w:pos="456"/>
              </w:tabs>
              <w:spacing w:after="0" w:line="240" w:lineRule="auto"/>
              <w:jc w:val="center"/>
            </w:pPr>
            <w:r w:rsidRPr="004F1922">
              <w:t>0.037</w:t>
            </w:r>
          </w:p>
        </w:tc>
        <w:tc>
          <w:tcPr>
            <w:tcW w:w="971" w:type="dxa"/>
            <w:tcBorders>
              <w:top w:val="nil"/>
              <w:left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0.10</w:t>
            </w:r>
          </w:p>
        </w:tc>
        <w:tc>
          <w:tcPr>
            <w:tcW w:w="927" w:type="dxa"/>
            <w:tcBorders>
              <w:top w:val="nil"/>
              <w:bottom w:val="nil"/>
            </w:tcBorders>
          </w:tcPr>
          <w:p w:rsidR="00C66291" w:rsidRPr="004F1922" w:rsidRDefault="00C66291" w:rsidP="005044C2">
            <w:pPr>
              <w:tabs>
                <w:tab w:val="left" w:pos="340"/>
                <w:tab w:val="center" w:pos="456"/>
              </w:tabs>
              <w:spacing w:after="0" w:line="240" w:lineRule="auto"/>
              <w:jc w:val="center"/>
            </w:pPr>
            <w:r w:rsidRPr="004F1922">
              <w:t>0.123</w:t>
            </w:r>
          </w:p>
        </w:tc>
        <w:tc>
          <w:tcPr>
            <w:tcW w:w="1136" w:type="dxa"/>
            <w:tcBorders>
              <w:top w:val="nil"/>
              <w:bottom w:val="nil"/>
              <w:right w:val="single" w:sz="4" w:space="0" w:color="auto"/>
            </w:tcBorders>
          </w:tcPr>
          <w:p w:rsidR="00C66291" w:rsidRPr="004F1922" w:rsidRDefault="00C66291" w:rsidP="005044C2">
            <w:pPr>
              <w:tabs>
                <w:tab w:val="left" w:pos="340"/>
                <w:tab w:val="center" w:pos="456"/>
              </w:tabs>
              <w:spacing w:after="0" w:line="240" w:lineRule="auto"/>
              <w:jc w:val="center"/>
              <w:rPr>
                <w:b/>
              </w:rPr>
            </w:pPr>
            <w:r w:rsidRPr="004F1922">
              <w:rPr>
                <w:b/>
              </w:rPr>
              <w:t>2.2E-81</w:t>
            </w:r>
          </w:p>
        </w:tc>
        <w:tc>
          <w:tcPr>
            <w:tcW w:w="810" w:type="dxa"/>
            <w:tcBorders>
              <w:left w:val="single" w:sz="4" w:space="0" w:color="auto"/>
            </w:tcBorders>
          </w:tcPr>
          <w:p w:rsidR="00C66291" w:rsidRPr="004F1922" w:rsidRDefault="00C66291" w:rsidP="005044C2">
            <w:pPr>
              <w:tabs>
                <w:tab w:val="left" w:pos="340"/>
                <w:tab w:val="center" w:pos="456"/>
              </w:tabs>
              <w:spacing w:after="0" w:line="240" w:lineRule="auto"/>
              <w:jc w:val="center"/>
            </w:pPr>
            <w:r w:rsidRPr="004F1922">
              <w:t>13.55</w:t>
            </w:r>
          </w:p>
        </w:tc>
        <w:tc>
          <w:tcPr>
            <w:tcW w:w="810" w:type="dxa"/>
          </w:tcPr>
          <w:p w:rsidR="00C66291" w:rsidRPr="004F1922" w:rsidRDefault="00C66291" w:rsidP="005044C2">
            <w:pPr>
              <w:tabs>
                <w:tab w:val="left" w:pos="340"/>
                <w:tab w:val="center" w:pos="456"/>
              </w:tabs>
              <w:spacing w:after="0" w:line="240" w:lineRule="auto"/>
              <w:jc w:val="center"/>
            </w:pPr>
            <w:r w:rsidRPr="004F1922">
              <w:t>0.179</w:t>
            </w:r>
          </w:p>
        </w:tc>
        <w:tc>
          <w:tcPr>
            <w:tcW w:w="1256" w:type="dxa"/>
            <w:tcBorders>
              <w:right w:val="single" w:sz="4" w:space="0" w:color="auto"/>
            </w:tcBorders>
          </w:tcPr>
          <w:p w:rsidR="00C66291" w:rsidRPr="004F1922" w:rsidRDefault="00C66291" w:rsidP="005044C2">
            <w:pPr>
              <w:tabs>
                <w:tab w:val="left" w:pos="340"/>
                <w:tab w:val="center" w:pos="456"/>
              </w:tabs>
              <w:spacing w:after="0" w:line="240" w:lineRule="auto"/>
              <w:jc w:val="center"/>
              <w:rPr>
                <w:b/>
              </w:rPr>
            </w:pPr>
            <w:r w:rsidRPr="004F1922">
              <w:rPr>
                <w:b/>
              </w:rPr>
              <w:t>1.0E-47</w:t>
            </w:r>
          </w:p>
        </w:tc>
        <w:tc>
          <w:tcPr>
            <w:tcW w:w="0" w:type="auto"/>
            <w:tcBorders>
              <w:top w:val="nil"/>
              <w:left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0.89</w:t>
            </w:r>
          </w:p>
        </w:tc>
        <w:tc>
          <w:tcPr>
            <w:tcW w:w="1068" w:type="dxa"/>
            <w:tcBorders>
              <w:top w:val="nil"/>
              <w:bottom w:val="nil"/>
            </w:tcBorders>
          </w:tcPr>
          <w:p w:rsidR="00C66291" w:rsidRPr="004F1922" w:rsidRDefault="00C66291" w:rsidP="005044C2">
            <w:pPr>
              <w:tabs>
                <w:tab w:val="left" w:pos="340"/>
                <w:tab w:val="center" w:pos="456"/>
              </w:tabs>
              <w:spacing w:after="0" w:line="240" w:lineRule="auto"/>
              <w:jc w:val="center"/>
            </w:pPr>
            <w:r w:rsidRPr="004F1922">
              <w:t>0.128</w:t>
            </w:r>
          </w:p>
        </w:tc>
        <w:tc>
          <w:tcPr>
            <w:tcW w:w="1165" w:type="dxa"/>
            <w:tcBorders>
              <w:top w:val="nil"/>
              <w:bottom w:val="nil"/>
            </w:tcBorders>
          </w:tcPr>
          <w:p w:rsidR="00C66291" w:rsidRPr="004F1922" w:rsidRDefault="00C66291" w:rsidP="005044C2">
            <w:pPr>
              <w:tabs>
                <w:tab w:val="left" w:pos="340"/>
                <w:tab w:val="center" w:pos="456"/>
              </w:tabs>
              <w:spacing w:after="0" w:line="240" w:lineRule="auto"/>
              <w:jc w:val="center"/>
            </w:pPr>
            <w:r w:rsidRPr="004F1922">
              <w:t>0.3655</w:t>
            </w:r>
          </w:p>
        </w:tc>
      </w:tr>
      <w:tr w:rsidR="00C66291" w:rsidRPr="004F1922" w:rsidTr="005044C2">
        <w:trPr>
          <w:trHeight w:val="30"/>
        </w:trPr>
        <w:tc>
          <w:tcPr>
            <w:tcW w:w="0" w:type="auto"/>
          </w:tcPr>
          <w:p w:rsidR="00C66291" w:rsidRPr="004F1922" w:rsidRDefault="00C66291" w:rsidP="005044C2">
            <w:pPr>
              <w:tabs>
                <w:tab w:val="left" w:pos="340"/>
                <w:tab w:val="center" w:pos="456"/>
              </w:tabs>
              <w:spacing w:after="0" w:line="240" w:lineRule="auto"/>
              <w:jc w:val="center"/>
            </w:pPr>
            <w:r w:rsidRPr="004F1922">
              <w:t>SLC24A4</w:t>
            </w:r>
          </w:p>
        </w:tc>
        <w:tc>
          <w:tcPr>
            <w:tcW w:w="0" w:type="auto"/>
          </w:tcPr>
          <w:p w:rsidR="00C66291" w:rsidRPr="004F1922" w:rsidRDefault="00C66291" w:rsidP="005044C2">
            <w:pPr>
              <w:tabs>
                <w:tab w:val="left" w:pos="340"/>
                <w:tab w:val="center" w:pos="456"/>
              </w:tabs>
              <w:spacing w:after="0" w:line="240" w:lineRule="auto"/>
              <w:jc w:val="center"/>
            </w:pPr>
            <w:r w:rsidRPr="004F1922">
              <w:t>14q32.12</w:t>
            </w:r>
          </w:p>
        </w:tc>
        <w:tc>
          <w:tcPr>
            <w:tcW w:w="0" w:type="auto"/>
          </w:tcPr>
          <w:p w:rsidR="00C66291" w:rsidRPr="004F1922" w:rsidRDefault="00C66291" w:rsidP="005044C2">
            <w:pPr>
              <w:tabs>
                <w:tab w:val="left" w:pos="340"/>
                <w:tab w:val="center" w:pos="456"/>
              </w:tabs>
              <w:spacing w:after="0" w:line="240" w:lineRule="auto"/>
              <w:jc w:val="center"/>
            </w:pPr>
            <w:r w:rsidRPr="004F1922">
              <w:t>rs4904871</w:t>
            </w:r>
          </w:p>
        </w:tc>
        <w:tc>
          <w:tcPr>
            <w:tcW w:w="0" w:type="auto"/>
            <w:tcBorders>
              <w:right w:val="single" w:sz="4" w:space="0" w:color="auto"/>
            </w:tcBorders>
          </w:tcPr>
          <w:p w:rsidR="00C66291" w:rsidRPr="004F1922" w:rsidRDefault="00C66291" w:rsidP="005044C2">
            <w:pPr>
              <w:tabs>
                <w:tab w:val="left" w:pos="340"/>
                <w:tab w:val="center" w:pos="456"/>
              </w:tabs>
              <w:spacing w:after="0" w:line="240" w:lineRule="auto"/>
              <w:jc w:val="center"/>
            </w:pPr>
            <w:r w:rsidRPr="004F1922">
              <w:t>0.478</w:t>
            </w:r>
          </w:p>
        </w:tc>
        <w:tc>
          <w:tcPr>
            <w:tcW w:w="971" w:type="dxa"/>
            <w:tcBorders>
              <w:top w:val="nil"/>
              <w:left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1.09</w:t>
            </w:r>
          </w:p>
        </w:tc>
        <w:tc>
          <w:tcPr>
            <w:tcW w:w="927" w:type="dxa"/>
            <w:tcBorders>
              <w:top w:val="nil"/>
              <w:bottom w:val="nil"/>
            </w:tcBorders>
          </w:tcPr>
          <w:p w:rsidR="00C66291" w:rsidRPr="004F1922" w:rsidRDefault="00C66291" w:rsidP="005044C2">
            <w:pPr>
              <w:tabs>
                <w:tab w:val="left" w:pos="340"/>
                <w:tab w:val="center" w:pos="456"/>
              </w:tabs>
              <w:spacing w:after="0" w:line="240" w:lineRule="auto"/>
              <w:jc w:val="center"/>
            </w:pPr>
            <w:r w:rsidRPr="004F1922">
              <w:t>0.056</w:t>
            </w:r>
          </w:p>
        </w:tc>
        <w:tc>
          <w:tcPr>
            <w:tcW w:w="1136" w:type="dxa"/>
            <w:tcBorders>
              <w:top w:val="nil"/>
              <w:bottom w:val="nil"/>
              <w:right w:val="single" w:sz="4" w:space="0" w:color="auto"/>
            </w:tcBorders>
          </w:tcPr>
          <w:p w:rsidR="00C66291" w:rsidRPr="004F1922" w:rsidRDefault="00C66291" w:rsidP="005044C2">
            <w:pPr>
              <w:tabs>
                <w:tab w:val="left" w:pos="340"/>
                <w:tab w:val="center" w:pos="456"/>
              </w:tabs>
              <w:spacing w:after="0" w:line="240" w:lineRule="auto"/>
              <w:jc w:val="center"/>
            </w:pPr>
            <w:r w:rsidRPr="004F1922">
              <w:t>0.1218</w:t>
            </w:r>
          </w:p>
        </w:tc>
        <w:tc>
          <w:tcPr>
            <w:tcW w:w="810" w:type="dxa"/>
            <w:tcBorders>
              <w:left w:val="single" w:sz="4" w:space="0" w:color="auto"/>
            </w:tcBorders>
          </w:tcPr>
          <w:p w:rsidR="00C66291" w:rsidRPr="004F1922" w:rsidRDefault="00C66291" w:rsidP="005044C2">
            <w:pPr>
              <w:tabs>
                <w:tab w:val="left" w:pos="340"/>
                <w:tab w:val="center" w:pos="456"/>
              </w:tabs>
              <w:spacing w:after="0" w:line="240" w:lineRule="auto"/>
              <w:jc w:val="center"/>
            </w:pPr>
            <w:r w:rsidRPr="004F1922">
              <w:t>0.71</w:t>
            </w:r>
          </w:p>
        </w:tc>
        <w:tc>
          <w:tcPr>
            <w:tcW w:w="810" w:type="dxa"/>
          </w:tcPr>
          <w:p w:rsidR="00C66291" w:rsidRPr="004F1922" w:rsidRDefault="00C66291" w:rsidP="005044C2">
            <w:pPr>
              <w:tabs>
                <w:tab w:val="left" w:pos="340"/>
                <w:tab w:val="center" w:pos="456"/>
              </w:tabs>
              <w:spacing w:after="0" w:line="240" w:lineRule="auto"/>
              <w:jc w:val="center"/>
            </w:pPr>
            <w:r w:rsidRPr="004F1922">
              <w:t>0.046</w:t>
            </w:r>
          </w:p>
        </w:tc>
        <w:tc>
          <w:tcPr>
            <w:tcW w:w="1256" w:type="dxa"/>
            <w:tcBorders>
              <w:right w:val="single" w:sz="4" w:space="0" w:color="auto"/>
            </w:tcBorders>
          </w:tcPr>
          <w:p w:rsidR="00C66291" w:rsidRPr="004F1922" w:rsidRDefault="00C66291" w:rsidP="005044C2">
            <w:pPr>
              <w:tabs>
                <w:tab w:val="left" w:pos="340"/>
                <w:tab w:val="center" w:pos="456"/>
              </w:tabs>
              <w:spacing w:after="0" w:line="240" w:lineRule="auto"/>
              <w:jc w:val="center"/>
              <w:rPr>
                <w:b/>
              </w:rPr>
            </w:pPr>
            <w:r w:rsidRPr="004F1922">
              <w:rPr>
                <w:b/>
              </w:rPr>
              <w:t>1.3E-13</w:t>
            </w:r>
          </w:p>
        </w:tc>
        <w:tc>
          <w:tcPr>
            <w:tcW w:w="0" w:type="auto"/>
            <w:tcBorders>
              <w:top w:val="nil"/>
              <w:left w:val="single" w:sz="4" w:space="0" w:color="auto"/>
              <w:bottom w:val="nil"/>
            </w:tcBorders>
          </w:tcPr>
          <w:p w:rsidR="00C66291" w:rsidRPr="004F1922" w:rsidRDefault="00C66291" w:rsidP="005044C2">
            <w:pPr>
              <w:tabs>
                <w:tab w:val="left" w:pos="340"/>
                <w:tab w:val="center" w:pos="456"/>
              </w:tabs>
              <w:spacing w:after="0" w:line="240" w:lineRule="auto"/>
              <w:jc w:val="center"/>
            </w:pPr>
            <w:r w:rsidRPr="004F1922">
              <w:t>1.52</w:t>
            </w:r>
          </w:p>
        </w:tc>
        <w:tc>
          <w:tcPr>
            <w:tcW w:w="1068" w:type="dxa"/>
            <w:tcBorders>
              <w:top w:val="nil"/>
              <w:bottom w:val="nil"/>
            </w:tcBorders>
          </w:tcPr>
          <w:p w:rsidR="00C66291" w:rsidRPr="004F1922" w:rsidRDefault="00C66291" w:rsidP="005044C2">
            <w:pPr>
              <w:tabs>
                <w:tab w:val="left" w:pos="340"/>
                <w:tab w:val="center" w:pos="456"/>
              </w:tabs>
              <w:spacing w:after="0" w:line="240" w:lineRule="auto"/>
              <w:jc w:val="center"/>
            </w:pPr>
            <w:r w:rsidRPr="004F1922">
              <w:t>0.053</w:t>
            </w:r>
          </w:p>
        </w:tc>
        <w:tc>
          <w:tcPr>
            <w:tcW w:w="1165" w:type="dxa"/>
            <w:tcBorders>
              <w:top w:val="nil"/>
              <w:bottom w:val="nil"/>
            </w:tcBorders>
          </w:tcPr>
          <w:p w:rsidR="00C66291" w:rsidRPr="004F1922" w:rsidRDefault="00C66291" w:rsidP="005044C2">
            <w:pPr>
              <w:tabs>
                <w:tab w:val="left" w:pos="340"/>
                <w:tab w:val="center" w:pos="456"/>
              </w:tabs>
              <w:spacing w:after="0" w:line="240" w:lineRule="auto"/>
              <w:jc w:val="center"/>
              <w:rPr>
                <w:b/>
              </w:rPr>
            </w:pPr>
            <w:r w:rsidRPr="004F1922">
              <w:rPr>
                <w:b/>
              </w:rPr>
              <w:t>1.5E-15</w:t>
            </w:r>
          </w:p>
        </w:tc>
      </w:tr>
      <w:tr w:rsidR="00C66291" w:rsidRPr="004F1922" w:rsidTr="005044C2">
        <w:trPr>
          <w:trHeight w:val="30"/>
        </w:trPr>
        <w:tc>
          <w:tcPr>
            <w:tcW w:w="0" w:type="auto"/>
          </w:tcPr>
          <w:p w:rsidR="00C66291" w:rsidRPr="004F1922" w:rsidRDefault="00C66291" w:rsidP="005044C2">
            <w:pPr>
              <w:tabs>
                <w:tab w:val="left" w:pos="340"/>
                <w:tab w:val="center" w:pos="456"/>
              </w:tabs>
              <w:spacing w:after="0" w:line="240" w:lineRule="auto"/>
              <w:jc w:val="center"/>
            </w:pPr>
            <w:r w:rsidRPr="004F1922">
              <w:t>TYR</w:t>
            </w:r>
          </w:p>
        </w:tc>
        <w:tc>
          <w:tcPr>
            <w:tcW w:w="0" w:type="auto"/>
          </w:tcPr>
          <w:p w:rsidR="00C66291" w:rsidRPr="004F1922" w:rsidRDefault="00C66291" w:rsidP="005044C2">
            <w:pPr>
              <w:tabs>
                <w:tab w:val="left" w:pos="340"/>
                <w:tab w:val="center" w:pos="456"/>
              </w:tabs>
              <w:spacing w:after="0" w:line="240" w:lineRule="auto"/>
              <w:jc w:val="center"/>
            </w:pPr>
            <w:r w:rsidRPr="004F1922">
              <w:t>11q14.3</w:t>
            </w:r>
          </w:p>
        </w:tc>
        <w:tc>
          <w:tcPr>
            <w:tcW w:w="0" w:type="auto"/>
          </w:tcPr>
          <w:p w:rsidR="00C66291" w:rsidRPr="004F1922" w:rsidRDefault="00C66291" w:rsidP="005044C2">
            <w:pPr>
              <w:tabs>
                <w:tab w:val="left" w:pos="340"/>
                <w:tab w:val="center" w:pos="456"/>
              </w:tabs>
              <w:spacing w:after="0" w:line="240" w:lineRule="auto"/>
              <w:jc w:val="center"/>
            </w:pPr>
            <w:r w:rsidRPr="004F1922">
              <w:t>rs67279079</w:t>
            </w:r>
          </w:p>
        </w:tc>
        <w:tc>
          <w:tcPr>
            <w:tcW w:w="0" w:type="auto"/>
            <w:tcBorders>
              <w:right w:val="single" w:sz="4" w:space="0" w:color="auto"/>
            </w:tcBorders>
          </w:tcPr>
          <w:p w:rsidR="00C66291" w:rsidRPr="004F1922" w:rsidRDefault="00C66291" w:rsidP="005044C2">
            <w:pPr>
              <w:tabs>
                <w:tab w:val="left" w:pos="340"/>
                <w:tab w:val="center" w:pos="456"/>
              </w:tabs>
              <w:spacing w:after="0" w:line="240" w:lineRule="auto"/>
              <w:jc w:val="center"/>
            </w:pPr>
            <w:r w:rsidRPr="004F1922">
              <w:t>0.236</w:t>
            </w:r>
          </w:p>
        </w:tc>
        <w:tc>
          <w:tcPr>
            <w:tcW w:w="971" w:type="dxa"/>
            <w:tcBorders>
              <w:top w:val="nil"/>
              <w:left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1.17</w:t>
            </w:r>
          </w:p>
        </w:tc>
        <w:tc>
          <w:tcPr>
            <w:tcW w:w="927" w:type="dxa"/>
            <w:tcBorders>
              <w:top w:val="nil"/>
              <w:bottom w:val="single" w:sz="4" w:space="0" w:color="auto"/>
            </w:tcBorders>
          </w:tcPr>
          <w:p w:rsidR="00C66291" w:rsidRPr="004F1922" w:rsidRDefault="00C66291" w:rsidP="005044C2">
            <w:pPr>
              <w:tabs>
                <w:tab w:val="left" w:pos="340"/>
                <w:tab w:val="center" w:pos="456"/>
              </w:tabs>
              <w:spacing w:after="0" w:line="240" w:lineRule="auto"/>
              <w:jc w:val="center"/>
            </w:pPr>
            <w:r w:rsidRPr="004F1922">
              <w:t>0.066</w:t>
            </w:r>
          </w:p>
        </w:tc>
        <w:tc>
          <w:tcPr>
            <w:tcW w:w="1136" w:type="dxa"/>
            <w:tcBorders>
              <w:top w:val="nil"/>
              <w:bottom w:val="single" w:sz="4" w:space="0" w:color="auto"/>
              <w:right w:val="single" w:sz="4" w:space="0" w:color="auto"/>
            </w:tcBorders>
          </w:tcPr>
          <w:p w:rsidR="00C66291" w:rsidRPr="004F1922" w:rsidRDefault="00C66291" w:rsidP="005044C2">
            <w:pPr>
              <w:tabs>
                <w:tab w:val="left" w:pos="340"/>
                <w:tab w:val="center" w:pos="456"/>
              </w:tabs>
              <w:spacing w:after="0" w:line="240" w:lineRule="auto"/>
              <w:jc w:val="center"/>
            </w:pPr>
            <w:r w:rsidRPr="004F1922">
              <w:t>0.0209</w:t>
            </w:r>
          </w:p>
        </w:tc>
        <w:tc>
          <w:tcPr>
            <w:tcW w:w="810" w:type="dxa"/>
            <w:tcBorders>
              <w:left w:val="single" w:sz="4" w:space="0" w:color="auto"/>
            </w:tcBorders>
          </w:tcPr>
          <w:p w:rsidR="00C66291" w:rsidRPr="004F1922" w:rsidRDefault="00C66291" w:rsidP="005044C2">
            <w:pPr>
              <w:tabs>
                <w:tab w:val="left" w:pos="340"/>
                <w:tab w:val="center" w:pos="456"/>
              </w:tabs>
              <w:spacing w:after="0" w:line="240" w:lineRule="auto"/>
              <w:jc w:val="center"/>
            </w:pPr>
            <w:r w:rsidRPr="004F1922">
              <w:t>0.70</w:t>
            </w:r>
          </w:p>
        </w:tc>
        <w:tc>
          <w:tcPr>
            <w:tcW w:w="810" w:type="dxa"/>
          </w:tcPr>
          <w:p w:rsidR="00C66291" w:rsidRPr="004F1922" w:rsidRDefault="00C66291" w:rsidP="005044C2">
            <w:pPr>
              <w:tabs>
                <w:tab w:val="left" w:pos="340"/>
                <w:tab w:val="center" w:pos="456"/>
              </w:tabs>
              <w:spacing w:after="0" w:line="240" w:lineRule="auto"/>
              <w:jc w:val="center"/>
            </w:pPr>
            <w:r w:rsidRPr="004F1922">
              <w:t>0.054</w:t>
            </w:r>
          </w:p>
        </w:tc>
        <w:tc>
          <w:tcPr>
            <w:tcW w:w="1256" w:type="dxa"/>
            <w:tcBorders>
              <w:right w:val="single" w:sz="4" w:space="0" w:color="auto"/>
            </w:tcBorders>
          </w:tcPr>
          <w:p w:rsidR="00C66291" w:rsidRPr="004F1922" w:rsidRDefault="00C66291" w:rsidP="005044C2">
            <w:pPr>
              <w:tabs>
                <w:tab w:val="left" w:pos="340"/>
                <w:tab w:val="center" w:pos="456"/>
              </w:tabs>
              <w:spacing w:after="0" w:line="240" w:lineRule="auto"/>
              <w:jc w:val="center"/>
              <w:rPr>
                <w:b/>
              </w:rPr>
            </w:pPr>
            <w:r w:rsidRPr="004F1922">
              <w:rPr>
                <w:b/>
              </w:rPr>
              <w:t>3.1E-11</w:t>
            </w:r>
          </w:p>
        </w:tc>
        <w:tc>
          <w:tcPr>
            <w:tcW w:w="0" w:type="auto"/>
            <w:tcBorders>
              <w:top w:val="nil"/>
              <w:left w:val="single" w:sz="4" w:space="0" w:color="auto"/>
              <w:bottom w:val="single" w:sz="4" w:space="0" w:color="auto"/>
            </w:tcBorders>
          </w:tcPr>
          <w:p w:rsidR="00C66291" w:rsidRPr="004F1922" w:rsidRDefault="00C66291" w:rsidP="005044C2">
            <w:pPr>
              <w:tabs>
                <w:tab w:val="left" w:pos="340"/>
                <w:tab w:val="center" w:pos="456"/>
              </w:tabs>
              <w:spacing w:after="0" w:line="240" w:lineRule="auto"/>
              <w:jc w:val="center"/>
            </w:pPr>
            <w:r w:rsidRPr="004F1922">
              <w:t>1.49</w:t>
            </w:r>
          </w:p>
        </w:tc>
        <w:tc>
          <w:tcPr>
            <w:tcW w:w="1068" w:type="dxa"/>
            <w:tcBorders>
              <w:top w:val="nil"/>
              <w:bottom w:val="single" w:sz="4" w:space="0" w:color="auto"/>
            </w:tcBorders>
          </w:tcPr>
          <w:p w:rsidR="00C66291" w:rsidRPr="004F1922" w:rsidRDefault="00C66291" w:rsidP="005044C2">
            <w:pPr>
              <w:tabs>
                <w:tab w:val="left" w:pos="340"/>
                <w:tab w:val="center" w:pos="456"/>
              </w:tabs>
              <w:spacing w:after="0" w:line="240" w:lineRule="auto"/>
              <w:jc w:val="center"/>
            </w:pPr>
            <w:r w:rsidRPr="004F1922">
              <w:t>0.064</w:t>
            </w:r>
          </w:p>
        </w:tc>
        <w:tc>
          <w:tcPr>
            <w:tcW w:w="1165" w:type="dxa"/>
            <w:tcBorders>
              <w:top w:val="nil"/>
              <w:bottom w:val="single" w:sz="4" w:space="0" w:color="auto"/>
            </w:tcBorders>
          </w:tcPr>
          <w:p w:rsidR="00C66291" w:rsidRPr="004F1922" w:rsidRDefault="00C66291" w:rsidP="005044C2">
            <w:pPr>
              <w:tabs>
                <w:tab w:val="left" w:pos="340"/>
                <w:tab w:val="center" w:pos="456"/>
              </w:tabs>
              <w:spacing w:after="0" w:line="240" w:lineRule="auto"/>
              <w:jc w:val="center"/>
              <w:rPr>
                <w:b/>
              </w:rPr>
            </w:pPr>
            <w:r w:rsidRPr="004F1922">
              <w:rPr>
                <w:b/>
              </w:rPr>
              <w:t>3.6E-10</w:t>
            </w:r>
          </w:p>
        </w:tc>
      </w:tr>
      <w:bookmarkEnd w:id="2"/>
      <w:bookmarkEnd w:id="3"/>
      <w:bookmarkEnd w:id="4"/>
    </w:tbl>
    <w:p w:rsidR="00C66291" w:rsidRPr="004F1922" w:rsidRDefault="00C66291" w:rsidP="005044C2"/>
    <w:p w:rsidR="009D0859" w:rsidRDefault="009D0859">
      <w:r>
        <w:br w:type="page"/>
      </w:r>
    </w:p>
    <w:p w:rsidR="00C66291" w:rsidRDefault="00C66291" w:rsidP="005044C2">
      <w:pPr>
        <w:rPr>
          <w:lang w:eastAsia="zh-CN"/>
        </w:rPr>
      </w:pPr>
      <w:r w:rsidRPr="004F1922">
        <w:t>Figure 1: Manhattan</w:t>
      </w:r>
      <w:r w:rsidR="009D0859">
        <w:rPr>
          <w:rFonts w:hint="eastAsia"/>
          <w:lang w:eastAsia="zh-CN"/>
        </w:rPr>
        <w:t xml:space="preserve"> and QQ </w:t>
      </w:r>
      <w:r w:rsidRPr="004F1922">
        <w:t>plot for brown eye color (MAF &gt; 0.01</w:t>
      </w:r>
      <w:r w:rsidR="009D0859">
        <w:rPr>
          <w:rFonts w:hint="eastAsia"/>
          <w:lang w:eastAsia="zh-CN"/>
        </w:rPr>
        <w:t>,</w:t>
      </w:r>
      <w:r w:rsidR="009D0859" w:rsidRPr="009D0859">
        <w:t xml:space="preserve"> </w:t>
      </w:r>
      <w:r w:rsidR="009D0859">
        <w:t>λ =1.03114</w:t>
      </w:r>
      <w:r w:rsidRPr="004F1922">
        <w:t xml:space="preserve">). </w:t>
      </w:r>
    </w:p>
    <w:p w:rsidR="009D0859" w:rsidRDefault="009D0859" w:rsidP="005044C2">
      <w:pPr>
        <w:rPr>
          <w:lang w:eastAsia="zh-CN"/>
        </w:rPr>
      </w:pPr>
      <w:r>
        <w:rPr>
          <w:rFonts w:hint="eastAsia"/>
          <w:noProof/>
          <w:lang w:val="en-AU" w:eastAsia="en-AU"/>
        </w:rPr>
        <w:drawing>
          <wp:inline distT="0" distB="0" distL="0" distR="0">
            <wp:extent cx="8229600" cy="4948555"/>
            <wp:effectExtent l="19050" t="0" r="0" b="0"/>
            <wp:docPr id="16" name="Picture 15" descr="brown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eye.png"/>
                    <pic:cNvPicPr/>
                  </pic:nvPicPr>
                  <pic:blipFill>
                    <a:blip r:embed="rId4" cstate="print"/>
                    <a:stretch>
                      <a:fillRect/>
                    </a:stretch>
                  </pic:blipFill>
                  <pic:spPr>
                    <a:xfrm>
                      <a:off x="0" y="0"/>
                      <a:ext cx="8229600" cy="4948555"/>
                    </a:xfrm>
                    <a:prstGeom prst="rect">
                      <a:avLst/>
                    </a:prstGeom>
                  </pic:spPr>
                </pic:pic>
              </a:graphicData>
            </a:graphic>
          </wp:inline>
        </w:drawing>
      </w:r>
    </w:p>
    <w:p w:rsidR="009D0859" w:rsidRPr="004F1922" w:rsidRDefault="009D0859" w:rsidP="005044C2">
      <w:pPr>
        <w:rPr>
          <w:lang w:eastAsia="zh-CN"/>
        </w:rPr>
      </w:pPr>
    </w:p>
    <w:p w:rsidR="00C66291" w:rsidRPr="004F1922" w:rsidRDefault="00C66291" w:rsidP="005044C2">
      <w:pPr>
        <w:rPr>
          <w:lang w:eastAsia="zh-CN"/>
        </w:rPr>
      </w:pPr>
      <w:r w:rsidRPr="004F1922">
        <w:br w:type="page"/>
      </w:r>
    </w:p>
    <w:p w:rsidR="00C66291" w:rsidRDefault="009D0859" w:rsidP="005044C2">
      <w:pPr>
        <w:rPr>
          <w:lang w:eastAsia="zh-CN"/>
        </w:rPr>
      </w:pPr>
      <w:bookmarkStart w:id="5" w:name="OLE_LINK38"/>
      <w:bookmarkStart w:id="6" w:name="OLE_LINK39"/>
      <w:bookmarkStart w:id="7" w:name="OLE_LINK40"/>
      <w:r>
        <w:t xml:space="preserve">Figure </w:t>
      </w:r>
      <w:r>
        <w:rPr>
          <w:rFonts w:hint="eastAsia"/>
          <w:lang w:eastAsia="zh-CN"/>
        </w:rPr>
        <w:t>2</w:t>
      </w:r>
      <w:r w:rsidR="00C66291" w:rsidRPr="004F1922">
        <w:t xml:space="preserve">: Manhattan </w:t>
      </w:r>
      <w:r>
        <w:rPr>
          <w:rFonts w:hint="eastAsia"/>
          <w:lang w:eastAsia="zh-CN"/>
        </w:rPr>
        <w:t xml:space="preserve">and QQ </w:t>
      </w:r>
      <w:r w:rsidR="00C66291" w:rsidRPr="004F1922">
        <w:t>plot for blue/grey eye color (MAF &gt; 0.01</w:t>
      </w:r>
      <w:r>
        <w:rPr>
          <w:rFonts w:hint="eastAsia"/>
          <w:lang w:eastAsia="zh-CN"/>
        </w:rPr>
        <w:t>,</w:t>
      </w:r>
      <w:r w:rsidRPr="009D0859">
        <w:t xml:space="preserve"> </w:t>
      </w:r>
      <w:r w:rsidRPr="004F1922">
        <w:t>λ =1.0259</w:t>
      </w:r>
      <w:r w:rsidR="00C66291" w:rsidRPr="004F1922">
        <w:t>).</w:t>
      </w:r>
      <w:bookmarkEnd w:id="5"/>
      <w:bookmarkEnd w:id="6"/>
      <w:bookmarkEnd w:id="7"/>
    </w:p>
    <w:p w:rsidR="009D0859" w:rsidRPr="004F1922" w:rsidRDefault="009D0859" w:rsidP="005044C2">
      <w:pPr>
        <w:rPr>
          <w:lang w:eastAsia="zh-CN"/>
        </w:rPr>
      </w:pPr>
    </w:p>
    <w:p w:rsidR="00C66291" w:rsidRPr="004F1922" w:rsidRDefault="007144E4" w:rsidP="005044C2">
      <w:r>
        <w:rPr>
          <w:noProof/>
          <w:lang w:val="en-AU" w:eastAsia="en-AU"/>
        </w:rPr>
        <w:drawing>
          <wp:inline distT="0" distB="0" distL="0" distR="0">
            <wp:extent cx="8071052" cy="4844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82808" cy="4851227"/>
                    </a:xfrm>
                    <a:prstGeom prst="rect">
                      <a:avLst/>
                    </a:prstGeom>
                  </pic:spPr>
                </pic:pic>
              </a:graphicData>
            </a:graphic>
          </wp:inline>
        </w:drawing>
      </w:r>
    </w:p>
    <w:p w:rsidR="00C66291" w:rsidRPr="004F1922" w:rsidRDefault="00C66291" w:rsidP="005044C2">
      <w:r w:rsidRPr="004F1922">
        <w:br w:type="page"/>
      </w:r>
    </w:p>
    <w:p w:rsidR="00CD007F" w:rsidRDefault="009D0859">
      <w:r>
        <w:t xml:space="preserve">Figure </w:t>
      </w:r>
      <w:r>
        <w:rPr>
          <w:rFonts w:hint="eastAsia"/>
          <w:lang w:eastAsia="zh-CN"/>
        </w:rPr>
        <w:t>3</w:t>
      </w:r>
      <w:r w:rsidR="00C66291" w:rsidRPr="004F1922">
        <w:t xml:space="preserve">: Manhattan </w:t>
      </w:r>
      <w:r w:rsidR="00F16052">
        <w:t xml:space="preserve">and </w:t>
      </w:r>
      <w:r w:rsidR="00C66291" w:rsidRPr="004F1922">
        <w:t xml:space="preserve">QQ plot for </w:t>
      </w:r>
      <w:r w:rsidR="00AB1258">
        <w:t xml:space="preserve">green/hazel </w:t>
      </w:r>
      <w:r w:rsidR="007144E4">
        <w:t xml:space="preserve">eye color </w:t>
      </w:r>
      <w:r w:rsidR="00C66291" w:rsidRPr="004F1922">
        <w:t>(MAF &gt; 0.01</w:t>
      </w:r>
      <w:r w:rsidR="00CD0B4A">
        <w:rPr>
          <w:rFonts w:hint="eastAsia"/>
          <w:lang w:eastAsia="zh-CN"/>
        </w:rPr>
        <w:t>,</w:t>
      </w:r>
      <w:r w:rsidR="00CD0B4A" w:rsidRPr="00CD0B4A">
        <w:t xml:space="preserve"> </w:t>
      </w:r>
      <w:r w:rsidR="00CD0B4A" w:rsidRPr="004F1922">
        <w:t>λ = 1.02163</w:t>
      </w:r>
      <w:r w:rsidR="007144E4">
        <w:t>).</w:t>
      </w:r>
    </w:p>
    <w:p w:rsidR="00C66291" w:rsidRPr="004F1922" w:rsidRDefault="00CD007F" w:rsidP="005044C2">
      <w:pPr>
        <w:tabs>
          <w:tab w:val="left" w:pos="340"/>
          <w:tab w:val="center" w:pos="456"/>
        </w:tabs>
        <w:spacing w:after="0" w:line="240" w:lineRule="auto"/>
        <w:jc w:val="center"/>
        <w:sectPr w:rsidR="00C66291" w:rsidRPr="004F1922" w:rsidSect="005044C2">
          <w:pgSz w:w="15840" w:h="12240" w:orient="landscape"/>
          <w:pgMar w:top="1440" w:right="1440" w:bottom="1440" w:left="1440" w:header="720" w:footer="720" w:gutter="0"/>
          <w:cols w:space="720"/>
          <w:docGrid w:linePitch="360"/>
        </w:sectPr>
      </w:pPr>
      <w:r>
        <w:rPr>
          <w:noProof/>
          <w:lang w:val="en-AU" w:eastAsia="en-AU"/>
        </w:rPr>
        <w:drawing>
          <wp:inline distT="0" distB="0" distL="0" distR="0">
            <wp:extent cx="8782621" cy="5274994"/>
            <wp:effectExtent l="0" t="0" r="0" b="0"/>
            <wp:docPr id="22" name="Picture 21" descr="gree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2.png"/>
                    <pic:cNvPicPr/>
                  </pic:nvPicPr>
                  <pic:blipFill>
                    <a:blip r:embed="rId6" cstate="print"/>
                    <a:stretch>
                      <a:fillRect/>
                    </a:stretch>
                  </pic:blipFill>
                  <pic:spPr>
                    <a:xfrm>
                      <a:off x="0" y="0"/>
                      <a:ext cx="8785290" cy="5276597"/>
                    </a:xfrm>
                    <a:prstGeom prst="rect">
                      <a:avLst/>
                    </a:prstGeom>
                  </pic:spPr>
                </pic:pic>
              </a:graphicData>
            </a:graphic>
          </wp:inline>
        </w:drawing>
      </w:r>
    </w:p>
    <w:p w:rsidR="005044C2" w:rsidRDefault="00473ED7">
      <w:pPr>
        <w:spacing w:after="0" w:line="240" w:lineRule="auto"/>
        <w:ind w:left="360" w:right="-270" w:hanging="360"/>
        <w:rPr>
          <w:rFonts w:ascii="Calibri" w:hAnsi="Calibri"/>
          <w:noProof/>
          <w:lang w:eastAsia="zh-CN"/>
        </w:rPr>
      </w:pPr>
      <w:bookmarkStart w:id="8" w:name="_GoBack"/>
      <w:r w:rsidRPr="003668C1">
        <w:rPr>
          <w:rFonts w:ascii="Calibri" w:hAnsi="Calibri"/>
          <w:noProof/>
          <w:lang w:val="nl-NL"/>
        </w:rPr>
        <w:t xml:space="preserve">Boomsma, D. I., Willemsen, G., Sullivan, P. F., Heutink, P., Meijer, P., </w:t>
      </w:r>
      <w:r w:rsidR="00E323EB">
        <w:rPr>
          <w:rFonts w:ascii="Calibri" w:hAnsi="Calibri"/>
          <w:noProof/>
          <w:lang w:val="nl-NL"/>
        </w:rPr>
        <w:t xml:space="preserve">&amp; </w:t>
      </w:r>
      <w:r w:rsidRPr="003668C1">
        <w:rPr>
          <w:rFonts w:ascii="Calibri" w:hAnsi="Calibri"/>
          <w:noProof/>
          <w:lang w:val="nl-NL"/>
        </w:rPr>
        <w:t xml:space="preserve">Sondervan, D. (2008). </w:t>
      </w:r>
      <w:r w:rsidRPr="00FF34AD">
        <w:rPr>
          <w:rFonts w:ascii="Calibri" w:hAnsi="Calibri"/>
          <w:noProof/>
        </w:rPr>
        <w:t xml:space="preserve">Genome-wide association of major depression: </w:t>
      </w:r>
      <w:r w:rsidR="00E323EB">
        <w:rPr>
          <w:rFonts w:ascii="Calibri" w:hAnsi="Calibri"/>
          <w:noProof/>
        </w:rPr>
        <w:t>D</w:t>
      </w:r>
      <w:r w:rsidRPr="00FF34AD">
        <w:rPr>
          <w:rFonts w:ascii="Calibri" w:hAnsi="Calibri"/>
          <w:noProof/>
        </w:rPr>
        <w:t xml:space="preserve">escription of samples for the GAIN Major Depressive Disorder Study: NTR and NESDA biobank projects. </w:t>
      </w:r>
      <w:r w:rsidRPr="00FF34AD">
        <w:rPr>
          <w:rFonts w:ascii="Calibri" w:hAnsi="Calibri"/>
          <w:i/>
          <w:noProof/>
        </w:rPr>
        <w:t>Eu</w:t>
      </w:r>
      <w:r w:rsidR="00067C52">
        <w:rPr>
          <w:rFonts w:ascii="Calibri" w:hAnsi="Calibri" w:hint="eastAsia"/>
          <w:i/>
          <w:noProof/>
          <w:lang w:eastAsia="zh-CN"/>
        </w:rPr>
        <w:t>r</w:t>
      </w:r>
      <w:r>
        <w:rPr>
          <w:rFonts w:ascii="Calibri" w:hAnsi="Calibri" w:hint="eastAsia"/>
          <w:i/>
          <w:noProof/>
          <w:lang w:eastAsia="zh-CN"/>
        </w:rPr>
        <w:t>opean</w:t>
      </w:r>
      <w:r w:rsidRPr="00FF34AD">
        <w:rPr>
          <w:rFonts w:ascii="Calibri" w:hAnsi="Calibri"/>
          <w:i/>
          <w:noProof/>
        </w:rPr>
        <w:t xml:space="preserve"> </w:t>
      </w:r>
      <w:r>
        <w:rPr>
          <w:rFonts w:ascii="Calibri" w:hAnsi="Calibri" w:hint="eastAsia"/>
          <w:i/>
          <w:noProof/>
          <w:lang w:eastAsia="zh-CN"/>
        </w:rPr>
        <w:t>Journal of</w:t>
      </w:r>
      <w:r w:rsidRPr="00FF34AD">
        <w:rPr>
          <w:rFonts w:ascii="Calibri" w:hAnsi="Calibri"/>
          <w:i/>
          <w:noProof/>
        </w:rPr>
        <w:t xml:space="preserve"> Hum</w:t>
      </w:r>
      <w:r>
        <w:rPr>
          <w:rFonts w:ascii="Calibri" w:hAnsi="Calibri" w:hint="eastAsia"/>
          <w:i/>
          <w:noProof/>
          <w:lang w:eastAsia="zh-CN"/>
        </w:rPr>
        <w:t xml:space="preserve">an </w:t>
      </w:r>
      <w:r w:rsidRPr="00FF34AD">
        <w:rPr>
          <w:rFonts w:ascii="Calibri" w:hAnsi="Calibri"/>
          <w:i/>
          <w:noProof/>
        </w:rPr>
        <w:t>Genet</w:t>
      </w:r>
      <w:r>
        <w:rPr>
          <w:rFonts w:ascii="Calibri" w:hAnsi="Calibri" w:hint="eastAsia"/>
          <w:i/>
          <w:noProof/>
          <w:lang w:eastAsia="zh-CN"/>
        </w:rPr>
        <w:t>ics</w:t>
      </w:r>
      <w:r w:rsidRPr="00FF34AD">
        <w:rPr>
          <w:rFonts w:ascii="Calibri" w:hAnsi="Calibri"/>
          <w:i/>
          <w:noProof/>
        </w:rPr>
        <w:t>, 16</w:t>
      </w:r>
      <w:r w:rsidRPr="00FF34AD">
        <w:rPr>
          <w:rFonts w:ascii="Calibri" w:hAnsi="Calibri"/>
          <w:noProof/>
        </w:rPr>
        <w:t>, 335</w:t>
      </w:r>
      <w:r w:rsidR="00E323EB">
        <w:rPr>
          <w:noProof/>
          <w:lang w:val="nl-NL"/>
        </w:rPr>
        <w:t>–</w:t>
      </w:r>
      <w:r w:rsidRPr="00FF34AD">
        <w:rPr>
          <w:rFonts w:ascii="Calibri" w:hAnsi="Calibri"/>
          <w:noProof/>
        </w:rPr>
        <w:t xml:space="preserve">342. </w:t>
      </w:r>
    </w:p>
    <w:p w:rsidR="005044C2" w:rsidRDefault="00C66291">
      <w:pPr>
        <w:pStyle w:val="EndNoteBibliography"/>
        <w:spacing w:after="0"/>
        <w:ind w:left="360" w:right="-270" w:hanging="360"/>
        <w:rPr>
          <w:rFonts w:asciiTheme="minorHAnsi" w:hAnsiTheme="minorHAnsi"/>
          <w:noProof/>
        </w:rPr>
      </w:pPr>
      <w:r w:rsidRPr="004F1922">
        <w:rPr>
          <w:rFonts w:asciiTheme="minorHAnsi" w:hAnsiTheme="minorHAnsi"/>
          <w:noProof/>
        </w:rPr>
        <w:t xml:space="preserve">Han, J., Kraft, </w:t>
      </w:r>
      <w:r w:rsidR="00E323EB" w:rsidRPr="004F1922">
        <w:rPr>
          <w:rFonts w:asciiTheme="minorHAnsi" w:hAnsiTheme="minorHAnsi"/>
          <w:noProof/>
        </w:rPr>
        <w:t>P.</w:t>
      </w:r>
      <w:r w:rsidR="00E323EB">
        <w:rPr>
          <w:rFonts w:asciiTheme="minorHAnsi" w:hAnsiTheme="minorHAnsi"/>
          <w:noProof/>
        </w:rPr>
        <w:t>,</w:t>
      </w:r>
      <w:r w:rsidR="00E323EB" w:rsidRPr="004F1922">
        <w:rPr>
          <w:rFonts w:asciiTheme="minorHAnsi" w:hAnsiTheme="minorHAnsi"/>
          <w:noProof/>
        </w:rPr>
        <w:t xml:space="preserve"> </w:t>
      </w:r>
      <w:r w:rsidRPr="004F1922">
        <w:rPr>
          <w:rFonts w:asciiTheme="minorHAnsi" w:hAnsiTheme="minorHAnsi"/>
          <w:noProof/>
        </w:rPr>
        <w:t xml:space="preserve">Nan, </w:t>
      </w:r>
      <w:r w:rsidR="00E323EB" w:rsidRPr="004F1922">
        <w:rPr>
          <w:rFonts w:asciiTheme="minorHAnsi" w:hAnsiTheme="minorHAnsi"/>
          <w:noProof/>
        </w:rPr>
        <w:t>H.</w:t>
      </w:r>
      <w:r w:rsidR="00E323EB">
        <w:rPr>
          <w:rFonts w:asciiTheme="minorHAnsi" w:hAnsiTheme="minorHAnsi"/>
          <w:noProof/>
        </w:rPr>
        <w:t>,</w:t>
      </w:r>
      <w:r w:rsidR="00E323EB" w:rsidRPr="004F1922">
        <w:rPr>
          <w:rFonts w:asciiTheme="minorHAnsi" w:hAnsiTheme="minorHAnsi"/>
          <w:noProof/>
        </w:rPr>
        <w:t xml:space="preserve"> </w:t>
      </w:r>
      <w:r w:rsidRPr="004F1922">
        <w:rPr>
          <w:rFonts w:asciiTheme="minorHAnsi" w:hAnsiTheme="minorHAnsi"/>
          <w:noProof/>
        </w:rPr>
        <w:t>Guo,</w:t>
      </w:r>
      <w:r w:rsidR="00E323EB">
        <w:rPr>
          <w:rFonts w:asciiTheme="minorHAnsi" w:hAnsiTheme="minorHAnsi"/>
          <w:noProof/>
        </w:rPr>
        <w:t xml:space="preserve"> </w:t>
      </w:r>
      <w:r w:rsidR="00E323EB" w:rsidRPr="004F1922">
        <w:rPr>
          <w:rFonts w:asciiTheme="minorHAnsi" w:hAnsiTheme="minorHAnsi"/>
          <w:noProof/>
        </w:rPr>
        <w:t>Q.</w:t>
      </w:r>
      <w:r w:rsidR="00E323EB">
        <w:rPr>
          <w:rFonts w:asciiTheme="minorHAnsi" w:hAnsiTheme="minorHAnsi"/>
          <w:noProof/>
        </w:rPr>
        <w:t>,</w:t>
      </w:r>
      <w:r w:rsidRPr="004F1922">
        <w:rPr>
          <w:rFonts w:asciiTheme="minorHAnsi" w:hAnsiTheme="minorHAnsi"/>
          <w:noProof/>
        </w:rPr>
        <w:t xml:space="preserve"> Chen, </w:t>
      </w:r>
      <w:r w:rsidR="00E323EB" w:rsidRPr="004F1922">
        <w:rPr>
          <w:rFonts w:asciiTheme="minorHAnsi" w:hAnsiTheme="minorHAnsi"/>
          <w:noProof/>
        </w:rPr>
        <w:t>C.</w:t>
      </w:r>
      <w:r w:rsidR="00E323EB">
        <w:rPr>
          <w:rFonts w:asciiTheme="minorHAnsi" w:hAnsiTheme="minorHAnsi"/>
          <w:noProof/>
        </w:rPr>
        <w:t>,</w:t>
      </w:r>
      <w:r w:rsidR="00E323EB" w:rsidRPr="004F1922">
        <w:rPr>
          <w:rFonts w:asciiTheme="minorHAnsi" w:hAnsiTheme="minorHAnsi"/>
          <w:noProof/>
        </w:rPr>
        <w:t xml:space="preserve"> </w:t>
      </w:r>
      <w:r w:rsidRPr="004F1922">
        <w:rPr>
          <w:rFonts w:asciiTheme="minorHAnsi" w:hAnsiTheme="minorHAnsi"/>
          <w:noProof/>
        </w:rPr>
        <w:t>Qureshi,</w:t>
      </w:r>
      <w:r w:rsidR="00E323EB">
        <w:rPr>
          <w:rFonts w:asciiTheme="minorHAnsi" w:hAnsiTheme="minorHAnsi"/>
          <w:noProof/>
        </w:rPr>
        <w:t xml:space="preserve"> </w:t>
      </w:r>
      <w:r w:rsidR="00E323EB" w:rsidRPr="004F1922">
        <w:rPr>
          <w:rFonts w:asciiTheme="minorHAnsi" w:hAnsiTheme="minorHAnsi"/>
          <w:noProof/>
        </w:rPr>
        <w:t>A</w:t>
      </w:r>
      <w:r w:rsidR="00E323EB">
        <w:rPr>
          <w:rFonts w:asciiTheme="minorHAnsi" w:hAnsiTheme="minorHAnsi"/>
          <w:noProof/>
        </w:rPr>
        <w:t xml:space="preserve">., … </w:t>
      </w:r>
      <w:r w:rsidRPr="004F1922">
        <w:rPr>
          <w:rFonts w:asciiTheme="minorHAnsi" w:hAnsiTheme="minorHAnsi"/>
          <w:noProof/>
        </w:rPr>
        <w:t>Hunter</w:t>
      </w:r>
      <w:r w:rsidR="00E323EB">
        <w:rPr>
          <w:rFonts w:asciiTheme="minorHAnsi" w:hAnsiTheme="minorHAnsi"/>
          <w:noProof/>
        </w:rPr>
        <w:t>, D. J</w:t>
      </w:r>
      <w:r w:rsidRPr="004F1922">
        <w:rPr>
          <w:rFonts w:asciiTheme="minorHAnsi" w:hAnsiTheme="minorHAnsi"/>
          <w:noProof/>
        </w:rPr>
        <w:t xml:space="preserve">. (2008). A genome-wide association study identifies novel alleles associated with hair color and skin pigmentation. </w:t>
      </w:r>
      <w:r w:rsidRPr="004F1922">
        <w:rPr>
          <w:rFonts w:asciiTheme="minorHAnsi" w:hAnsiTheme="minorHAnsi"/>
          <w:i/>
          <w:noProof/>
        </w:rPr>
        <w:t>Plos Genetics, 4</w:t>
      </w:r>
      <w:r w:rsidRPr="004F1922">
        <w:rPr>
          <w:rFonts w:asciiTheme="minorHAnsi" w:hAnsiTheme="minorHAnsi"/>
          <w:noProof/>
        </w:rPr>
        <w:t>, e1000074.</w:t>
      </w:r>
    </w:p>
    <w:p w:rsidR="005044C2" w:rsidRDefault="00C66291">
      <w:pPr>
        <w:pStyle w:val="EndNoteBibliography"/>
        <w:spacing w:after="0"/>
        <w:ind w:left="360" w:right="-270" w:hanging="360"/>
        <w:rPr>
          <w:rFonts w:asciiTheme="minorHAnsi" w:hAnsiTheme="minorHAnsi"/>
          <w:noProof/>
          <w:lang w:val="nl-NL"/>
        </w:rPr>
      </w:pPr>
      <w:r w:rsidRPr="004F1922">
        <w:rPr>
          <w:rFonts w:asciiTheme="minorHAnsi" w:hAnsiTheme="minorHAnsi"/>
          <w:noProof/>
        </w:rPr>
        <w:t xml:space="preserve">Howie, B., Fuchsberger, C., Stephens, M., Marchini, J., &amp; Abecasis, G. R. (2012). Fast and accurate genotype imputation in genome-wide association studies through pre-phasing. </w:t>
      </w:r>
      <w:r w:rsidRPr="004F1922">
        <w:rPr>
          <w:rFonts w:asciiTheme="minorHAnsi" w:hAnsiTheme="minorHAnsi"/>
          <w:i/>
          <w:noProof/>
          <w:lang w:val="nl-NL"/>
        </w:rPr>
        <w:t>Nature Genetics, 44</w:t>
      </w:r>
      <w:r w:rsidRPr="004F1922">
        <w:rPr>
          <w:rFonts w:asciiTheme="minorHAnsi" w:hAnsiTheme="minorHAnsi"/>
          <w:noProof/>
          <w:lang w:val="nl-NL"/>
        </w:rPr>
        <w:t xml:space="preserve">, 955-959. </w:t>
      </w:r>
    </w:p>
    <w:p w:rsidR="005044C2" w:rsidRDefault="00C66291">
      <w:pPr>
        <w:pStyle w:val="EndNoteBibliography"/>
        <w:spacing w:after="0"/>
        <w:ind w:left="360" w:right="-270" w:hanging="360"/>
        <w:rPr>
          <w:rFonts w:asciiTheme="minorHAnsi" w:hAnsiTheme="minorHAnsi"/>
          <w:noProof/>
        </w:rPr>
      </w:pPr>
      <w:r w:rsidRPr="004F1922">
        <w:rPr>
          <w:rFonts w:asciiTheme="minorHAnsi" w:hAnsiTheme="minorHAnsi"/>
          <w:noProof/>
          <w:lang w:val="nl-NL"/>
        </w:rPr>
        <w:t>Kayser, M., Liu</w:t>
      </w:r>
      <w:r w:rsidR="005044C2">
        <w:rPr>
          <w:rFonts w:asciiTheme="minorHAnsi" w:hAnsiTheme="minorHAnsi"/>
          <w:noProof/>
          <w:lang w:val="nl-NL"/>
        </w:rPr>
        <w:t>, F.</w:t>
      </w:r>
      <w:r w:rsidRPr="004F1922">
        <w:rPr>
          <w:rFonts w:asciiTheme="minorHAnsi" w:hAnsiTheme="minorHAnsi"/>
          <w:noProof/>
          <w:lang w:val="nl-NL"/>
        </w:rPr>
        <w:t>, Janssens,</w:t>
      </w:r>
      <w:r w:rsidR="005044C2">
        <w:rPr>
          <w:rFonts w:asciiTheme="minorHAnsi" w:hAnsiTheme="minorHAnsi"/>
          <w:noProof/>
          <w:lang w:val="nl-NL"/>
        </w:rPr>
        <w:t xml:space="preserve"> </w:t>
      </w:r>
      <w:r w:rsidR="005044C2" w:rsidRPr="004F1922">
        <w:rPr>
          <w:rFonts w:asciiTheme="minorHAnsi" w:hAnsiTheme="minorHAnsi"/>
          <w:noProof/>
          <w:lang w:val="nl-NL"/>
        </w:rPr>
        <w:t>A. C.</w:t>
      </w:r>
      <w:r w:rsidR="005044C2">
        <w:rPr>
          <w:rFonts w:asciiTheme="minorHAnsi" w:hAnsiTheme="minorHAnsi"/>
          <w:noProof/>
          <w:lang w:val="nl-NL"/>
        </w:rPr>
        <w:t>,</w:t>
      </w:r>
      <w:r w:rsidRPr="004F1922">
        <w:rPr>
          <w:rFonts w:asciiTheme="minorHAnsi" w:hAnsiTheme="minorHAnsi"/>
          <w:noProof/>
          <w:lang w:val="nl-NL"/>
        </w:rPr>
        <w:t xml:space="preserve"> Rivadeneira, </w:t>
      </w:r>
      <w:r w:rsidR="005044C2" w:rsidRPr="004F1922">
        <w:rPr>
          <w:rFonts w:asciiTheme="minorHAnsi" w:hAnsiTheme="minorHAnsi"/>
          <w:noProof/>
          <w:lang w:val="nl-NL"/>
        </w:rPr>
        <w:t>F.</w:t>
      </w:r>
      <w:r w:rsidR="005044C2">
        <w:rPr>
          <w:rFonts w:asciiTheme="minorHAnsi" w:hAnsiTheme="minorHAnsi"/>
          <w:noProof/>
          <w:lang w:val="nl-NL"/>
        </w:rPr>
        <w:t>,</w:t>
      </w:r>
      <w:r w:rsidR="005044C2" w:rsidRPr="004F1922">
        <w:rPr>
          <w:rFonts w:asciiTheme="minorHAnsi" w:hAnsiTheme="minorHAnsi"/>
          <w:noProof/>
          <w:lang w:val="nl-NL"/>
        </w:rPr>
        <w:t xml:space="preserve"> </w:t>
      </w:r>
      <w:r w:rsidRPr="004F1922">
        <w:rPr>
          <w:rFonts w:asciiTheme="minorHAnsi" w:hAnsiTheme="minorHAnsi"/>
          <w:noProof/>
          <w:lang w:val="nl-NL"/>
        </w:rPr>
        <w:t xml:space="preserve">Lao, </w:t>
      </w:r>
      <w:r w:rsidR="005044C2" w:rsidRPr="004F1922">
        <w:rPr>
          <w:rFonts w:asciiTheme="minorHAnsi" w:hAnsiTheme="minorHAnsi"/>
          <w:noProof/>
          <w:lang w:val="nl-NL"/>
        </w:rPr>
        <w:t>O.</w:t>
      </w:r>
      <w:r w:rsidR="005044C2">
        <w:rPr>
          <w:rFonts w:asciiTheme="minorHAnsi" w:hAnsiTheme="minorHAnsi"/>
          <w:noProof/>
          <w:lang w:val="nl-NL"/>
        </w:rPr>
        <w:t>,</w:t>
      </w:r>
      <w:r w:rsidR="005044C2" w:rsidRPr="004F1922">
        <w:rPr>
          <w:rFonts w:asciiTheme="minorHAnsi" w:hAnsiTheme="minorHAnsi"/>
          <w:noProof/>
          <w:lang w:val="nl-NL"/>
        </w:rPr>
        <w:t xml:space="preserve"> </w:t>
      </w:r>
      <w:r w:rsidRPr="004F1922">
        <w:rPr>
          <w:rFonts w:asciiTheme="minorHAnsi" w:hAnsiTheme="minorHAnsi"/>
          <w:noProof/>
          <w:lang w:val="nl-NL"/>
        </w:rPr>
        <w:t>van Duijn,</w:t>
      </w:r>
      <w:r w:rsidR="005044C2">
        <w:rPr>
          <w:rFonts w:asciiTheme="minorHAnsi" w:hAnsiTheme="minorHAnsi"/>
          <w:noProof/>
          <w:lang w:val="nl-NL"/>
        </w:rPr>
        <w:t xml:space="preserve"> </w:t>
      </w:r>
      <w:r w:rsidR="005044C2" w:rsidRPr="004F1922">
        <w:rPr>
          <w:rFonts w:asciiTheme="minorHAnsi" w:hAnsiTheme="minorHAnsi"/>
          <w:noProof/>
          <w:lang w:val="nl-NL"/>
        </w:rPr>
        <w:t>K.</w:t>
      </w:r>
      <w:r w:rsidR="005044C2">
        <w:rPr>
          <w:rFonts w:asciiTheme="minorHAnsi" w:hAnsiTheme="minorHAnsi"/>
          <w:noProof/>
          <w:lang w:val="nl-NL"/>
        </w:rPr>
        <w:t>,</w:t>
      </w:r>
      <w:r w:rsidRPr="004F1922">
        <w:rPr>
          <w:rFonts w:asciiTheme="minorHAnsi" w:hAnsiTheme="minorHAnsi"/>
          <w:noProof/>
          <w:lang w:val="nl-NL"/>
        </w:rPr>
        <w:t xml:space="preserve"> </w:t>
      </w:r>
      <w:r w:rsidR="005044C2">
        <w:rPr>
          <w:rFonts w:asciiTheme="minorHAnsi" w:hAnsiTheme="minorHAnsi"/>
          <w:noProof/>
          <w:lang w:val="nl-NL"/>
        </w:rPr>
        <w:t>…</w:t>
      </w:r>
      <w:r w:rsidRPr="004F1922">
        <w:rPr>
          <w:rFonts w:asciiTheme="minorHAnsi" w:hAnsiTheme="minorHAnsi"/>
          <w:noProof/>
          <w:lang w:val="nl-NL"/>
        </w:rPr>
        <w:t xml:space="preserve"> van Duijn</w:t>
      </w:r>
      <w:r w:rsidR="005044C2">
        <w:rPr>
          <w:rFonts w:asciiTheme="minorHAnsi" w:hAnsiTheme="minorHAnsi"/>
          <w:noProof/>
          <w:lang w:val="nl-NL"/>
        </w:rPr>
        <w:t>, C. M</w:t>
      </w:r>
      <w:r w:rsidRPr="004F1922">
        <w:rPr>
          <w:rFonts w:asciiTheme="minorHAnsi" w:hAnsiTheme="minorHAnsi"/>
          <w:noProof/>
          <w:lang w:val="nl-NL"/>
        </w:rPr>
        <w:t xml:space="preserve">. </w:t>
      </w:r>
      <w:r w:rsidRPr="004F1922">
        <w:rPr>
          <w:rFonts w:asciiTheme="minorHAnsi" w:hAnsiTheme="minorHAnsi"/>
          <w:noProof/>
        </w:rPr>
        <w:t xml:space="preserve">(2008). Three genome-wide association studies and a linkage analysis identify HERC2 as a human iris color gene. </w:t>
      </w:r>
      <w:r w:rsidRPr="004F1922">
        <w:rPr>
          <w:rFonts w:asciiTheme="minorHAnsi" w:hAnsiTheme="minorHAnsi"/>
          <w:i/>
          <w:noProof/>
        </w:rPr>
        <w:t>American Journal of Human Genetics, 82</w:t>
      </w:r>
      <w:r w:rsidRPr="004F1922">
        <w:rPr>
          <w:rFonts w:asciiTheme="minorHAnsi" w:hAnsiTheme="minorHAnsi"/>
          <w:noProof/>
        </w:rPr>
        <w:t>, 411</w:t>
      </w:r>
      <w:r w:rsidR="00E323EB">
        <w:rPr>
          <w:rFonts w:asciiTheme="minorHAnsi" w:hAnsiTheme="minorHAnsi"/>
          <w:noProof/>
          <w:lang w:val="nl-NL"/>
        </w:rPr>
        <w:t>–</w:t>
      </w:r>
      <w:r w:rsidRPr="004F1922">
        <w:rPr>
          <w:rFonts w:asciiTheme="minorHAnsi" w:hAnsiTheme="minorHAnsi"/>
          <w:noProof/>
        </w:rPr>
        <w:t xml:space="preserve">423. </w:t>
      </w:r>
    </w:p>
    <w:p w:rsidR="005044C2" w:rsidRDefault="00C66291">
      <w:pPr>
        <w:pStyle w:val="EndNoteBibliography"/>
        <w:spacing w:after="0"/>
        <w:ind w:left="360" w:right="-270" w:hanging="360"/>
        <w:rPr>
          <w:rFonts w:asciiTheme="minorHAnsi" w:hAnsiTheme="minorHAnsi"/>
          <w:noProof/>
        </w:rPr>
      </w:pPr>
      <w:r w:rsidRPr="004F1922">
        <w:rPr>
          <w:rFonts w:asciiTheme="minorHAnsi" w:hAnsiTheme="minorHAnsi"/>
          <w:noProof/>
        </w:rPr>
        <w:t xml:space="preserve">Li, Y., Willer, C. J., Ding, J., Scheet, P., &amp; Abecasis, G. R. (2010). MaCH: </w:t>
      </w:r>
      <w:r w:rsidR="00E323EB">
        <w:rPr>
          <w:rFonts w:asciiTheme="minorHAnsi" w:hAnsiTheme="minorHAnsi"/>
          <w:noProof/>
        </w:rPr>
        <w:t>U</w:t>
      </w:r>
      <w:r w:rsidRPr="004F1922">
        <w:rPr>
          <w:rFonts w:asciiTheme="minorHAnsi" w:hAnsiTheme="minorHAnsi"/>
          <w:noProof/>
        </w:rPr>
        <w:t xml:space="preserve">sing sequence and genotype data to estimate haplotypes and unobserved genotypes. </w:t>
      </w:r>
      <w:r w:rsidR="00067C52" w:rsidRPr="00CE76F5">
        <w:rPr>
          <w:rFonts w:asciiTheme="minorHAnsi" w:hAnsiTheme="minorHAnsi"/>
          <w:i/>
          <w:noProof/>
        </w:rPr>
        <w:t>Genetic Epidemiology</w:t>
      </w:r>
      <w:r w:rsidRPr="00CE76F5">
        <w:rPr>
          <w:rFonts w:asciiTheme="minorHAnsi" w:hAnsiTheme="minorHAnsi"/>
          <w:i/>
          <w:noProof/>
        </w:rPr>
        <w:t>, 34</w:t>
      </w:r>
      <w:r w:rsidRPr="00CE76F5">
        <w:rPr>
          <w:rFonts w:asciiTheme="minorHAnsi" w:hAnsiTheme="minorHAnsi"/>
          <w:noProof/>
        </w:rPr>
        <w:t>, 816</w:t>
      </w:r>
      <w:r w:rsidR="00E323EB">
        <w:rPr>
          <w:rFonts w:asciiTheme="minorHAnsi" w:hAnsiTheme="minorHAnsi"/>
          <w:noProof/>
          <w:lang w:val="nl-NL"/>
        </w:rPr>
        <w:t>–</w:t>
      </w:r>
      <w:r w:rsidRPr="00CE76F5">
        <w:rPr>
          <w:rFonts w:asciiTheme="minorHAnsi" w:hAnsiTheme="minorHAnsi"/>
          <w:noProof/>
        </w:rPr>
        <w:t xml:space="preserve">834. </w:t>
      </w:r>
    </w:p>
    <w:p w:rsidR="005044C2" w:rsidRDefault="00C721DA">
      <w:pPr>
        <w:pStyle w:val="EndNoteBibliography"/>
        <w:spacing w:after="0"/>
        <w:ind w:left="360" w:right="-270" w:hanging="360"/>
        <w:rPr>
          <w:rFonts w:asciiTheme="minorHAnsi" w:hAnsiTheme="minorHAnsi"/>
          <w:noProof/>
        </w:rPr>
      </w:pPr>
      <w:r w:rsidRPr="00CE76F5">
        <w:rPr>
          <w:rFonts w:asciiTheme="minorHAnsi" w:hAnsiTheme="minorHAnsi"/>
          <w:noProof/>
        </w:rPr>
        <w:t>L</w:t>
      </w:r>
      <w:r w:rsidR="00C66291" w:rsidRPr="00CE76F5">
        <w:rPr>
          <w:rFonts w:asciiTheme="minorHAnsi" w:hAnsiTheme="minorHAnsi"/>
          <w:noProof/>
        </w:rPr>
        <w:t xml:space="preserve">in, B. D., Mbarek, </w:t>
      </w:r>
      <w:r w:rsidR="005044C2">
        <w:rPr>
          <w:rFonts w:asciiTheme="minorHAnsi" w:hAnsiTheme="minorHAnsi"/>
          <w:noProof/>
        </w:rPr>
        <w:t xml:space="preserve">H., </w:t>
      </w:r>
      <w:r w:rsidR="00C66291" w:rsidRPr="00CE76F5">
        <w:rPr>
          <w:rFonts w:asciiTheme="minorHAnsi" w:hAnsiTheme="minorHAnsi"/>
          <w:noProof/>
        </w:rPr>
        <w:t xml:space="preserve">Willemsen, </w:t>
      </w:r>
      <w:r w:rsidR="005044C2">
        <w:rPr>
          <w:rFonts w:asciiTheme="minorHAnsi" w:hAnsiTheme="minorHAnsi"/>
          <w:noProof/>
        </w:rPr>
        <w:t xml:space="preserve">G., </w:t>
      </w:r>
      <w:r w:rsidR="00C66291" w:rsidRPr="00CE76F5">
        <w:rPr>
          <w:rFonts w:asciiTheme="minorHAnsi" w:hAnsiTheme="minorHAnsi"/>
          <w:noProof/>
        </w:rPr>
        <w:t xml:space="preserve">Dolan, </w:t>
      </w:r>
      <w:r w:rsidR="005044C2" w:rsidRPr="00CE76F5">
        <w:rPr>
          <w:rFonts w:asciiTheme="minorHAnsi" w:hAnsiTheme="minorHAnsi"/>
          <w:noProof/>
        </w:rPr>
        <w:t>C. V.</w:t>
      </w:r>
      <w:r w:rsidR="005044C2">
        <w:rPr>
          <w:rFonts w:asciiTheme="minorHAnsi" w:hAnsiTheme="minorHAnsi"/>
          <w:noProof/>
        </w:rPr>
        <w:t>,</w:t>
      </w:r>
      <w:r w:rsidR="005044C2" w:rsidRPr="00CE76F5">
        <w:rPr>
          <w:rFonts w:asciiTheme="minorHAnsi" w:hAnsiTheme="minorHAnsi"/>
          <w:noProof/>
        </w:rPr>
        <w:t xml:space="preserve"> </w:t>
      </w:r>
      <w:r w:rsidR="00C66291" w:rsidRPr="00CE76F5">
        <w:rPr>
          <w:rFonts w:asciiTheme="minorHAnsi" w:hAnsiTheme="minorHAnsi"/>
          <w:noProof/>
        </w:rPr>
        <w:t xml:space="preserve">Fedko, </w:t>
      </w:r>
      <w:r w:rsidR="005044C2" w:rsidRPr="00CE76F5">
        <w:rPr>
          <w:rFonts w:asciiTheme="minorHAnsi" w:hAnsiTheme="minorHAnsi"/>
          <w:noProof/>
        </w:rPr>
        <w:t>I. O.</w:t>
      </w:r>
      <w:r w:rsidR="005044C2">
        <w:rPr>
          <w:rFonts w:asciiTheme="minorHAnsi" w:hAnsiTheme="minorHAnsi"/>
          <w:noProof/>
        </w:rPr>
        <w:t>,</w:t>
      </w:r>
      <w:r w:rsidR="005044C2" w:rsidRPr="00CE76F5">
        <w:rPr>
          <w:rFonts w:asciiTheme="minorHAnsi" w:hAnsiTheme="minorHAnsi"/>
          <w:noProof/>
        </w:rPr>
        <w:t xml:space="preserve"> </w:t>
      </w:r>
      <w:r w:rsidR="00C66291" w:rsidRPr="00CE76F5">
        <w:rPr>
          <w:rFonts w:asciiTheme="minorHAnsi" w:hAnsiTheme="minorHAnsi"/>
          <w:noProof/>
        </w:rPr>
        <w:t>Abdellaoui,</w:t>
      </w:r>
      <w:r w:rsidR="005044C2">
        <w:rPr>
          <w:rFonts w:asciiTheme="minorHAnsi" w:hAnsiTheme="minorHAnsi"/>
          <w:noProof/>
        </w:rPr>
        <w:t xml:space="preserve"> </w:t>
      </w:r>
      <w:r w:rsidR="005044C2" w:rsidRPr="00CE76F5">
        <w:rPr>
          <w:rFonts w:asciiTheme="minorHAnsi" w:hAnsiTheme="minorHAnsi"/>
          <w:noProof/>
        </w:rPr>
        <w:t>A.</w:t>
      </w:r>
      <w:r w:rsidR="00E323EB">
        <w:rPr>
          <w:rFonts w:asciiTheme="minorHAnsi" w:hAnsiTheme="minorHAnsi"/>
          <w:noProof/>
        </w:rPr>
        <w:t>,</w:t>
      </w:r>
      <w:r w:rsidR="00C66291" w:rsidRPr="00CE76F5">
        <w:rPr>
          <w:rFonts w:asciiTheme="minorHAnsi" w:hAnsiTheme="minorHAnsi"/>
          <w:noProof/>
        </w:rPr>
        <w:t xml:space="preserve"> </w:t>
      </w:r>
      <w:r w:rsidR="005044C2">
        <w:rPr>
          <w:rFonts w:asciiTheme="minorHAnsi" w:hAnsiTheme="minorHAnsi"/>
          <w:noProof/>
        </w:rPr>
        <w:t>…</w:t>
      </w:r>
      <w:r w:rsidR="00C66291" w:rsidRPr="00CE76F5">
        <w:rPr>
          <w:rFonts w:asciiTheme="minorHAnsi" w:hAnsiTheme="minorHAnsi"/>
          <w:noProof/>
        </w:rPr>
        <w:t xml:space="preserve"> Hottenga</w:t>
      </w:r>
      <w:r w:rsidR="005044C2">
        <w:rPr>
          <w:rFonts w:asciiTheme="minorHAnsi" w:hAnsiTheme="minorHAnsi"/>
          <w:noProof/>
        </w:rPr>
        <w:t>, J. J</w:t>
      </w:r>
      <w:r w:rsidR="00C66291" w:rsidRPr="00CE76F5">
        <w:rPr>
          <w:rFonts w:asciiTheme="minorHAnsi" w:hAnsiTheme="minorHAnsi"/>
          <w:noProof/>
        </w:rPr>
        <w:t xml:space="preserve">. </w:t>
      </w:r>
      <w:r w:rsidR="00C66291" w:rsidRPr="004F1922">
        <w:rPr>
          <w:rFonts w:asciiTheme="minorHAnsi" w:hAnsiTheme="minorHAnsi"/>
          <w:noProof/>
        </w:rPr>
        <w:t xml:space="preserve">(2015). Heritability and </w:t>
      </w:r>
      <w:r w:rsidR="005044C2" w:rsidRPr="004F1922">
        <w:rPr>
          <w:rFonts w:asciiTheme="minorHAnsi" w:hAnsiTheme="minorHAnsi"/>
          <w:noProof/>
        </w:rPr>
        <w:t xml:space="preserve">genome-wide association studies for hair color in </w:t>
      </w:r>
      <w:r w:rsidR="00C66291" w:rsidRPr="004F1922">
        <w:rPr>
          <w:rFonts w:asciiTheme="minorHAnsi" w:hAnsiTheme="minorHAnsi"/>
          <w:noProof/>
        </w:rPr>
        <w:t xml:space="preserve">a Dutch </w:t>
      </w:r>
      <w:r w:rsidR="005044C2" w:rsidRPr="004F1922">
        <w:rPr>
          <w:rFonts w:asciiTheme="minorHAnsi" w:hAnsiTheme="minorHAnsi"/>
          <w:noProof/>
        </w:rPr>
        <w:t xml:space="preserve">twin family based sample. </w:t>
      </w:r>
      <w:r w:rsidR="00C66291" w:rsidRPr="004F1922">
        <w:rPr>
          <w:rFonts w:asciiTheme="minorHAnsi" w:hAnsiTheme="minorHAnsi"/>
          <w:i/>
          <w:noProof/>
        </w:rPr>
        <w:t>Genes, 6</w:t>
      </w:r>
      <w:r w:rsidR="00C66291" w:rsidRPr="004F1922">
        <w:rPr>
          <w:rFonts w:asciiTheme="minorHAnsi" w:hAnsiTheme="minorHAnsi"/>
          <w:noProof/>
        </w:rPr>
        <w:t>, 559</w:t>
      </w:r>
      <w:r w:rsidR="00E323EB">
        <w:rPr>
          <w:rFonts w:asciiTheme="minorHAnsi" w:hAnsiTheme="minorHAnsi"/>
          <w:noProof/>
          <w:lang w:val="nl-NL"/>
        </w:rPr>
        <w:t>–</w:t>
      </w:r>
      <w:r w:rsidR="00C66291" w:rsidRPr="004F1922">
        <w:rPr>
          <w:rFonts w:asciiTheme="minorHAnsi" w:hAnsiTheme="minorHAnsi"/>
          <w:noProof/>
        </w:rPr>
        <w:t xml:space="preserve">576. </w:t>
      </w:r>
    </w:p>
    <w:p w:rsidR="005044C2" w:rsidRDefault="00C66291">
      <w:pPr>
        <w:pStyle w:val="EndNoteBibliography"/>
        <w:spacing w:after="0"/>
        <w:ind w:left="360" w:right="-270" w:hanging="360"/>
        <w:rPr>
          <w:rFonts w:asciiTheme="minorHAnsi" w:hAnsiTheme="minorHAnsi"/>
          <w:noProof/>
        </w:rPr>
      </w:pPr>
      <w:r w:rsidRPr="004F1922">
        <w:rPr>
          <w:rFonts w:asciiTheme="minorHAnsi" w:hAnsiTheme="minorHAnsi"/>
          <w:noProof/>
        </w:rPr>
        <w:t xml:space="preserve">Liu, E. Y., Li, M., Wang, W., &amp; Li, Y. (2013). MaCH-admix: </w:t>
      </w:r>
      <w:r w:rsidR="005044C2">
        <w:rPr>
          <w:rFonts w:asciiTheme="minorHAnsi" w:hAnsiTheme="minorHAnsi"/>
          <w:noProof/>
        </w:rPr>
        <w:t>G</w:t>
      </w:r>
      <w:r w:rsidRPr="004F1922">
        <w:rPr>
          <w:rFonts w:asciiTheme="minorHAnsi" w:hAnsiTheme="minorHAnsi"/>
          <w:noProof/>
        </w:rPr>
        <w:t xml:space="preserve">enotype imputation for admixed populations. </w:t>
      </w:r>
      <w:r w:rsidR="00067C52" w:rsidRPr="00CE76F5">
        <w:rPr>
          <w:rFonts w:asciiTheme="minorHAnsi" w:hAnsiTheme="minorHAnsi"/>
          <w:i/>
          <w:noProof/>
        </w:rPr>
        <w:t>Genetic Epidemiology</w:t>
      </w:r>
      <w:r w:rsidRPr="004F1922">
        <w:rPr>
          <w:rFonts w:asciiTheme="minorHAnsi" w:hAnsiTheme="minorHAnsi"/>
          <w:i/>
          <w:noProof/>
        </w:rPr>
        <w:t>, 37</w:t>
      </w:r>
      <w:r w:rsidRPr="004F1922">
        <w:rPr>
          <w:rFonts w:asciiTheme="minorHAnsi" w:hAnsiTheme="minorHAnsi"/>
          <w:noProof/>
        </w:rPr>
        <w:t>, 25</w:t>
      </w:r>
      <w:r w:rsidR="00E323EB">
        <w:rPr>
          <w:rFonts w:asciiTheme="minorHAnsi" w:hAnsiTheme="minorHAnsi"/>
          <w:noProof/>
          <w:lang w:val="nl-NL"/>
        </w:rPr>
        <w:t>–</w:t>
      </w:r>
      <w:r w:rsidRPr="004F1922">
        <w:rPr>
          <w:rFonts w:asciiTheme="minorHAnsi" w:hAnsiTheme="minorHAnsi"/>
          <w:noProof/>
        </w:rPr>
        <w:t xml:space="preserve">37. </w:t>
      </w:r>
    </w:p>
    <w:p w:rsidR="005044C2" w:rsidRDefault="00C66291">
      <w:pPr>
        <w:pStyle w:val="EndNoteBibliography"/>
        <w:spacing w:after="0"/>
        <w:ind w:left="360" w:right="-270" w:hanging="360"/>
        <w:rPr>
          <w:rFonts w:asciiTheme="minorHAnsi" w:hAnsiTheme="minorHAnsi"/>
          <w:noProof/>
        </w:rPr>
      </w:pPr>
      <w:r w:rsidRPr="004F1922">
        <w:rPr>
          <w:rFonts w:asciiTheme="minorHAnsi" w:hAnsiTheme="minorHAnsi"/>
          <w:noProof/>
        </w:rPr>
        <w:t xml:space="preserve">Liu, J., Choy, </w:t>
      </w:r>
      <w:r w:rsidR="005044C2" w:rsidRPr="004F1922">
        <w:rPr>
          <w:rFonts w:asciiTheme="minorHAnsi" w:hAnsiTheme="minorHAnsi"/>
          <w:noProof/>
        </w:rPr>
        <w:t>K. W.</w:t>
      </w:r>
      <w:r w:rsidR="005044C2">
        <w:rPr>
          <w:rFonts w:asciiTheme="minorHAnsi" w:hAnsiTheme="minorHAnsi"/>
          <w:noProof/>
        </w:rPr>
        <w:t>,</w:t>
      </w:r>
      <w:r w:rsidR="005044C2" w:rsidRPr="004F1922">
        <w:rPr>
          <w:rFonts w:asciiTheme="minorHAnsi" w:hAnsiTheme="minorHAnsi"/>
          <w:noProof/>
        </w:rPr>
        <w:t xml:space="preserve"> </w:t>
      </w:r>
      <w:r w:rsidRPr="004F1922">
        <w:rPr>
          <w:rFonts w:asciiTheme="minorHAnsi" w:hAnsiTheme="minorHAnsi"/>
          <w:noProof/>
        </w:rPr>
        <w:t xml:space="preserve">Chan, </w:t>
      </w:r>
      <w:r w:rsidR="005044C2" w:rsidRPr="004F1922">
        <w:rPr>
          <w:rFonts w:asciiTheme="minorHAnsi" w:hAnsiTheme="minorHAnsi"/>
          <w:noProof/>
        </w:rPr>
        <w:t>L. W. L.</w:t>
      </w:r>
      <w:r w:rsidR="005044C2">
        <w:rPr>
          <w:rFonts w:asciiTheme="minorHAnsi" w:hAnsiTheme="minorHAnsi"/>
          <w:noProof/>
        </w:rPr>
        <w:t xml:space="preserve">, </w:t>
      </w:r>
      <w:r w:rsidRPr="004F1922">
        <w:rPr>
          <w:rFonts w:asciiTheme="minorHAnsi" w:hAnsiTheme="minorHAnsi"/>
          <w:noProof/>
        </w:rPr>
        <w:t xml:space="preserve">Leung, </w:t>
      </w:r>
      <w:r w:rsidR="005044C2" w:rsidRPr="004F1922">
        <w:rPr>
          <w:rFonts w:asciiTheme="minorHAnsi" w:hAnsiTheme="minorHAnsi"/>
          <w:noProof/>
        </w:rPr>
        <w:t>T. Y.</w:t>
      </w:r>
      <w:r w:rsidR="005044C2">
        <w:rPr>
          <w:rFonts w:asciiTheme="minorHAnsi" w:hAnsiTheme="minorHAnsi"/>
          <w:noProof/>
        </w:rPr>
        <w:t>,</w:t>
      </w:r>
      <w:r w:rsidR="005044C2" w:rsidRPr="004F1922">
        <w:rPr>
          <w:rFonts w:asciiTheme="minorHAnsi" w:hAnsiTheme="minorHAnsi"/>
          <w:noProof/>
        </w:rPr>
        <w:t xml:space="preserve"> </w:t>
      </w:r>
      <w:r w:rsidRPr="004F1922">
        <w:rPr>
          <w:rFonts w:asciiTheme="minorHAnsi" w:hAnsiTheme="minorHAnsi"/>
          <w:noProof/>
        </w:rPr>
        <w:t>Tam,</w:t>
      </w:r>
      <w:r w:rsidR="005044C2" w:rsidRPr="005044C2">
        <w:rPr>
          <w:rFonts w:asciiTheme="minorHAnsi" w:hAnsiTheme="minorHAnsi"/>
          <w:noProof/>
        </w:rPr>
        <w:t xml:space="preserve"> </w:t>
      </w:r>
      <w:r w:rsidR="005044C2" w:rsidRPr="004F1922">
        <w:rPr>
          <w:rFonts w:asciiTheme="minorHAnsi" w:hAnsiTheme="minorHAnsi"/>
          <w:noProof/>
        </w:rPr>
        <w:t>P. O. S.</w:t>
      </w:r>
      <w:r w:rsidR="005044C2">
        <w:rPr>
          <w:rFonts w:asciiTheme="minorHAnsi" w:hAnsiTheme="minorHAnsi"/>
          <w:noProof/>
        </w:rPr>
        <w:t>,</w:t>
      </w:r>
      <w:r w:rsidRPr="004F1922">
        <w:rPr>
          <w:rFonts w:asciiTheme="minorHAnsi" w:hAnsiTheme="minorHAnsi"/>
          <w:noProof/>
        </w:rPr>
        <w:t xml:space="preserve"> S. </w:t>
      </w:r>
      <w:r w:rsidR="005044C2">
        <w:rPr>
          <w:rFonts w:asciiTheme="minorHAnsi" w:hAnsiTheme="minorHAnsi"/>
          <w:noProof/>
        </w:rPr>
        <w:t xml:space="preserve">… </w:t>
      </w:r>
      <w:r w:rsidRPr="004F1922">
        <w:rPr>
          <w:rFonts w:asciiTheme="minorHAnsi" w:hAnsiTheme="minorHAnsi"/>
          <w:noProof/>
        </w:rPr>
        <w:t>Lai</w:t>
      </w:r>
      <w:r w:rsidR="005044C2">
        <w:rPr>
          <w:rFonts w:asciiTheme="minorHAnsi" w:hAnsiTheme="minorHAnsi"/>
          <w:noProof/>
        </w:rPr>
        <w:t>, T. Y. Y</w:t>
      </w:r>
      <w:r w:rsidRPr="004F1922">
        <w:rPr>
          <w:rFonts w:asciiTheme="minorHAnsi" w:hAnsiTheme="minorHAnsi"/>
          <w:noProof/>
        </w:rPr>
        <w:t xml:space="preserve">. (2010). Tyrosinase gene (TYR) mutations in Chinese patients with oculocutaneous albinism type 1. </w:t>
      </w:r>
      <w:r w:rsidRPr="004F1922">
        <w:rPr>
          <w:rFonts w:asciiTheme="minorHAnsi" w:hAnsiTheme="minorHAnsi"/>
          <w:i/>
          <w:noProof/>
        </w:rPr>
        <w:t>Clinical and Experimental Ophthalmology, 38</w:t>
      </w:r>
      <w:r w:rsidRPr="004F1922">
        <w:rPr>
          <w:rFonts w:asciiTheme="minorHAnsi" w:hAnsiTheme="minorHAnsi"/>
          <w:noProof/>
        </w:rPr>
        <w:t>, 37</w:t>
      </w:r>
      <w:r w:rsidR="00E323EB">
        <w:rPr>
          <w:rFonts w:asciiTheme="minorHAnsi" w:hAnsiTheme="minorHAnsi"/>
          <w:noProof/>
          <w:lang w:val="nl-NL"/>
        </w:rPr>
        <w:t>–</w:t>
      </w:r>
      <w:r w:rsidRPr="004F1922">
        <w:rPr>
          <w:rFonts w:asciiTheme="minorHAnsi" w:hAnsiTheme="minorHAnsi"/>
          <w:noProof/>
        </w:rPr>
        <w:t xml:space="preserve">42. </w:t>
      </w:r>
    </w:p>
    <w:p w:rsidR="005044C2" w:rsidRDefault="00C66291">
      <w:pPr>
        <w:pStyle w:val="EndNoteBibliography"/>
        <w:spacing w:after="0"/>
        <w:ind w:left="360" w:right="-270" w:hanging="360"/>
        <w:rPr>
          <w:rFonts w:asciiTheme="minorHAnsi" w:hAnsiTheme="minorHAnsi"/>
          <w:noProof/>
        </w:rPr>
      </w:pPr>
      <w:r w:rsidRPr="004F1922">
        <w:rPr>
          <w:rFonts w:asciiTheme="minorHAnsi" w:hAnsiTheme="minorHAnsi"/>
          <w:noProof/>
        </w:rPr>
        <w:t>Morice-Picard, F., Lasseaux,</w:t>
      </w:r>
      <w:r w:rsidR="005044C2">
        <w:rPr>
          <w:rFonts w:asciiTheme="minorHAnsi" w:hAnsiTheme="minorHAnsi"/>
          <w:noProof/>
        </w:rPr>
        <w:t xml:space="preserve"> </w:t>
      </w:r>
      <w:r w:rsidR="005044C2" w:rsidRPr="004F1922">
        <w:rPr>
          <w:rFonts w:asciiTheme="minorHAnsi" w:hAnsiTheme="minorHAnsi"/>
          <w:noProof/>
        </w:rPr>
        <w:t>E.</w:t>
      </w:r>
      <w:r w:rsidR="005044C2">
        <w:rPr>
          <w:rFonts w:asciiTheme="minorHAnsi" w:hAnsiTheme="minorHAnsi"/>
          <w:noProof/>
        </w:rPr>
        <w:t>,</w:t>
      </w:r>
      <w:r w:rsidRPr="004F1922">
        <w:rPr>
          <w:rFonts w:asciiTheme="minorHAnsi" w:hAnsiTheme="minorHAnsi"/>
          <w:noProof/>
        </w:rPr>
        <w:t xml:space="preserve"> Cailley, </w:t>
      </w:r>
      <w:r w:rsidR="005044C2" w:rsidRPr="004F1922">
        <w:rPr>
          <w:rFonts w:asciiTheme="minorHAnsi" w:hAnsiTheme="minorHAnsi"/>
          <w:noProof/>
        </w:rPr>
        <w:t>D.</w:t>
      </w:r>
      <w:r w:rsidR="005044C2">
        <w:rPr>
          <w:rFonts w:asciiTheme="minorHAnsi" w:hAnsiTheme="minorHAnsi"/>
          <w:noProof/>
        </w:rPr>
        <w:t>,</w:t>
      </w:r>
      <w:r w:rsidR="005044C2" w:rsidRPr="004F1922">
        <w:rPr>
          <w:rFonts w:asciiTheme="minorHAnsi" w:hAnsiTheme="minorHAnsi"/>
          <w:noProof/>
        </w:rPr>
        <w:t xml:space="preserve"> </w:t>
      </w:r>
      <w:r w:rsidRPr="004F1922">
        <w:rPr>
          <w:rFonts w:asciiTheme="minorHAnsi" w:hAnsiTheme="minorHAnsi"/>
          <w:noProof/>
        </w:rPr>
        <w:t>Gros,</w:t>
      </w:r>
      <w:r w:rsidR="005044C2">
        <w:rPr>
          <w:rFonts w:asciiTheme="minorHAnsi" w:hAnsiTheme="minorHAnsi"/>
          <w:noProof/>
        </w:rPr>
        <w:t xml:space="preserve"> </w:t>
      </w:r>
      <w:r w:rsidR="005044C2" w:rsidRPr="004F1922">
        <w:rPr>
          <w:rFonts w:asciiTheme="minorHAnsi" w:hAnsiTheme="minorHAnsi"/>
          <w:noProof/>
        </w:rPr>
        <w:t>A.</w:t>
      </w:r>
      <w:r w:rsidR="005044C2">
        <w:rPr>
          <w:rFonts w:asciiTheme="minorHAnsi" w:hAnsiTheme="minorHAnsi"/>
          <w:noProof/>
        </w:rPr>
        <w:t>,</w:t>
      </w:r>
      <w:r w:rsidRPr="004F1922">
        <w:rPr>
          <w:rFonts w:asciiTheme="minorHAnsi" w:hAnsiTheme="minorHAnsi"/>
          <w:noProof/>
        </w:rPr>
        <w:t xml:space="preserve"> Toutain, </w:t>
      </w:r>
      <w:r w:rsidR="005044C2" w:rsidRPr="004F1922">
        <w:rPr>
          <w:rFonts w:asciiTheme="minorHAnsi" w:hAnsiTheme="minorHAnsi"/>
          <w:noProof/>
        </w:rPr>
        <w:t>J.</w:t>
      </w:r>
      <w:r w:rsidR="005044C2">
        <w:rPr>
          <w:rFonts w:asciiTheme="minorHAnsi" w:hAnsiTheme="minorHAnsi"/>
          <w:noProof/>
        </w:rPr>
        <w:t>,</w:t>
      </w:r>
      <w:r w:rsidR="005044C2" w:rsidRPr="004F1922">
        <w:rPr>
          <w:rFonts w:asciiTheme="minorHAnsi" w:hAnsiTheme="minorHAnsi"/>
          <w:noProof/>
        </w:rPr>
        <w:t xml:space="preserve"> </w:t>
      </w:r>
      <w:r w:rsidRPr="004F1922">
        <w:rPr>
          <w:rFonts w:asciiTheme="minorHAnsi" w:hAnsiTheme="minorHAnsi"/>
          <w:noProof/>
        </w:rPr>
        <w:t>Plaisant,</w:t>
      </w:r>
      <w:r w:rsidR="005044C2">
        <w:rPr>
          <w:rFonts w:asciiTheme="minorHAnsi" w:hAnsiTheme="minorHAnsi"/>
          <w:noProof/>
        </w:rPr>
        <w:t xml:space="preserve"> </w:t>
      </w:r>
      <w:r w:rsidR="005044C2" w:rsidRPr="004F1922">
        <w:rPr>
          <w:rFonts w:asciiTheme="minorHAnsi" w:hAnsiTheme="minorHAnsi"/>
          <w:noProof/>
        </w:rPr>
        <w:t>C.</w:t>
      </w:r>
      <w:r w:rsidR="005044C2">
        <w:rPr>
          <w:rFonts w:asciiTheme="minorHAnsi" w:hAnsiTheme="minorHAnsi"/>
          <w:noProof/>
        </w:rPr>
        <w:t>,</w:t>
      </w:r>
      <w:r w:rsidRPr="004F1922">
        <w:rPr>
          <w:rFonts w:asciiTheme="minorHAnsi" w:hAnsiTheme="minorHAnsi"/>
          <w:noProof/>
        </w:rPr>
        <w:t xml:space="preserve"> </w:t>
      </w:r>
      <w:r w:rsidR="005044C2">
        <w:rPr>
          <w:rFonts w:asciiTheme="minorHAnsi" w:hAnsiTheme="minorHAnsi"/>
          <w:noProof/>
        </w:rPr>
        <w:t>…</w:t>
      </w:r>
      <w:r w:rsidRPr="004F1922">
        <w:rPr>
          <w:rFonts w:asciiTheme="minorHAnsi" w:hAnsiTheme="minorHAnsi"/>
          <w:noProof/>
        </w:rPr>
        <w:t xml:space="preserve"> Arveiler</w:t>
      </w:r>
      <w:r w:rsidR="005044C2">
        <w:rPr>
          <w:rFonts w:asciiTheme="minorHAnsi" w:hAnsiTheme="minorHAnsi"/>
          <w:noProof/>
        </w:rPr>
        <w:t>,</w:t>
      </w:r>
      <w:r w:rsidRPr="004F1922">
        <w:rPr>
          <w:rFonts w:asciiTheme="minorHAnsi" w:hAnsiTheme="minorHAnsi"/>
          <w:noProof/>
        </w:rPr>
        <w:t xml:space="preserve"> </w:t>
      </w:r>
      <w:r w:rsidR="005044C2" w:rsidRPr="004F1922">
        <w:rPr>
          <w:rFonts w:asciiTheme="minorHAnsi" w:hAnsiTheme="minorHAnsi"/>
          <w:noProof/>
        </w:rPr>
        <w:t xml:space="preserve">B. </w:t>
      </w:r>
      <w:r w:rsidRPr="004F1922">
        <w:rPr>
          <w:rFonts w:asciiTheme="minorHAnsi" w:hAnsiTheme="minorHAnsi"/>
          <w:noProof/>
        </w:rPr>
        <w:t xml:space="preserve">(2014). High-resolution array-CGH in patients with oculocutaneous albinism identifies new deletions of the TYR, OCA2, and SLC45A2 genes and a complex rearrangement of the OCA2 gene. </w:t>
      </w:r>
      <w:r w:rsidRPr="004F1922">
        <w:rPr>
          <w:rFonts w:asciiTheme="minorHAnsi" w:hAnsiTheme="minorHAnsi"/>
          <w:i/>
          <w:noProof/>
        </w:rPr>
        <w:t>Pigment Cell &amp; Melanoma Research, 27</w:t>
      </w:r>
      <w:r w:rsidRPr="004F1922">
        <w:rPr>
          <w:rFonts w:asciiTheme="minorHAnsi" w:hAnsiTheme="minorHAnsi"/>
          <w:noProof/>
        </w:rPr>
        <w:t>, 59</w:t>
      </w:r>
      <w:r w:rsidR="00E323EB">
        <w:rPr>
          <w:rFonts w:asciiTheme="minorHAnsi" w:hAnsiTheme="minorHAnsi"/>
          <w:noProof/>
          <w:lang w:val="nl-NL"/>
        </w:rPr>
        <w:t>–</w:t>
      </w:r>
      <w:r w:rsidRPr="004F1922">
        <w:rPr>
          <w:rFonts w:asciiTheme="minorHAnsi" w:hAnsiTheme="minorHAnsi"/>
          <w:noProof/>
        </w:rPr>
        <w:t>71.</w:t>
      </w:r>
    </w:p>
    <w:p w:rsidR="005044C2" w:rsidRDefault="00C66291">
      <w:pPr>
        <w:pStyle w:val="EndNoteBibliography"/>
        <w:spacing w:after="0"/>
        <w:ind w:left="360" w:right="-270" w:hanging="360"/>
        <w:rPr>
          <w:rFonts w:asciiTheme="minorHAnsi" w:hAnsiTheme="minorHAnsi"/>
          <w:noProof/>
        </w:rPr>
      </w:pPr>
      <w:r w:rsidRPr="004F1922">
        <w:rPr>
          <w:rFonts w:asciiTheme="minorHAnsi" w:hAnsiTheme="minorHAnsi"/>
          <w:noProof/>
        </w:rPr>
        <w:t>Purcell, S., Neale,</w:t>
      </w:r>
      <w:r w:rsidR="005044C2" w:rsidRPr="005044C2">
        <w:rPr>
          <w:rFonts w:asciiTheme="minorHAnsi" w:hAnsiTheme="minorHAnsi"/>
          <w:noProof/>
        </w:rPr>
        <w:t xml:space="preserve"> </w:t>
      </w:r>
      <w:r w:rsidR="005044C2" w:rsidRPr="004F1922">
        <w:rPr>
          <w:rFonts w:asciiTheme="minorHAnsi" w:hAnsiTheme="minorHAnsi"/>
          <w:noProof/>
        </w:rPr>
        <w:t>B.</w:t>
      </w:r>
      <w:r w:rsidR="005044C2">
        <w:rPr>
          <w:rFonts w:asciiTheme="minorHAnsi" w:hAnsiTheme="minorHAnsi"/>
          <w:noProof/>
        </w:rPr>
        <w:t>,</w:t>
      </w:r>
      <w:r w:rsidRPr="004F1922">
        <w:rPr>
          <w:rFonts w:asciiTheme="minorHAnsi" w:hAnsiTheme="minorHAnsi"/>
          <w:noProof/>
        </w:rPr>
        <w:t xml:space="preserve"> Todd-Brown,</w:t>
      </w:r>
      <w:r w:rsidR="005044C2">
        <w:rPr>
          <w:rFonts w:asciiTheme="minorHAnsi" w:hAnsiTheme="minorHAnsi"/>
          <w:noProof/>
        </w:rPr>
        <w:t xml:space="preserve"> </w:t>
      </w:r>
      <w:r w:rsidR="005044C2" w:rsidRPr="004F1922">
        <w:rPr>
          <w:rFonts w:asciiTheme="minorHAnsi" w:hAnsiTheme="minorHAnsi"/>
          <w:noProof/>
        </w:rPr>
        <w:t>K.</w:t>
      </w:r>
      <w:r w:rsidR="005044C2">
        <w:rPr>
          <w:rFonts w:asciiTheme="minorHAnsi" w:hAnsiTheme="minorHAnsi"/>
          <w:noProof/>
        </w:rPr>
        <w:t>,</w:t>
      </w:r>
      <w:r w:rsidRPr="004F1922">
        <w:rPr>
          <w:rFonts w:asciiTheme="minorHAnsi" w:hAnsiTheme="minorHAnsi"/>
          <w:noProof/>
        </w:rPr>
        <w:t xml:space="preserve"> Thomas,</w:t>
      </w:r>
      <w:r w:rsidR="005044C2">
        <w:rPr>
          <w:rFonts w:asciiTheme="minorHAnsi" w:hAnsiTheme="minorHAnsi"/>
          <w:noProof/>
        </w:rPr>
        <w:t xml:space="preserve"> </w:t>
      </w:r>
      <w:r w:rsidR="005044C2" w:rsidRPr="004F1922">
        <w:rPr>
          <w:rFonts w:asciiTheme="minorHAnsi" w:hAnsiTheme="minorHAnsi"/>
          <w:noProof/>
        </w:rPr>
        <w:t>L.</w:t>
      </w:r>
      <w:r w:rsidR="005044C2">
        <w:rPr>
          <w:rFonts w:asciiTheme="minorHAnsi" w:hAnsiTheme="minorHAnsi"/>
          <w:noProof/>
        </w:rPr>
        <w:t>,</w:t>
      </w:r>
      <w:r w:rsidRPr="004F1922">
        <w:rPr>
          <w:rFonts w:asciiTheme="minorHAnsi" w:hAnsiTheme="minorHAnsi"/>
          <w:noProof/>
        </w:rPr>
        <w:t xml:space="preserve"> Ferreira, </w:t>
      </w:r>
      <w:r w:rsidR="005044C2" w:rsidRPr="004F1922">
        <w:rPr>
          <w:rFonts w:asciiTheme="minorHAnsi" w:hAnsiTheme="minorHAnsi"/>
          <w:noProof/>
        </w:rPr>
        <w:t>M. A.</w:t>
      </w:r>
      <w:r w:rsidR="005044C2">
        <w:rPr>
          <w:rFonts w:asciiTheme="minorHAnsi" w:hAnsiTheme="minorHAnsi"/>
          <w:noProof/>
        </w:rPr>
        <w:t>,</w:t>
      </w:r>
      <w:r w:rsidR="005044C2" w:rsidRPr="004F1922">
        <w:rPr>
          <w:rFonts w:asciiTheme="minorHAnsi" w:hAnsiTheme="minorHAnsi"/>
          <w:noProof/>
        </w:rPr>
        <w:t xml:space="preserve"> </w:t>
      </w:r>
      <w:r w:rsidRPr="004F1922">
        <w:rPr>
          <w:rFonts w:asciiTheme="minorHAnsi" w:hAnsiTheme="minorHAnsi"/>
          <w:noProof/>
        </w:rPr>
        <w:t>Bender,</w:t>
      </w:r>
      <w:r w:rsidR="005044C2">
        <w:rPr>
          <w:rFonts w:asciiTheme="minorHAnsi" w:hAnsiTheme="minorHAnsi"/>
          <w:noProof/>
        </w:rPr>
        <w:t xml:space="preserve"> </w:t>
      </w:r>
      <w:r w:rsidR="005044C2" w:rsidRPr="004F1922">
        <w:rPr>
          <w:rFonts w:asciiTheme="minorHAnsi" w:hAnsiTheme="minorHAnsi"/>
          <w:noProof/>
        </w:rPr>
        <w:t>D.</w:t>
      </w:r>
      <w:r w:rsidR="005044C2">
        <w:rPr>
          <w:rFonts w:asciiTheme="minorHAnsi" w:hAnsiTheme="minorHAnsi"/>
          <w:noProof/>
        </w:rPr>
        <w:t>,</w:t>
      </w:r>
      <w:r w:rsidRPr="004F1922">
        <w:rPr>
          <w:rFonts w:asciiTheme="minorHAnsi" w:hAnsiTheme="minorHAnsi"/>
          <w:noProof/>
        </w:rPr>
        <w:t xml:space="preserve"> </w:t>
      </w:r>
      <w:r w:rsidR="005044C2">
        <w:rPr>
          <w:rFonts w:asciiTheme="minorHAnsi" w:hAnsiTheme="minorHAnsi"/>
          <w:noProof/>
        </w:rPr>
        <w:t>…</w:t>
      </w:r>
      <w:r w:rsidRPr="004F1922">
        <w:rPr>
          <w:rFonts w:asciiTheme="minorHAnsi" w:hAnsiTheme="minorHAnsi"/>
          <w:noProof/>
        </w:rPr>
        <w:t xml:space="preserve"> Sham</w:t>
      </w:r>
      <w:r w:rsidR="005044C2">
        <w:rPr>
          <w:rFonts w:asciiTheme="minorHAnsi" w:hAnsiTheme="minorHAnsi"/>
          <w:noProof/>
        </w:rPr>
        <w:t xml:space="preserve">, </w:t>
      </w:r>
      <w:r w:rsidR="005044C2" w:rsidRPr="004F1922">
        <w:rPr>
          <w:rFonts w:asciiTheme="minorHAnsi" w:hAnsiTheme="minorHAnsi"/>
          <w:noProof/>
        </w:rPr>
        <w:t>P. C.</w:t>
      </w:r>
      <w:r w:rsidRPr="004F1922">
        <w:rPr>
          <w:rFonts w:asciiTheme="minorHAnsi" w:hAnsiTheme="minorHAnsi"/>
          <w:noProof/>
        </w:rPr>
        <w:t xml:space="preserve"> (2007). PLINK: </w:t>
      </w:r>
      <w:r w:rsidR="005044C2">
        <w:rPr>
          <w:rFonts w:asciiTheme="minorHAnsi" w:hAnsiTheme="minorHAnsi"/>
          <w:noProof/>
        </w:rPr>
        <w:t>A</w:t>
      </w:r>
      <w:r w:rsidRPr="004F1922">
        <w:rPr>
          <w:rFonts w:asciiTheme="minorHAnsi" w:hAnsiTheme="minorHAnsi"/>
          <w:noProof/>
        </w:rPr>
        <w:t xml:space="preserve"> tool set for whole-genome association and population-based linkage analyses. </w:t>
      </w:r>
      <w:r w:rsidRPr="004F1922">
        <w:rPr>
          <w:rFonts w:asciiTheme="minorHAnsi" w:hAnsiTheme="minorHAnsi"/>
          <w:i/>
          <w:noProof/>
        </w:rPr>
        <w:t>American Journal of Human Genetics, 81</w:t>
      </w:r>
      <w:r w:rsidRPr="004F1922">
        <w:rPr>
          <w:rFonts w:asciiTheme="minorHAnsi" w:hAnsiTheme="minorHAnsi"/>
          <w:noProof/>
        </w:rPr>
        <w:t>, 559</w:t>
      </w:r>
      <w:r w:rsidR="00E323EB">
        <w:rPr>
          <w:rFonts w:asciiTheme="minorHAnsi" w:hAnsiTheme="minorHAnsi"/>
          <w:noProof/>
          <w:lang w:val="nl-NL"/>
        </w:rPr>
        <w:t>–</w:t>
      </w:r>
      <w:r w:rsidRPr="004F1922">
        <w:rPr>
          <w:rFonts w:asciiTheme="minorHAnsi" w:hAnsiTheme="minorHAnsi"/>
          <w:noProof/>
        </w:rPr>
        <w:t xml:space="preserve">575. </w:t>
      </w:r>
    </w:p>
    <w:p w:rsidR="005044C2" w:rsidRDefault="00C66291">
      <w:pPr>
        <w:pStyle w:val="EndNoteBibliography"/>
        <w:spacing w:after="0"/>
        <w:ind w:left="360" w:right="-270" w:hanging="360"/>
        <w:rPr>
          <w:rFonts w:asciiTheme="minorHAnsi" w:hAnsiTheme="minorHAnsi"/>
          <w:noProof/>
        </w:rPr>
      </w:pPr>
      <w:r w:rsidRPr="004F1922">
        <w:rPr>
          <w:rFonts w:asciiTheme="minorHAnsi" w:hAnsiTheme="minorHAnsi"/>
          <w:noProof/>
        </w:rPr>
        <w:t>Sturm, R. A., Duffy,</w:t>
      </w:r>
      <w:r w:rsidR="005044C2">
        <w:rPr>
          <w:rFonts w:asciiTheme="minorHAnsi" w:hAnsiTheme="minorHAnsi"/>
          <w:noProof/>
        </w:rPr>
        <w:t xml:space="preserve"> </w:t>
      </w:r>
      <w:r w:rsidR="005044C2" w:rsidRPr="004F1922">
        <w:rPr>
          <w:rFonts w:asciiTheme="minorHAnsi" w:hAnsiTheme="minorHAnsi"/>
          <w:noProof/>
        </w:rPr>
        <w:t>D. L.</w:t>
      </w:r>
      <w:r w:rsidR="005044C2">
        <w:rPr>
          <w:rFonts w:asciiTheme="minorHAnsi" w:hAnsiTheme="minorHAnsi"/>
          <w:noProof/>
        </w:rPr>
        <w:t>,</w:t>
      </w:r>
      <w:r w:rsidRPr="004F1922">
        <w:rPr>
          <w:rFonts w:asciiTheme="minorHAnsi" w:hAnsiTheme="minorHAnsi"/>
          <w:noProof/>
        </w:rPr>
        <w:t xml:space="preserve"> Zhao, </w:t>
      </w:r>
      <w:r w:rsidR="005044C2" w:rsidRPr="004F1922">
        <w:rPr>
          <w:rFonts w:asciiTheme="minorHAnsi" w:hAnsiTheme="minorHAnsi"/>
          <w:noProof/>
        </w:rPr>
        <w:t>Z. Z.</w:t>
      </w:r>
      <w:r w:rsidR="005044C2">
        <w:rPr>
          <w:rFonts w:asciiTheme="minorHAnsi" w:hAnsiTheme="minorHAnsi"/>
          <w:noProof/>
        </w:rPr>
        <w:t>,</w:t>
      </w:r>
      <w:r w:rsidR="005044C2" w:rsidRPr="004F1922">
        <w:rPr>
          <w:rFonts w:asciiTheme="minorHAnsi" w:hAnsiTheme="minorHAnsi"/>
          <w:noProof/>
        </w:rPr>
        <w:t xml:space="preserve"> </w:t>
      </w:r>
      <w:r w:rsidRPr="004F1922">
        <w:rPr>
          <w:rFonts w:asciiTheme="minorHAnsi" w:hAnsiTheme="minorHAnsi"/>
          <w:noProof/>
        </w:rPr>
        <w:t xml:space="preserve">Leite, </w:t>
      </w:r>
      <w:r w:rsidR="005044C2" w:rsidRPr="004F1922">
        <w:rPr>
          <w:rFonts w:asciiTheme="minorHAnsi" w:hAnsiTheme="minorHAnsi"/>
          <w:noProof/>
        </w:rPr>
        <w:t>F. P. N.</w:t>
      </w:r>
      <w:r w:rsidR="005044C2">
        <w:rPr>
          <w:rFonts w:asciiTheme="minorHAnsi" w:hAnsiTheme="minorHAnsi"/>
          <w:noProof/>
        </w:rPr>
        <w:t>,</w:t>
      </w:r>
      <w:r w:rsidR="005044C2" w:rsidRPr="004F1922">
        <w:rPr>
          <w:rFonts w:asciiTheme="minorHAnsi" w:hAnsiTheme="minorHAnsi"/>
          <w:noProof/>
        </w:rPr>
        <w:t xml:space="preserve"> </w:t>
      </w:r>
      <w:r w:rsidRPr="004F1922">
        <w:rPr>
          <w:rFonts w:asciiTheme="minorHAnsi" w:hAnsiTheme="minorHAnsi"/>
          <w:noProof/>
        </w:rPr>
        <w:t xml:space="preserve">Stark, </w:t>
      </w:r>
      <w:r w:rsidR="005044C2" w:rsidRPr="004F1922">
        <w:rPr>
          <w:rFonts w:asciiTheme="minorHAnsi" w:hAnsiTheme="minorHAnsi"/>
          <w:noProof/>
        </w:rPr>
        <w:t>M. S.</w:t>
      </w:r>
      <w:r w:rsidR="005044C2">
        <w:rPr>
          <w:rFonts w:asciiTheme="minorHAnsi" w:hAnsiTheme="minorHAnsi"/>
          <w:noProof/>
        </w:rPr>
        <w:t>,</w:t>
      </w:r>
      <w:r w:rsidR="005044C2" w:rsidRPr="004F1922">
        <w:rPr>
          <w:rFonts w:asciiTheme="minorHAnsi" w:hAnsiTheme="minorHAnsi"/>
          <w:noProof/>
        </w:rPr>
        <w:t xml:space="preserve"> </w:t>
      </w:r>
      <w:r w:rsidRPr="004F1922">
        <w:rPr>
          <w:rFonts w:asciiTheme="minorHAnsi" w:hAnsiTheme="minorHAnsi"/>
          <w:noProof/>
        </w:rPr>
        <w:t>Hayward,</w:t>
      </w:r>
      <w:r w:rsidR="005044C2">
        <w:rPr>
          <w:rFonts w:asciiTheme="minorHAnsi" w:hAnsiTheme="minorHAnsi"/>
          <w:noProof/>
        </w:rPr>
        <w:t xml:space="preserve"> </w:t>
      </w:r>
      <w:r w:rsidR="005044C2" w:rsidRPr="004F1922">
        <w:rPr>
          <w:rFonts w:asciiTheme="minorHAnsi" w:hAnsiTheme="minorHAnsi"/>
          <w:noProof/>
        </w:rPr>
        <w:t>N. K.</w:t>
      </w:r>
      <w:r w:rsidR="00E323EB">
        <w:rPr>
          <w:rFonts w:asciiTheme="minorHAnsi" w:hAnsiTheme="minorHAnsi"/>
          <w:noProof/>
        </w:rPr>
        <w:t>,</w:t>
      </w:r>
      <w:r w:rsidR="005044C2" w:rsidRPr="004F1922">
        <w:rPr>
          <w:rFonts w:asciiTheme="minorHAnsi" w:hAnsiTheme="minorHAnsi"/>
          <w:noProof/>
        </w:rPr>
        <w:t xml:space="preserve"> </w:t>
      </w:r>
      <w:r w:rsidR="00E323EB">
        <w:rPr>
          <w:rFonts w:asciiTheme="minorHAnsi" w:hAnsiTheme="minorHAnsi"/>
          <w:noProof/>
        </w:rPr>
        <w:t xml:space="preserve">… </w:t>
      </w:r>
      <w:r w:rsidRPr="004F1922">
        <w:rPr>
          <w:rFonts w:asciiTheme="minorHAnsi" w:hAnsiTheme="minorHAnsi"/>
          <w:noProof/>
        </w:rPr>
        <w:t>Montgomery</w:t>
      </w:r>
      <w:r w:rsidR="00E323EB">
        <w:rPr>
          <w:rFonts w:asciiTheme="minorHAnsi" w:hAnsiTheme="minorHAnsi"/>
          <w:noProof/>
        </w:rPr>
        <w:t>, G. W</w:t>
      </w:r>
      <w:r w:rsidRPr="004F1922">
        <w:rPr>
          <w:rFonts w:asciiTheme="minorHAnsi" w:hAnsiTheme="minorHAnsi"/>
          <w:noProof/>
        </w:rPr>
        <w:t xml:space="preserve">. (2008). A single SNP in an evolutionary conserved region within intron 86 of the HERC2 gene determines human blue-brown eye color. </w:t>
      </w:r>
      <w:r w:rsidRPr="004F1922">
        <w:rPr>
          <w:rFonts w:asciiTheme="minorHAnsi" w:hAnsiTheme="minorHAnsi"/>
          <w:i/>
          <w:noProof/>
        </w:rPr>
        <w:t>American Journal of Human Genetics, 82</w:t>
      </w:r>
      <w:r w:rsidRPr="004F1922">
        <w:rPr>
          <w:rFonts w:asciiTheme="minorHAnsi" w:hAnsiTheme="minorHAnsi"/>
          <w:noProof/>
        </w:rPr>
        <w:t>, 424</w:t>
      </w:r>
      <w:r w:rsidR="00E323EB">
        <w:rPr>
          <w:rFonts w:asciiTheme="minorHAnsi" w:hAnsiTheme="minorHAnsi"/>
          <w:noProof/>
          <w:lang w:val="nl-NL"/>
        </w:rPr>
        <w:t>–</w:t>
      </w:r>
      <w:r w:rsidRPr="004F1922">
        <w:rPr>
          <w:rFonts w:asciiTheme="minorHAnsi" w:hAnsiTheme="minorHAnsi"/>
          <w:noProof/>
        </w:rPr>
        <w:t xml:space="preserve">431. </w:t>
      </w:r>
    </w:p>
    <w:p w:rsidR="005044C2" w:rsidRDefault="00C66291">
      <w:pPr>
        <w:pStyle w:val="EndNoteBibliography"/>
        <w:spacing w:after="0"/>
        <w:ind w:left="360" w:right="-270" w:hanging="360"/>
        <w:rPr>
          <w:rFonts w:asciiTheme="minorHAnsi" w:hAnsiTheme="minorHAnsi"/>
          <w:noProof/>
          <w:lang w:val="nl-NL"/>
        </w:rPr>
      </w:pPr>
      <w:r w:rsidRPr="004F1922">
        <w:rPr>
          <w:rFonts w:asciiTheme="minorHAnsi" w:hAnsiTheme="minorHAnsi"/>
          <w:noProof/>
        </w:rPr>
        <w:t xml:space="preserve">Sulem, P., Gudbjartsson, </w:t>
      </w:r>
      <w:r w:rsidR="00E323EB" w:rsidRPr="004F1922">
        <w:rPr>
          <w:rFonts w:asciiTheme="minorHAnsi" w:hAnsiTheme="minorHAnsi"/>
          <w:noProof/>
        </w:rPr>
        <w:t>D. F.</w:t>
      </w:r>
      <w:r w:rsidR="00E323EB">
        <w:rPr>
          <w:rFonts w:asciiTheme="minorHAnsi" w:hAnsiTheme="minorHAnsi"/>
          <w:noProof/>
        </w:rPr>
        <w:t>,</w:t>
      </w:r>
      <w:r w:rsidR="00E323EB" w:rsidRPr="004F1922">
        <w:rPr>
          <w:rFonts w:asciiTheme="minorHAnsi" w:hAnsiTheme="minorHAnsi"/>
          <w:noProof/>
        </w:rPr>
        <w:t xml:space="preserve"> </w:t>
      </w:r>
      <w:r w:rsidRPr="004F1922">
        <w:rPr>
          <w:rFonts w:asciiTheme="minorHAnsi" w:hAnsiTheme="minorHAnsi"/>
          <w:noProof/>
        </w:rPr>
        <w:t>Stacey,</w:t>
      </w:r>
      <w:r w:rsidR="00E323EB">
        <w:rPr>
          <w:rFonts w:asciiTheme="minorHAnsi" w:hAnsiTheme="minorHAnsi"/>
          <w:noProof/>
        </w:rPr>
        <w:t xml:space="preserve"> </w:t>
      </w:r>
      <w:r w:rsidR="00E323EB" w:rsidRPr="004F1922">
        <w:rPr>
          <w:rFonts w:asciiTheme="minorHAnsi" w:hAnsiTheme="minorHAnsi"/>
          <w:noProof/>
        </w:rPr>
        <w:t>S. N.</w:t>
      </w:r>
      <w:r w:rsidR="00E323EB">
        <w:rPr>
          <w:rFonts w:asciiTheme="minorHAnsi" w:hAnsiTheme="minorHAnsi"/>
          <w:noProof/>
        </w:rPr>
        <w:t>,</w:t>
      </w:r>
      <w:r w:rsidRPr="004F1922">
        <w:rPr>
          <w:rFonts w:asciiTheme="minorHAnsi" w:hAnsiTheme="minorHAnsi"/>
          <w:noProof/>
        </w:rPr>
        <w:t xml:space="preserve"> Helgason, </w:t>
      </w:r>
      <w:r w:rsidR="00E323EB" w:rsidRPr="004F1922">
        <w:rPr>
          <w:rFonts w:asciiTheme="minorHAnsi" w:hAnsiTheme="minorHAnsi"/>
          <w:noProof/>
        </w:rPr>
        <w:t>A.</w:t>
      </w:r>
      <w:r w:rsidR="00E323EB">
        <w:rPr>
          <w:rFonts w:asciiTheme="minorHAnsi" w:hAnsiTheme="minorHAnsi"/>
          <w:noProof/>
        </w:rPr>
        <w:t>,</w:t>
      </w:r>
      <w:r w:rsidR="00E323EB" w:rsidRPr="004F1922">
        <w:rPr>
          <w:rFonts w:asciiTheme="minorHAnsi" w:hAnsiTheme="minorHAnsi"/>
          <w:noProof/>
        </w:rPr>
        <w:t xml:space="preserve"> </w:t>
      </w:r>
      <w:r w:rsidRPr="004F1922">
        <w:rPr>
          <w:rFonts w:asciiTheme="minorHAnsi" w:hAnsiTheme="minorHAnsi"/>
          <w:noProof/>
        </w:rPr>
        <w:t>Rafnar,</w:t>
      </w:r>
      <w:r w:rsidR="00E323EB">
        <w:rPr>
          <w:rFonts w:asciiTheme="minorHAnsi" w:hAnsiTheme="minorHAnsi"/>
          <w:noProof/>
        </w:rPr>
        <w:t xml:space="preserve"> </w:t>
      </w:r>
      <w:r w:rsidR="00E323EB" w:rsidRPr="004F1922">
        <w:rPr>
          <w:rFonts w:asciiTheme="minorHAnsi" w:hAnsiTheme="minorHAnsi"/>
          <w:noProof/>
        </w:rPr>
        <w:t>T.</w:t>
      </w:r>
      <w:r w:rsidR="00E323EB">
        <w:rPr>
          <w:rFonts w:asciiTheme="minorHAnsi" w:hAnsiTheme="minorHAnsi"/>
          <w:noProof/>
        </w:rPr>
        <w:t>,</w:t>
      </w:r>
      <w:r w:rsidRPr="004F1922">
        <w:rPr>
          <w:rFonts w:asciiTheme="minorHAnsi" w:hAnsiTheme="minorHAnsi"/>
          <w:noProof/>
        </w:rPr>
        <w:t xml:space="preserve"> Magnusson, </w:t>
      </w:r>
      <w:r w:rsidR="00E323EB" w:rsidRPr="004F1922">
        <w:rPr>
          <w:rFonts w:asciiTheme="minorHAnsi" w:hAnsiTheme="minorHAnsi"/>
          <w:noProof/>
        </w:rPr>
        <w:t>K. P.</w:t>
      </w:r>
      <w:r w:rsidR="00E323EB">
        <w:rPr>
          <w:rFonts w:asciiTheme="minorHAnsi" w:hAnsiTheme="minorHAnsi"/>
          <w:noProof/>
        </w:rPr>
        <w:t>,</w:t>
      </w:r>
      <w:r w:rsidR="00E323EB" w:rsidRPr="004F1922">
        <w:rPr>
          <w:rFonts w:asciiTheme="minorHAnsi" w:hAnsiTheme="minorHAnsi"/>
          <w:noProof/>
        </w:rPr>
        <w:t xml:space="preserve"> </w:t>
      </w:r>
      <w:r w:rsidR="00E323EB">
        <w:rPr>
          <w:rFonts w:asciiTheme="minorHAnsi" w:hAnsiTheme="minorHAnsi"/>
          <w:noProof/>
        </w:rPr>
        <w:t>…</w:t>
      </w:r>
      <w:r w:rsidRPr="004F1922">
        <w:rPr>
          <w:rFonts w:asciiTheme="minorHAnsi" w:hAnsiTheme="minorHAnsi"/>
          <w:noProof/>
        </w:rPr>
        <w:t xml:space="preserve"> Stefansson</w:t>
      </w:r>
      <w:r w:rsidR="00E323EB">
        <w:rPr>
          <w:rFonts w:asciiTheme="minorHAnsi" w:hAnsiTheme="minorHAnsi"/>
          <w:noProof/>
        </w:rPr>
        <w:t xml:space="preserve">, </w:t>
      </w:r>
      <w:r w:rsidR="00E323EB" w:rsidRPr="004F1922">
        <w:rPr>
          <w:rFonts w:asciiTheme="minorHAnsi" w:hAnsiTheme="minorHAnsi"/>
          <w:noProof/>
        </w:rPr>
        <w:t>K.</w:t>
      </w:r>
      <w:r w:rsidRPr="004F1922">
        <w:rPr>
          <w:rFonts w:asciiTheme="minorHAnsi" w:hAnsiTheme="minorHAnsi"/>
          <w:noProof/>
        </w:rPr>
        <w:t xml:space="preserve">. (2007). Genetic determinants of hair, eye and skin pigmentation in Europeans. </w:t>
      </w:r>
      <w:r w:rsidRPr="003668C1">
        <w:rPr>
          <w:rFonts w:asciiTheme="minorHAnsi" w:hAnsiTheme="minorHAnsi"/>
          <w:i/>
          <w:noProof/>
          <w:lang w:val="nl-NL"/>
        </w:rPr>
        <w:t>Nature Genetics, 39</w:t>
      </w:r>
      <w:r w:rsidRPr="003668C1">
        <w:rPr>
          <w:rFonts w:asciiTheme="minorHAnsi" w:hAnsiTheme="minorHAnsi"/>
          <w:noProof/>
          <w:lang w:val="nl-NL"/>
        </w:rPr>
        <w:t>, 1443</w:t>
      </w:r>
      <w:r w:rsidR="00E323EB">
        <w:rPr>
          <w:rFonts w:asciiTheme="minorHAnsi" w:hAnsiTheme="minorHAnsi"/>
          <w:noProof/>
          <w:lang w:val="nl-NL"/>
        </w:rPr>
        <w:t>–</w:t>
      </w:r>
      <w:r w:rsidRPr="003668C1">
        <w:rPr>
          <w:rFonts w:asciiTheme="minorHAnsi" w:hAnsiTheme="minorHAnsi"/>
          <w:noProof/>
          <w:lang w:val="nl-NL"/>
        </w:rPr>
        <w:t xml:space="preserve">1452. </w:t>
      </w:r>
    </w:p>
    <w:p w:rsidR="005044C2" w:rsidRDefault="00473ED7">
      <w:pPr>
        <w:spacing w:after="0" w:line="240" w:lineRule="auto"/>
        <w:ind w:left="360" w:right="-270" w:hanging="360"/>
        <w:rPr>
          <w:rFonts w:ascii="Calibri" w:hAnsi="Calibri"/>
          <w:noProof/>
          <w:lang w:val="en-US" w:eastAsia="zh-CN"/>
        </w:rPr>
      </w:pPr>
      <w:r w:rsidRPr="003668C1">
        <w:rPr>
          <w:rFonts w:ascii="Calibri" w:hAnsi="Calibri"/>
          <w:noProof/>
          <w:lang w:val="nl-NL"/>
        </w:rPr>
        <w:t xml:space="preserve">Willemsen, G., de Geus, E. J., Bartels, M., van Beijsterveldt, C. E., Brooks, A. I., </w:t>
      </w:r>
      <w:r w:rsidR="00E323EB">
        <w:rPr>
          <w:rFonts w:ascii="Calibri" w:hAnsi="Calibri"/>
          <w:noProof/>
          <w:lang w:val="nl-NL"/>
        </w:rPr>
        <w:t xml:space="preserve">&amp; </w:t>
      </w:r>
      <w:r w:rsidRPr="003668C1">
        <w:rPr>
          <w:rFonts w:ascii="Calibri" w:hAnsi="Calibri"/>
          <w:noProof/>
          <w:lang w:val="nl-NL"/>
        </w:rPr>
        <w:t xml:space="preserve">Estourgie-van Burk, G. F. (2010). </w:t>
      </w:r>
      <w:r w:rsidRPr="00FF34AD">
        <w:rPr>
          <w:rFonts w:ascii="Calibri" w:hAnsi="Calibri"/>
          <w:noProof/>
        </w:rPr>
        <w:t xml:space="preserve">The Netherlands Twin Register biobank: </w:t>
      </w:r>
      <w:r w:rsidR="00E323EB">
        <w:rPr>
          <w:rFonts w:ascii="Calibri" w:hAnsi="Calibri"/>
          <w:noProof/>
        </w:rPr>
        <w:t>A</w:t>
      </w:r>
      <w:r w:rsidRPr="00FF34AD">
        <w:rPr>
          <w:rFonts w:ascii="Calibri" w:hAnsi="Calibri"/>
          <w:noProof/>
        </w:rPr>
        <w:t xml:space="preserve"> resource for genetic epidemiological studies. </w:t>
      </w:r>
      <w:r w:rsidRPr="00CE76F5">
        <w:rPr>
          <w:rFonts w:ascii="Calibri" w:hAnsi="Calibri"/>
          <w:i/>
          <w:noProof/>
          <w:lang w:val="en-US"/>
        </w:rPr>
        <w:t>Twin Res</w:t>
      </w:r>
      <w:r w:rsidR="00067C52" w:rsidRPr="00CE76F5">
        <w:rPr>
          <w:rFonts w:ascii="Calibri" w:hAnsi="Calibri" w:hint="eastAsia"/>
          <w:i/>
          <w:noProof/>
          <w:lang w:val="en-US" w:eastAsia="zh-CN"/>
        </w:rPr>
        <w:t>earch</w:t>
      </w:r>
      <w:r w:rsidRPr="00CE76F5">
        <w:rPr>
          <w:rFonts w:ascii="Calibri" w:hAnsi="Calibri"/>
          <w:i/>
          <w:noProof/>
          <w:lang w:val="en-US"/>
        </w:rPr>
        <w:t xml:space="preserve"> </w:t>
      </w:r>
      <w:r w:rsidR="00067C52" w:rsidRPr="00CE76F5">
        <w:rPr>
          <w:rFonts w:ascii="Calibri" w:hAnsi="Calibri" w:hint="eastAsia"/>
          <w:i/>
          <w:noProof/>
          <w:lang w:val="en-US" w:eastAsia="zh-CN"/>
        </w:rPr>
        <w:t xml:space="preserve">and </w:t>
      </w:r>
      <w:r w:rsidRPr="00CE76F5">
        <w:rPr>
          <w:rFonts w:ascii="Calibri" w:hAnsi="Calibri"/>
          <w:i/>
          <w:noProof/>
          <w:lang w:val="en-US"/>
        </w:rPr>
        <w:t>Hum</w:t>
      </w:r>
      <w:r w:rsidR="00067C52" w:rsidRPr="00CE76F5">
        <w:rPr>
          <w:rFonts w:ascii="Calibri" w:hAnsi="Calibri" w:hint="eastAsia"/>
          <w:i/>
          <w:noProof/>
          <w:lang w:val="en-US" w:eastAsia="zh-CN"/>
        </w:rPr>
        <w:t>an</w:t>
      </w:r>
      <w:r w:rsidRPr="00CE76F5">
        <w:rPr>
          <w:rFonts w:ascii="Calibri" w:hAnsi="Calibri"/>
          <w:i/>
          <w:noProof/>
          <w:lang w:val="en-US"/>
        </w:rPr>
        <w:t xml:space="preserve"> Genet</w:t>
      </w:r>
      <w:r w:rsidR="00067C52" w:rsidRPr="00CE76F5">
        <w:rPr>
          <w:rFonts w:ascii="Calibri" w:hAnsi="Calibri" w:hint="eastAsia"/>
          <w:i/>
          <w:noProof/>
          <w:lang w:val="en-US" w:eastAsia="zh-CN"/>
        </w:rPr>
        <w:t>ics</w:t>
      </w:r>
      <w:r w:rsidRPr="00CE76F5">
        <w:rPr>
          <w:rFonts w:ascii="Calibri" w:hAnsi="Calibri"/>
          <w:i/>
          <w:noProof/>
          <w:lang w:val="en-US"/>
        </w:rPr>
        <w:t>, 13</w:t>
      </w:r>
      <w:r w:rsidRPr="00CE76F5">
        <w:rPr>
          <w:rFonts w:ascii="Calibri" w:hAnsi="Calibri"/>
          <w:noProof/>
          <w:lang w:val="en-US"/>
        </w:rPr>
        <w:t>, 231</w:t>
      </w:r>
      <w:r w:rsidR="00E323EB">
        <w:rPr>
          <w:noProof/>
          <w:lang w:val="nl-NL"/>
        </w:rPr>
        <w:t>–</w:t>
      </w:r>
      <w:r w:rsidRPr="00CE76F5">
        <w:rPr>
          <w:rFonts w:ascii="Calibri" w:hAnsi="Calibri"/>
          <w:noProof/>
          <w:lang w:val="en-US"/>
        </w:rPr>
        <w:t xml:space="preserve">245. </w:t>
      </w:r>
    </w:p>
    <w:p w:rsidR="005044C2" w:rsidRDefault="00C66291">
      <w:pPr>
        <w:pStyle w:val="EndNoteBibliography"/>
        <w:spacing w:after="0"/>
        <w:ind w:left="360" w:right="-270" w:hanging="360"/>
      </w:pPr>
      <w:r w:rsidRPr="00CE76F5">
        <w:rPr>
          <w:rFonts w:asciiTheme="minorHAnsi" w:hAnsiTheme="minorHAnsi"/>
          <w:noProof/>
        </w:rPr>
        <w:t xml:space="preserve">Zhang, M. F., Song, </w:t>
      </w:r>
      <w:r w:rsidR="00E323EB" w:rsidRPr="00CE76F5">
        <w:rPr>
          <w:rFonts w:asciiTheme="minorHAnsi" w:hAnsiTheme="minorHAnsi"/>
          <w:noProof/>
        </w:rPr>
        <w:t>F. J.</w:t>
      </w:r>
      <w:r w:rsidR="00E323EB">
        <w:rPr>
          <w:rFonts w:asciiTheme="minorHAnsi" w:hAnsiTheme="minorHAnsi"/>
          <w:noProof/>
        </w:rPr>
        <w:t>,</w:t>
      </w:r>
      <w:r w:rsidR="00E323EB" w:rsidRPr="00CE76F5">
        <w:rPr>
          <w:rFonts w:asciiTheme="minorHAnsi" w:hAnsiTheme="minorHAnsi"/>
          <w:noProof/>
        </w:rPr>
        <w:t xml:space="preserve"> </w:t>
      </w:r>
      <w:r w:rsidRPr="00CE76F5">
        <w:rPr>
          <w:rFonts w:asciiTheme="minorHAnsi" w:hAnsiTheme="minorHAnsi"/>
          <w:noProof/>
        </w:rPr>
        <w:t xml:space="preserve">Liang, </w:t>
      </w:r>
      <w:r w:rsidR="00E323EB" w:rsidRPr="00CE76F5">
        <w:rPr>
          <w:rFonts w:asciiTheme="minorHAnsi" w:hAnsiTheme="minorHAnsi"/>
          <w:noProof/>
        </w:rPr>
        <w:t>L. M.</w:t>
      </w:r>
      <w:r w:rsidR="00E323EB">
        <w:rPr>
          <w:rFonts w:asciiTheme="minorHAnsi" w:hAnsiTheme="minorHAnsi"/>
          <w:noProof/>
        </w:rPr>
        <w:t>,</w:t>
      </w:r>
      <w:r w:rsidR="00E323EB" w:rsidRPr="00CE76F5">
        <w:rPr>
          <w:rFonts w:asciiTheme="minorHAnsi" w:hAnsiTheme="minorHAnsi"/>
          <w:noProof/>
        </w:rPr>
        <w:t xml:space="preserve"> </w:t>
      </w:r>
      <w:r w:rsidRPr="00CE76F5">
        <w:rPr>
          <w:rFonts w:asciiTheme="minorHAnsi" w:hAnsiTheme="minorHAnsi"/>
          <w:noProof/>
        </w:rPr>
        <w:t xml:space="preserve">Nan, </w:t>
      </w:r>
      <w:r w:rsidR="00E323EB" w:rsidRPr="00CE76F5">
        <w:rPr>
          <w:rFonts w:asciiTheme="minorHAnsi" w:hAnsiTheme="minorHAnsi"/>
          <w:noProof/>
        </w:rPr>
        <w:t>H. M.</w:t>
      </w:r>
      <w:r w:rsidR="00E323EB">
        <w:rPr>
          <w:rFonts w:asciiTheme="minorHAnsi" w:hAnsiTheme="minorHAnsi"/>
          <w:noProof/>
        </w:rPr>
        <w:t>,</w:t>
      </w:r>
      <w:r w:rsidR="00E323EB" w:rsidRPr="00CE76F5">
        <w:rPr>
          <w:rFonts w:asciiTheme="minorHAnsi" w:hAnsiTheme="minorHAnsi"/>
          <w:noProof/>
        </w:rPr>
        <w:t xml:space="preserve"> </w:t>
      </w:r>
      <w:r w:rsidRPr="00CE76F5">
        <w:rPr>
          <w:rFonts w:asciiTheme="minorHAnsi" w:hAnsiTheme="minorHAnsi"/>
          <w:noProof/>
        </w:rPr>
        <w:t xml:space="preserve">Zhang, </w:t>
      </w:r>
      <w:r w:rsidR="00E323EB" w:rsidRPr="00CE76F5">
        <w:rPr>
          <w:rFonts w:asciiTheme="minorHAnsi" w:hAnsiTheme="minorHAnsi"/>
          <w:noProof/>
        </w:rPr>
        <w:t>J. W.</w:t>
      </w:r>
      <w:r w:rsidR="00E323EB">
        <w:rPr>
          <w:rFonts w:asciiTheme="minorHAnsi" w:hAnsiTheme="minorHAnsi"/>
          <w:noProof/>
        </w:rPr>
        <w:t>,</w:t>
      </w:r>
      <w:r w:rsidR="00E323EB" w:rsidRPr="00CE76F5">
        <w:rPr>
          <w:rFonts w:asciiTheme="minorHAnsi" w:hAnsiTheme="minorHAnsi"/>
          <w:noProof/>
        </w:rPr>
        <w:t xml:space="preserve"> </w:t>
      </w:r>
      <w:r w:rsidR="00E323EB">
        <w:rPr>
          <w:rFonts w:asciiTheme="minorHAnsi" w:hAnsiTheme="minorHAnsi"/>
          <w:noProof/>
        </w:rPr>
        <w:t>…</w:t>
      </w:r>
      <w:r w:rsidRPr="00CE76F5">
        <w:rPr>
          <w:rFonts w:asciiTheme="minorHAnsi" w:hAnsiTheme="minorHAnsi"/>
          <w:noProof/>
        </w:rPr>
        <w:t xml:space="preserve"> Han</w:t>
      </w:r>
      <w:r w:rsidR="00E323EB">
        <w:rPr>
          <w:rFonts w:asciiTheme="minorHAnsi" w:hAnsiTheme="minorHAnsi"/>
          <w:noProof/>
        </w:rPr>
        <w:t>, J. L</w:t>
      </w:r>
      <w:r w:rsidRPr="00CE76F5">
        <w:rPr>
          <w:rFonts w:asciiTheme="minorHAnsi" w:hAnsiTheme="minorHAnsi"/>
          <w:noProof/>
        </w:rPr>
        <w:t xml:space="preserve">. </w:t>
      </w:r>
      <w:r w:rsidRPr="004F1922">
        <w:rPr>
          <w:rFonts w:asciiTheme="minorHAnsi" w:hAnsiTheme="minorHAnsi"/>
          <w:noProof/>
        </w:rPr>
        <w:t xml:space="preserve">(2013). Genome-wide association studies identify several new loci associated with pigmentation traits and skin cancer risk in European Americans. </w:t>
      </w:r>
      <w:r w:rsidRPr="004F1922">
        <w:rPr>
          <w:rFonts w:asciiTheme="minorHAnsi" w:hAnsiTheme="minorHAnsi"/>
          <w:i/>
          <w:noProof/>
        </w:rPr>
        <w:t>Human Molecular Genetics, 22</w:t>
      </w:r>
      <w:r w:rsidRPr="004F1922">
        <w:rPr>
          <w:rFonts w:asciiTheme="minorHAnsi" w:hAnsiTheme="minorHAnsi"/>
          <w:noProof/>
        </w:rPr>
        <w:t>, 2948</w:t>
      </w:r>
      <w:r w:rsidR="00E323EB">
        <w:rPr>
          <w:rFonts w:asciiTheme="minorHAnsi" w:hAnsiTheme="minorHAnsi"/>
          <w:noProof/>
          <w:lang w:val="nl-NL"/>
        </w:rPr>
        <w:t>–</w:t>
      </w:r>
      <w:r w:rsidRPr="004F1922">
        <w:rPr>
          <w:rFonts w:asciiTheme="minorHAnsi" w:hAnsiTheme="minorHAnsi"/>
          <w:noProof/>
        </w:rPr>
        <w:t>2959.</w:t>
      </w:r>
      <w:bookmarkEnd w:id="8"/>
    </w:p>
    <w:sectPr w:rsidR="005044C2" w:rsidSect="003668C1">
      <w:pgSz w:w="12240" w:h="15840"/>
      <w:pgMar w:top="126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hyphenationZone w:val="425"/>
  <w:characterSpacingControl w:val="doNotCompress"/>
  <w:compat>
    <w:useFELayout/>
  </w:compat>
  <w:docVars>
    <w:docVar w:name="EN.InstantFormat" w:val="&lt;ENInstantFormat&gt;&lt;Enabled&gt;0&lt;/Enabled&gt;&lt;ScanUnformatted&gt;1&lt;/ScanUnformatted&gt;&lt;ScanChanges&gt;1&lt;/ScanChanges&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ppendix2.enl&lt;/item&gt;&lt;/Libraries&gt;&lt;/ENLibraries&gt;"/>
  </w:docVars>
  <w:rsids>
    <w:rsidRoot w:val="00C66291"/>
    <w:rsid w:val="00067C52"/>
    <w:rsid w:val="000C3CF7"/>
    <w:rsid w:val="000F6DF4"/>
    <w:rsid w:val="00123921"/>
    <w:rsid w:val="002952B0"/>
    <w:rsid w:val="003172D6"/>
    <w:rsid w:val="003668C1"/>
    <w:rsid w:val="003A4B5F"/>
    <w:rsid w:val="00473ED7"/>
    <w:rsid w:val="00481036"/>
    <w:rsid w:val="004B55DF"/>
    <w:rsid w:val="004F1922"/>
    <w:rsid w:val="005044C2"/>
    <w:rsid w:val="00511328"/>
    <w:rsid w:val="005A56A9"/>
    <w:rsid w:val="005E430A"/>
    <w:rsid w:val="006E3B46"/>
    <w:rsid w:val="007144E4"/>
    <w:rsid w:val="007C18A0"/>
    <w:rsid w:val="007F703B"/>
    <w:rsid w:val="008A1C25"/>
    <w:rsid w:val="008A731B"/>
    <w:rsid w:val="008B07F6"/>
    <w:rsid w:val="008B3F3A"/>
    <w:rsid w:val="008E7805"/>
    <w:rsid w:val="009064D8"/>
    <w:rsid w:val="00976A5D"/>
    <w:rsid w:val="009A6A88"/>
    <w:rsid w:val="009B482D"/>
    <w:rsid w:val="009D0859"/>
    <w:rsid w:val="00A65527"/>
    <w:rsid w:val="00AB1258"/>
    <w:rsid w:val="00AE2986"/>
    <w:rsid w:val="00B20DC3"/>
    <w:rsid w:val="00B3592D"/>
    <w:rsid w:val="00BA6408"/>
    <w:rsid w:val="00C66291"/>
    <w:rsid w:val="00C721DA"/>
    <w:rsid w:val="00C82F6F"/>
    <w:rsid w:val="00CD007F"/>
    <w:rsid w:val="00CD0B4A"/>
    <w:rsid w:val="00CE76F5"/>
    <w:rsid w:val="00DC7249"/>
    <w:rsid w:val="00E23EC0"/>
    <w:rsid w:val="00E323EB"/>
    <w:rsid w:val="00E344FC"/>
    <w:rsid w:val="00E43772"/>
    <w:rsid w:val="00EC5C16"/>
    <w:rsid w:val="00F07A68"/>
    <w:rsid w:val="00F16052"/>
    <w:rsid w:val="00F4217A"/>
    <w:rsid w:val="00FF3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91"/>
    <w:rPr>
      <w:rFonts w:ascii="Tahoma" w:hAnsi="Tahoma" w:cs="Tahoma"/>
      <w:sz w:val="16"/>
      <w:szCs w:val="16"/>
      <w:lang w:val="nl-NL" w:eastAsia="nl-NL"/>
    </w:rPr>
  </w:style>
  <w:style w:type="character" w:styleId="Emphasis">
    <w:name w:val="Emphasis"/>
    <w:basedOn w:val="DefaultParagraphFont"/>
    <w:uiPriority w:val="20"/>
    <w:qFormat/>
    <w:rsid w:val="00C66291"/>
    <w:rPr>
      <w:i/>
      <w:iCs/>
    </w:rPr>
  </w:style>
  <w:style w:type="character" w:styleId="CommentReference">
    <w:name w:val="annotation reference"/>
    <w:basedOn w:val="DefaultParagraphFont"/>
    <w:uiPriority w:val="99"/>
    <w:semiHidden/>
    <w:unhideWhenUsed/>
    <w:rsid w:val="00C66291"/>
    <w:rPr>
      <w:sz w:val="16"/>
      <w:szCs w:val="16"/>
    </w:rPr>
  </w:style>
  <w:style w:type="paragraph" w:styleId="CommentText">
    <w:name w:val="annotation text"/>
    <w:basedOn w:val="Normal"/>
    <w:link w:val="CommentTextChar"/>
    <w:uiPriority w:val="99"/>
    <w:semiHidden/>
    <w:unhideWhenUsed/>
    <w:rsid w:val="00C66291"/>
    <w:pPr>
      <w:spacing w:line="240" w:lineRule="auto"/>
    </w:pPr>
    <w:rPr>
      <w:sz w:val="20"/>
      <w:szCs w:val="20"/>
    </w:rPr>
  </w:style>
  <w:style w:type="character" w:customStyle="1" w:styleId="CommentTextChar">
    <w:name w:val="Comment Text Char"/>
    <w:basedOn w:val="DefaultParagraphFont"/>
    <w:link w:val="CommentText"/>
    <w:uiPriority w:val="99"/>
    <w:semiHidden/>
    <w:rsid w:val="00C66291"/>
    <w:rPr>
      <w:sz w:val="20"/>
      <w:szCs w:val="20"/>
      <w:lang w:val="nl-NL" w:eastAsia="nl-NL"/>
    </w:rPr>
  </w:style>
  <w:style w:type="paragraph" w:styleId="CommentSubject">
    <w:name w:val="annotation subject"/>
    <w:basedOn w:val="CommentText"/>
    <w:next w:val="CommentText"/>
    <w:link w:val="CommentSubjectChar"/>
    <w:uiPriority w:val="99"/>
    <w:semiHidden/>
    <w:unhideWhenUsed/>
    <w:rsid w:val="00C66291"/>
    <w:rPr>
      <w:b/>
      <w:bCs/>
    </w:rPr>
  </w:style>
  <w:style w:type="character" w:customStyle="1" w:styleId="CommentSubjectChar">
    <w:name w:val="Comment Subject Char"/>
    <w:basedOn w:val="CommentTextChar"/>
    <w:link w:val="CommentSubject"/>
    <w:uiPriority w:val="99"/>
    <w:semiHidden/>
    <w:rsid w:val="00C66291"/>
    <w:rPr>
      <w:b/>
      <w:bCs/>
      <w:sz w:val="20"/>
      <w:szCs w:val="20"/>
      <w:lang w:val="nl-NL" w:eastAsia="nl-NL"/>
    </w:rPr>
  </w:style>
  <w:style w:type="paragraph" w:styleId="Revision">
    <w:name w:val="Revision"/>
    <w:hidden/>
    <w:uiPriority w:val="99"/>
    <w:semiHidden/>
    <w:rsid w:val="00C66291"/>
    <w:pPr>
      <w:spacing w:after="0" w:line="240" w:lineRule="auto"/>
    </w:pPr>
    <w:rPr>
      <w:lang w:val="nl-NL" w:eastAsia="nl-NL"/>
    </w:rPr>
  </w:style>
  <w:style w:type="paragraph" w:customStyle="1" w:styleId="EndNoteBibliography">
    <w:name w:val="EndNote Bibliography"/>
    <w:basedOn w:val="Normal"/>
    <w:rsid w:val="00C66291"/>
    <w:pPr>
      <w:spacing w:line="240" w:lineRule="auto"/>
    </w:pPr>
    <w:rPr>
      <w:rFonts w:ascii="Calibri" w:hAnsi="Calibri"/>
      <w:lang w:val="en-US" w:eastAsia="zh-CN"/>
    </w:rPr>
  </w:style>
  <w:style w:type="paragraph" w:styleId="NoSpacing">
    <w:name w:val="No Spacing"/>
    <w:uiPriority w:val="1"/>
    <w:qFormat/>
    <w:rsid w:val="003668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91"/>
    <w:rPr>
      <w:rFonts w:ascii="Tahoma" w:hAnsi="Tahoma" w:cs="Tahoma"/>
      <w:sz w:val="16"/>
      <w:szCs w:val="16"/>
      <w:lang w:val="nl-NL" w:eastAsia="nl-NL"/>
    </w:rPr>
  </w:style>
  <w:style w:type="character" w:styleId="Emphasis">
    <w:name w:val="Emphasis"/>
    <w:basedOn w:val="DefaultParagraphFont"/>
    <w:uiPriority w:val="20"/>
    <w:qFormat/>
    <w:rsid w:val="00C66291"/>
    <w:rPr>
      <w:i/>
      <w:iCs/>
    </w:rPr>
  </w:style>
  <w:style w:type="character" w:styleId="CommentReference">
    <w:name w:val="annotation reference"/>
    <w:basedOn w:val="DefaultParagraphFont"/>
    <w:uiPriority w:val="99"/>
    <w:semiHidden/>
    <w:unhideWhenUsed/>
    <w:rsid w:val="00C66291"/>
    <w:rPr>
      <w:sz w:val="16"/>
      <w:szCs w:val="16"/>
    </w:rPr>
  </w:style>
  <w:style w:type="paragraph" w:styleId="CommentText">
    <w:name w:val="annotation text"/>
    <w:basedOn w:val="Normal"/>
    <w:link w:val="CommentTextChar"/>
    <w:uiPriority w:val="99"/>
    <w:semiHidden/>
    <w:unhideWhenUsed/>
    <w:rsid w:val="00C66291"/>
    <w:pPr>
      <w:spacing w:line="240" w:lineRule="auto"/>
    </w:pPr>
    <w:rPr>
      <w:sz w:val="20"/>
      <w:szCs w:val="20"/>
    </w:rPr>
  </w:style>
  <w:style w:type="character" w:customStyle="1" w:styleId="CommentTextChar">
    <w:name w:val="Comment Text Char"/>
    <w:basedOn w:val="DefaultParagraphFont"/>
    <w:link w:val="CommentText"/>
    <w:uiPriority w:val="99"/>
    <w:semiHidden/>
    <w:rsid w:val="00C66291"/>
    <w:rPr>
      <w:sz w:val="20"/>
      <w:szCs w:val="20"/>
      <w:lang w:val="nl-NL" w:eastAsia="nl-NL"/>
    </w:rPr>
  </w:style>
  <w:style w:type="paragraph" w:styleId="CommentSubject">
    <w:name w:val="annotation subject"/>
    <w:basedOn w:val="CommentText"/>
    <w:next w:val="CommentText"/>
    <w:link w:val="CommentSubjectChar"/>
    <w:uiPriority w:val="99"/>
    <w:semiHidden/>
    <w:unhideWhenUsed/>
    <w:rsid w:val="00C66291"/>
    <w:rPr>
      <w:b/>
      <w:bCs/>
    </w:rPr>
  </w:style>
  <w:style w:type="character" w:customStyle="1" w:styleId="CommentSubjectChar">
    <w:name w:val="Comment Subject Char"/>
    <w:basedOn w:val="CommentTextChar"/>
    <w:link w:val="CommentSubject"/>
    <w:uiPriority w:val="99"/>
    <w:semiHidden/>
    <w:rsid w:val="00C66291"/>
    <w:rPr>
      <w:b/>
      <w:bCs/>
      <w:sz w:val="20"/>
      <w:szCs w:val="20"/>
      <w:lang w:val="nl-NL" w:eastAsia="nl-NL"/>
    </w:rPr>
  </w:style>
  <w:style w:type="paragraph" w:styleId="Revision">
    <w:name w:val="Revision"/>
    <w:hidden/>
    <w:uiPriority w:val="99"/>
    <w:semiHidden/>
    <w:rsid w:val="00C66291"/>
    <w:pPr>
      <w:spacing w:after="0" w:line="240" w:lineRule="auto"/>
    </w:pPr>
    <w:rPr>
      <w:lang w:val="nl-NL" w:eastAsia="nl-NL"/>
    </w:rPr>
  </w:style>
  <w:style w:type="paragraph" w:customStyle="1" w:styleId="EndNoteBibliography">
    <w:name w:val="EndNote Bibliography"/>
    <w:basedOn w:val="Normal"/>
    <w:rsid w:val="00C66291"/>
    <w:pPr>
      <w:spacing w:line="240" w:lineRule="auto"/>
    </w:pPr>
    <w:rPr>
      <w:rFonts w:ascii="Calibri" w:hAnsi="Calibri"/>
      <w:lang w:val="en-US" w:eastAsia="zh-CN"/>
    </w:rPr>
  </w:style>
  <w:style w:type="paragraph" w:styleId="NoSpacing">
    <w:name w:val="No Spacing"/>
    <w:uiPriority w:val="1"/>
    <w:qFormat/>
    <w:rsid w:val="003668C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81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2016-10-06T01:33:00Z</dcterms:created>
  <dcterms:modified xsi:type="dcterms:W3CDTF">2016-10-06T01:52:00Z</dcterms:modified>
</cp:coreProperties>
</file>