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6A09" w:rsidRDefault="00C87867">
      <w:r>
        <w:rPr>
          <w:noProof/>
        </w:rPr>
        <w:drawing>
          <wp:inline distT="0" distB="0" distL="0" distR="0">
            <wp:extent cx="5731510" cy="57315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S1_histogram_PSYCH6_PSYCH6-IRT_SOMA6_SOMA-IRT_by-studyWave.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C87867" w:rsidRDefault="00C87867">
      <w:r w:rsidRPr="009A427D">
        <w:rPr>
          <w:b/>
        </w:rPr>
        <w:t>Figure S1</w:t>
      </w:r>
      <w:r w:rsidRPr="009A427D">
        <w:t xml:space="preserve"> </w:t>
      </w:r>
      <w:r w:rsidRPr="009A427D">
        <w:rPr>
          <w:b/>
        </w:rPr>
        <w:t>Distribution of psychological distress (PSYCH6) and somatic distress (SOMA6) summed scores (CTT) and IRT scores (IRT) in three study waves (left to right: NU1, NU2 and NU3) and across the three waves (pooled)</w:t>
      </w:r>
      <w:r w:rsidRPr="009A427D">
        <w:t xml:space="preserve">. The </w:t>
      </w:r>
      <w:proofErr w:type="spellStart"/>
      <w:r w:rsidRPr="009A427D">
        <w:t>colors</w:t>
      </w:r>
      <w:proofErr w:type="spellEnd"/>
      <w:r w:rsidRPr="009A427D">
        <w:t xml:space="preserve"> contrast the summed scores (orange) by classical test theory (CTT) and IRT scores (blue) generated by IRT modelling.</w:t>
      </w:r>
    </w:p>
    <w:p w:rsidR="00C87867" w:rsidRDefault="00C87867">
      <w:r>
        <w:br w:type="page"/>
      </w:r>
    </w:p>
    <w:p w:rsidR="00C87867" w:rsidRDefault="00C87867">
      <w:r>
        <w:rPr>
          <w:noProof/>
        </w:rPr>
        <w:lastRenderedPageBreak/>
        <w:drawing>
          <wp:inline distT="0" distB="0" distL="0" distR="0">
            <wp:extent cx="5731510" cy="3582035"/>
            <wp:effectExtent l="0" t="0" r="2540" b="0"/>
            <wp:docPr id="2" name="Figure_S2_IRSF_PSYCH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S2_IRSF_PSYCH6.tiff"/>
                    <pic:cNvPicPr/>
                  </pic:nvPicPr>
                  <pic:blipFill>
                    <a:blip r:embed="rId5" r:link="rId6"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inline>
        </w:drawing>
      </w:r>
    </w:p>
    <w:p w:rsidR="00C87867" w:rsidRDefault="00C87867">
      <w:r w:rsidRPr="009A427D">
        <w:rPr>
          <w:b/>
        </w:rPr>
        <w:t>Figure S2 Nonparametric item response theory (IRT) model for each of the six items of psychological (PSYCH6) distress subscale of the SPHERE12 questionnaire</w:t>
      </w:r>
      <w:r w:rsidRPr="009A427D">
        <w:t>. For each item, the blue item response step functions (IRSF) was computed to estimate the probability of having the symptom more than sometimes. The orange IRSF was computed to estimate the probability of having the symptom most of the time. Dotted curves represented the 95% confidence interval of the IRSFs. In nonparametric IRT, IRSFs are not constrained to be logistic.</w:t>
      </w:r>
    </w:p>
    <w:p w:rsidR="00C87867" w:rsidRDefault="00C87867">
      <w:r>
        <w:br w:type="page"/>
      </w:r>
    </w:p>
    <w:p w:rsidR="00C87867" w:rsidRDefault="00C87867">
      <w:r>
        <w:rPr>
          <w:noProof/>
        </w:rPr>
        <w:lastRenderedPageBreak/>
        <w:drawing>
          <wp:inline distT="0" distB="0" distL="0" distR="0">
            <wp:extent cx="5731510" cy="3582035"/>
            <wp:effectExtent l="0" t="0" r="2540" b="0"/>
            <wp:docPr id="3" name="Figure_S3_IRSF_SOMA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S3_IRSF_SOMA6.tiff"/>
                    <pic:cNvPicPr/>
                  </pic:nvPicPr>
                  <pic:blipFill>
                    <a:blip r:embed="rId7" r:link="rId8" cstate="print">
                      <a:extLst>
                        <a:ext uri="{28A0092B-C50C-407E-A947-70E740481C1C}">
                          <a14:useLocalDpi xmlns:a14="http://schemas.microsoft.com/office/drawing/2010/main" val="0"/>
                        </a:ext>
                      </a:extLst>
                    </a:blip>
                    <a:stretch>
                      <a:fillRect/>
                    </a:stretch>
                  </pic:blipFill>
                  <pic:spPr>
                    <a:xfrm>
                      <a:off x="0" y="0"/>
                      <a:ext cx="5731510" cy="3582035"/>
                    </a:xfrm>
                    <a:prstGeom prst="rect">
                      <a:avLst/>
                    </a:prstGeom>
                  </pic:spPr>
                </pic:pic>
              </a:graphicData>
            </a:graphic>
          </wp:inline>
        </w:drawing>
      </w:r>
    </w:p>
    <w:p w:rsidR="00C87867" w:rsidRPr="009A427D" w:rsidRDefault="00C87867" w:rsidP="00C87867">
      <w:r w:rsidRPr="009A427D">
        <w:rPr>
          <w:b/>
        </w:rPr>
        <w:t>Figure S3 Nonparametric IRT model for each of the six items of somatic (SOMA6) distress subscale of the SPHERE12 questionnaire</w:t>
      </w:r>
      <w:r w:rsidRPr="009A427D">
        <w:t>. See Figure S2 for details of IRSFs.</w:t>
      </w:r>
    </w:p>
    <w:p w:rsidR="00C87867" w:rsidRDefault="00C87867">
      <w:pPr>
        <w:rPr>
          <w:b/>
        </w:rPr>
      </w:pPr>
      <w:r>
        <w:rPr>
          <w:b/>
        </w:rPr>
        <w:br w:type="page"/>
      </w:r>
    </w:p>
    <w:p w:rsidR="00C87867" w:rsidRDefault="00C87867" w:rsidP="00C87867">
      <w:pPr>
        <w:rPr>
          <w:b/>
        </w:rPr>
      </w:pPr>
      <w:r>
        <w:rPr>
          <w:b/>
          <w:noProof/>
        </w:rPr>
        <w:lastRenderedPageBreak/>
        <w:drawing>
          <wp:inline distT="0" distB="0" distL="0" distR="0">
            <wp:extent cx="5731510" cy="2605405"/>
            <wp:effectExtent l="0" t="0" r="2540" b="4445"/>
            <wp:docPr id="4" name="Figure_S4_IRSF_affectDisorder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S4_IRSF_affectDisorders.tiff"/>
                    <pic:cNvPicPr/>
                  </pic:nvPicPr>
                  <pic:blipFill>
                    <a:blip r:embed="rId9" r:link="rId10" cstate="print">
                      <a:extLst>
                        <a:ext uri="{28A0092B-C50C-407E-A947-70E740481C1C}">
                          <a14:useLocalDpi xmlns:a14="http://schemas.microsoft.com/office/drawing/2010/main" val="0"/>
                        </a:ext>
                      </a:extLst>
                    </a:blip>
                    <a:stretch>
                      <a:fillRect/>
                    </a:stretch>
                  </pic:blipFill>
                  <pic:spPr>
                    <a:xfrm>
                      <a:off x="0" y="0"/>
                      <a:ext cx="5731510" cy="2605405"/>
                    </a:xfrm>
                    <a:prstGeom prst="rect">
                      <a:avLst/>
                    </a:prstGeom>
                  </pic:spPr>
                </pic:pic>
              </a:graphicData>
            </a:graphic>
          </wp:inline>
        </w:drawing>
      </w:r>
    </w:p>
    <w:p w:rsidR="00C87867" w:rsidRDefault="00C87867" w:rsidP="00C87867">
      <w:r w:rsidRPr="009A427D">
        <w:rPr>
          <w:b/>
        </w:rPr>
        <w:t>Figure S4 Nonparametric IRT model for six binary diagnoses of affective disorders and psychosis (AD)</w:t>
      </w:r>
      <w:r w:rsidRPr="009A427D">
        <w:t xml:space="preserve">. These diagnoses included (1) agoraphobia, (2) depressive episodes, (3) major depressive disorder, (4) panic attack, (5) panic disorder, and (6) social anxiety. These items were </w:t>
      </w:r>
      <w:r w:rsidRPr="009A427D">
        <w:rPr>
          <w:noProof/>
        </w:rPr>
        <w:t>included because they showed acceptable monotonically nondecreasing in their</w:t>
      </w:r>
      <w:r w:rsidRPr="009A427D">
        <w:t xml:space="preserve"> item response step function (IRSF). Dotted curves represented the 95% confidence interval of the IRSFs.</w:t>
      </w:r>
    </w:p>
    <w:p w:rsidR="00C87867" w:rsidRDefault="00C87867">
      <w:r>
        <w:br w:type="page"/>
      </w:r>
    </w:p>
    <w:p w:rsidR="00C87867" w:rsidRDefault="00C87867" w:rsidP="00C87867">
      <w:r>
        <w:rPr>
          <w:noProof/>
        </w:rPr>
        <w:lastRenderedPageBreak/>
        <w:drawing>
          <wp:inline distT="0" distB="0" distL="0" distR="0">
            <wp:extent cx="5731510" cy="1910715"/>
            <wp:effectExtent l="0" t="0" r="2540" b="0"/>
            <wp:docPr id="5" name="Figure_S5_IRSF_substanceUs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S5_IRSF_substanceUse.tiff"/>
                    <pic:cNvPicPr/>
                  </pic:nvPicPr>
                  <pic:blipFill>
                    <a:blip r:embed="rId11" r:link="rId12" cstate="print">
                      <a:extLst>
                        <a:ext uri="{28A0092B-C50C-407E-A947-70E740481C1C}">
                          <a14:useLocalDpi xmlns:a14="http://schemas.microsoft.com/office/drawing/2010/main" val="0"/>
                        </a:ext>
                      </a:extLst>
                    </a:blip>
                    <a:stretch>
                      <a:fillRect/>
                    </a:stretch>
                  </pic:blipFill>
                  <pic:spPr>
                    <a:xfrm>
                      <a:off x="0" y="0"/>
                      <a:ext cx="5731510" cy="1910715"/>
                    </a:xfrm>
                    <a:prstGeom prst="rect">
                      <a:avLst/>
                    </a:prstGeom>
                  </pic:spPr>
                </pic:pic>
              </a:graphicData>
            </a:graphic>
          </wp:inline>
        </w:drawing>
      </w:r>
    </w:p>
    <w:p w:rsidR="00C87867" w:rsidRDefault="00C87867" w:rsidP="00C87867">
      <w:r w:rsidRPr="009A427D">
        <w:rPr>
          <w:b/>
        </w:rPr>
        <w:t>Figure S5 Nonparametric IRT model for three ordinal diagnoses of substance use (SU): DSM-V diagnoses of alcohol use disorder, cannabis use disorder, and degree of drug use</w:t>
      </w:r>
      <w:r w:rsidRPr="009A427D">
        <w:t xml:space="preserve">. We quantified the degree of drug use from the use of 9 drugs, including amphetamines, analgesics, cocaine, ecstasy, hallucinogens, inhalants, opioids, sedatives and stimulants. This variable was coded as 0 for using </w:t>
      </w:r>
      <w:r w:rsidRPr="009A427D">
        <w:rPr>
          <w:noProof/>
        </w:rPr>
        <w:t>none</w:t>
      </w:r>
      <w:r w:rsidRPr="009A427D">
        <w:t xml:space="preserve"> of these 9 drugs, 1 for using any one of them, 2 for using any two of them, and 3 for using 3 of them or more. Dotted curves represented the 95% confidence interval of the IRSFs.</w:t>
      </w:r>
    </w:p>
    <w:p w:rsidR="00C87867" w:rsidRDefault="00C87867">
      <w:r>
        <w:br w:type="page"/>
      </w:r>
    </w:p>
    <w:p w:rsidR="00C87867" w:rsidRDefault="00C87867" w:rsidP="00C87867">
      <w:r>
        <w:rPr>
          <w:noProof/>
        </w:rPr>
        <w:lastRenderedPageBreak/>
        <w:drawing>
          <wp:inline distT="0" distB="0" distL="0" distR="0">
            <wp:extent cx="5731510" cy="3556000"/>
            <wp:effectExtent l="0" t="0" r="2540" b="6350"/>
            <wp:docPr id="6" name="Figure_S6_pathDiagram_4variateM1-M4_choleskyACE_pathCoeffici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_S6_pathDiagram_4variateM1-M4_choleskyACE_pathCoefficients.png"/>
                    <pic:cNvPicPr/>
                  </pic:nvPicPr>
                  <pic:blipFill>
                    <a:blip r:embed="rId13" r:link="rId14" cstate="print">
                      <a:extLst>
                        <a:ext uri="{28A0092B-C50C-407E-A947-70E740481C1C}">
                          <a14:useLocalDpi xmlns:a14="http://schemas.microsoft.com/office/drawing/2010/main" val="0"/>
                        </a:ext>
                      </a:extLst>
                    </a:blip>
                    <a:stretch>
                      <a:fillRect/>
                    </a:stretch>
                  </pic:blipFill>
                  <pic:spPr>
                    <a:xfrm>
                      <a:off x="0" y="0"/>
                      <a:ext cx="5731510" cy="3556000"/>
                    </a:xfrm>
                    <a:prstGeom prst="rect">
                      <a:avLst/>
                    </a:prstGeom>
                  </pic:spPr>
                </pic:pic>
              </a:graphicData>
            </a:graphic>
          </wp:inline>
        </w:drawing>
      </w:r>
    </w:p>
    <w:p w:rsidR="00352BFF" w:rsidRDefault="00C87867" w:rsidP="00C87867">
      <w:pPr>
        <w:rPr>
          <w:b/>
        </w:rPr>
      </w:pPr>
      <w:r w:rsidRPr="009A427D">
        <w:rPr>
          <w:b/>
        </w:rPr>
        <w:t xml:space="preserve">Figure S6 Path diagram of a Cholesky ACE model with four observed variables (Measure1 to Measure4) and three sets of latent variables - additive genetic factors (A1-A4), shared environmental factors (red C1-C4) and unique environmental factors (blue E1-E4). </w:t>
      </w:r>
      <w:r w:rsidRPr="009A427D">
        <w:t>Circles</w:t>
      </w:r>
      <w:r w:rsidRPr="009A427D">
        <w:rPr>
          <w:b/>
        </w:rPr>
        <w:t xml:space="preserve"> </w:t>
      </w:r>
      <w:r w:rsidRPr="009A427D">
        <w:t>indicate latent variables and rectangles indicate observed variables (Measure1 to Measure4). Hypothesized loading of each factor is indicated by the initial of the observed and latent variable names (e.g. a1m1 for the loading of A1 onto Measure1)</w:t>
      </w:r>
      <w:r w:rsidRPr="009A427D">
        <w:rPr>
          <w:b/>
        </w:rPr>
        <w:t>.</w:t>
      </w:r>
    </w:p>
    <w:p w:rsidR="00352BFF" w:rsidRDefault="00352BFF">
      <w:pPr>
        <w:rPr>
          <w:b/>
        </w:rPr>
      </w:pPr>
      <w:r>
        <w:rPr>
          <w:b/>
        </w:rPr>
        <w:br w:type="page"/>
      </w:r>
    </w:p>
    <w:p w:rsidR="00C87867" w:rsidRDefault="00352BFF" w:rsidP="00C87867">
      <w:r>
        <w:rPr>
          <w:noProof/>
        </w:rPr>
        <w:lastRenderedPageBreak/>
        <w:drawing>
          <wp:inline distT="0" distB="0" distL="0" distR="0">
            <wp:extent cx="5731510" cy="3556000"/>
            <wp:effectExtent l="0" t="0" r="2540" b="6350"/>
            <wp:docPr id="7" name="Figure_S7_pathDiagram_4variateM1-M4_independent-pathway-modelACE_pathCoeffici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S7_pathDiagram_4variateM1-M4_independent-pathway-modelACE_pathCoefficients.png"/>
                    <pic:cNvPicPr/>
                  </pic:nvPicPr>
                  <pic:blipFill>
                    <a:blip r:embed="rId15" r:link="rId16" cstate="print">
                      <a:extLst>
                        <a:ext uri="{28A0092B-C50C-407E-A947-70E740481C1C}">
                          <a14:useLocalDpi xmlns:a14="http://schemas.microsoft.com/office/drawing/2010/main" val="0"/>
                        </a:ext>
                      </a:extLst>
                    </a:blip>
                    <a:stretch>
                      <a:fillRect/>
                    </a:stretch>
                  </pic:blipFill>
                  <pic:spPr>
                    <a:xfrm>
                      <a:off x="0" y="0"/>
                      <a:ext cx="5731510" cy="3556000"/>
                    </a:xfrm>
                    <a:prstGeom prst="rect">
                      <a:avLst/>
                    </a:prstGeom>
                  </pic:spPr>
                </pic:pic>
              </a:graphicData>
            </a:graphic>
          </wp:inline>
        </w:drawing>
      </w:r>
    </w:p>
    <w:p w:rsidR="00352BFF" w:rsidRPr="009A427D" w:rsidRDefault="00352BFF" w:rsidP="00352BFF">
      <w:r w:rsidRPr="009A427D">
        <w:rPr>
          <w:b/>
        </w:rPr>
        <w:t xml:space="preserve">Figure S7 Path diagram of an independent pathway model with four observed variables and three sets of latent variables - additive genetic factors (Ac, As1- As4), shared environmental factors (red Cc, Cs1-Cs4) and unique environmental factors (blue </w:t>
      </w:r>
      <w:proofErr w:type="spellStart"/>
      <w:r w:rsidRPr="009A427D">
        <w:rPr>
          <w:b/>
        </w:rPr>
        <w:t>Ec</w:t>
      </w:r>
      <w:proofErr w:type="spellEnd"/>
      <w:r w:rsidRPr="009A427D">
        <w:rPr>
          <w:b/>
        </w:rPr>
        <w:t xml:space="preserve">, Es1-Es4). </w:t>
      </w:r>
      <w:r w:rsidRPr="009A427D">
        <w:t>Lower-case “c” indicates the latent factor is common to all the observed variables whereas “s” indicates that the latent variable is specific to an observed variable. Factor loading of a latent variable onto an observed variable is indicated by the combination of the latent variable name and the initial of the observed variable name (e.g. AcM1 for loading of Ac onto Measure1).</w:t>
      </w:r>
    </w:p>
    <w:p w:rsidR="00352BFF" w:rsidRDefault="00352BFF">
      <w:r>
        <w:br w:type="page"/>
      </w:r>
    </w:p>
    <w:p w:rsidR="00352BFF" w:rsidRDefault="00352BFF" w:rsidP="00C87867">
      <w:r>
        <w:rPr>
          <w:noProof/>
        </w:rPr>
        <w:lastRenderedPageBreak/>
        <w:drawing>
          <wp:inline distT="0" distB="0" distL="0" distR="0">
            <wp:extent cx="5731510" cy="3556000"/>
            <wp:effectExtent l="0" t="0" r="2540" b="6350"/>
            <wp:docPr id="8" name="Figure_S8_pathDiagram_4variateM1-M4_common-pathway-modelACE_pathCoeffici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_S8_pathDiagram_4variateM1-M4_common-pathway-modelACE_pathCoefficients.png"/>
                    <pic:cNvPicPr/>
                  </pic:nvPicPr>
                  <pic:blipFill>
                    <a:blip r:embed="rId17" r:link="rId18" cstate="print">
                      <a:extLst>
                        <a:ext uri="{28A0092B-C50C-407E-A947-70E740481C1C}">
                          <a14:useLocalDpi xmlns:a14="http://schemas.microsoft.com/office/drawing/2010/main" val="0"/>
                        </a:ext>
                      </a:extLst>
                    </a:blip>
                    <a:stretch>
                      <a:fillRect/>
                    </a:stretch>
                  </pic:blipFill>
                  <pic:spPr>
                    <a:xfrm>
                      <a:off x="0" y="0"/>
                      <a:ext cx="5731510" cy="3556000"/>
                    </a:xfrm>
                    <a:prstGeom prst="rect">
                      <a:avLst/>
                    </a:prstGeom>
                  </pic:spPr>
                </pic:pic>
              </a:graphicData>
            </a:graphic>
          </wp:inline>
        </w:drawing>
      </w:r>
    </w:p>
    <w:p w:rsidR="00E24307" w:rsidRDefault="00352BFF">
      <w:r w:rsidRPr="009A427D">
        <w:rPr>
          <w:b/>
        </w:rPr>
        <w:t xml:space="preserve">Figure S8 Path diagram of a common pathway model with four observed variables (Measure1 to Measure4) and three sets of latent variables - additive genetic factors (Ac, As1- As4), shared environmental factors (red Cc, Cs1-Cs4) and unique environmental factors (blue </w:t>
      </w:r>
      <w:proofErr w:type="spellStart"/>
      <w:r w:rsidRPr="009A427D">
        <w:rPr>
          <w:b/>
        </w:rPr>
        <w:t>Ec</w:t>
      </w:r>
      <w:proofErr w:type="spellEnd"/>
      <w:r w:rsidRPr="009A427D">
        <w:rPr>
          <w:b/>
        </w:rPr>
        <w:t xml:space="preserve">, Es1-Es4). </w:t>
      </w:r>
      <w:r w:rsidRPr="009A427D">
        <w:t>This</w:t>
      </w:r>
      <w:r w:rsidRPr="009A427D">
        <w:rPr>
          <w:b/>
        </w:rPr>
        <w:t xml:space="preserve"> </w:t>
      </w:r>
      <w:r w:rsidRPr="009A427D">
        <w:t xml:space="preserve">model assumes that Ac, Cc and </w:t>
      </w:r>
      <w:proofErr w:type="spellStart"/>
      <w:r w:rsidRPr="009A427D">
        <w:t>Ec</w:t>
      </w:r>
      <w:proofErr w:type="spellEnd"/>
      <w:r w:rsidRPr="009A427D">
        <w:t xml:space="preserve"> are best explained by a latent factor (</w:t>
      </w:r>
      <w:proofErr w:type="spellStart"/>
      <w:r w:rsidRPr="009A427D">
        <w:t>Latent_factor</w:t>
      </w:r>
      <w:proofErr w:type="spellEnd"/>
      <w:r w:rsidRPr="009A427D">
        <w:t>), which influences the four observed variables with loading f1-f4. The assumption of the influences of specific genetic factors (As1-As4), specific shared environmental factors (Cs1-Cs4) and specific shared environmental factors (Es1-Es4) is similar to that of the independent pathway model.</w:t>
      </w:r>
      <w:bookmarkStart w:id="0" w:name="_GoBack"/>
      <w:bookmarkEnd w:id="0"/>
    </w:p>
    <w:p w:rsidR="00726840" w:rsidRDefault="00726840"/>
    <w:p w:rsidR="00352BFF" w:rsidRDefault="00352BFF" w:rsidP="00C87867"/>
    <w:p w:rsidR="00C87867" w:rsidRPr="009A427D" w:rsidRDefault="00C87867" w:rsidP="00C87867"/>
    <w:p w:rsidR="00C87867" w:rsidRDefault="00C87867"/>
    <w:sectPr w:rsidR="00C87867" w:rsidSect="00C8786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A6F"/>
    <w:rsid w:val="001C4B8E"/>
    <w:rsid w:val="00352BFF"/>
    <w:rsid w:val="00726840"/>
    <w:rsid w:val="00C86A09"/>
    <w:rsid w:val="00C87867"/>
    <w:rsid w:val="00E24307"/>
    <w:rsid w:val="00F30A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B8B02"/>
  <w15:chartTrackingRefBased/>
  <w15:docId w15:val="{1F9DE97D-0D77-4C02-9180-22ECEDE81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file:///D:\Now\library_genetics_epidemiology\Chang2017_manuscript01\twinResearchAndHumanGenetics\Figure_S3_IRSF_SOMA6.tiff" TargetMode="External"/><Relationship Id="rId13" Type="http://schemas.openxmlformats.org/officeDocument/2006/relationships/image" Target="media/image6.png"/><Relationship Id="rId18" Type="http://schemas.openxmlformats.org/officeDocument/2006/relationships/image" Target="file:///D:\Now\library_genetics_epidemiology\Chang2017_manuscript01\twinResearchAndHumanGenetics\Figure_S8_pathDiagram_4variateM1-M4_common-pathway-modelACE_pathCoefficients.png" TargetMode="External"/><Relationship Id="rId3" Type="http://schemas.openxmlformats.org/officeDocument/2006/relationships/webSettings" Target="webSettings.xml"/><Relationship Id="rId7" Type="http://schemas.openxmlformats.org/officeDocument/2006/relationships/image" Target="media/image3.tiff"/><Relationship Id="rId12" Type="http://schemas.openxmlformats.org/officeDocument/2006/relationships/image" Target="file:///D:\Now\library_genetics_epidemiology\Chang2017_manuscript01\twinResearchAndHumanGenetics\Figure_S5_IRSF_substanceUse.tiff" TargetMode="External"/><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image" Target="file:///D:\Now\library_genetics_epidemiology\Chang2017_manuscript01\twinResearchAndHumanGenetics\Figure_S7_pathDiagram_4variateM1-M4_independent-pathway-modelACE_pathCoefficients.png"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file:///D:\Now\library_genetics_epidemiology\Chang2017_manuscript01\twinResearchAndHumanGenetics\Figure_S2_IRSF_PSYCH6.tiff" TargetMode="External"/><Relationship Id="rId11" Type="http://schemas.openxmlformats.org/officeDocument/2006/relationships/image" Target="media/image5.tiff"/><Relationship Id="rId5" Type="http://schemas.openxmlformats.org/officeDocument/2006/relationships/image" Target="media/image2.tiff"/><Relationship Id="rId15" Type="http://schemas.openxmlformats.org/officeDocument/2006/relationships/image" Target="media/image7.png"/><Relationship Id="rId10" Type="http://schemas.openxmlformats.org/officeDocument/2006/relationships/image" Target="file:///D:\Now\library_genetics_epidemiology\Chang2017_manuscript01\twinResearchAndHumanGenetics\Figure_S4_IRSF_affectDisorders.tiff" TargetMode="External"/><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tiff"/><Relationship Id="rId14" Type="http://schemas.openxmlformats.org/officeDocument/2006/relationships/image" Target="file:///D:\Now\library_genetics_epidemiology\Chang2017_manuscript01\twinResearchAndHumanGenetics\Figure_S6_pathDiagram_4variateM1-M4_choleskyACE_pathCoefficients.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8</Pages>
  <Words>586</Words>
  <Characters>3342</Characters>
  <Application>Microsoft Office Word</Application>
  <DocSecurity>0</DocSecurity>
  <Lines>27</Lines>
  <Paragraphs>7</Paragraphs>
  <ScaleCrop>false</ScaleCrop>
  <Company/>
  <LinksUpToDate>false</LinksUpToDate>
  <CharactersWithSpaces>3921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chang</dc:creator>
  <cp:keywords/>
  <dc:description/>
  <cp:lastModifiedBy>chang</cp:lastModifiedBy>
  <cp:revision>5</cp:revision>
  <dcterms:created xsi:type="dcterms:W3CDTF">2018-05-03T01:00:00Z</dcterms:created>
  <dcterms:modified xsi:type="dcterms:W3CDTF">2018-05-03T01:06:00Z</dcterms:modified>
</cp:coreProperties>
</file>