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2E409" w14:textId="4A70610F" w:rsidR="000D0F66" w:rsidRDefault="000D0F66" w:rsidP="000D0F66">
      <w:pPr>
        <w:pStyle w:val="Caption"/>
        <w:keepLines/>
        <w:rPr>
          <w:rFonts w:asciiTheme="minorHAnsi" w:hAnsiTheme="minorHAnsi"/>
          <w:sz w:val="24"/>
        </w:rPr>
      </w:pPr>
      <w:bookmarkStart w:id="0" w:name="_GoBack"/>
      <w:bookmarkEnd w:id="0"/>
      <w:r>
        <w:rPr>
          <w:rFonts w:asciiTheme="minorHAnsi" w:hAnsiTheme="minorHAnsi"/>
          <w:sz w:val="24"/>
        </w:rPr>
        <w:t>SUPPPLEMENT S1</w:t>
      </w:r>
      <w:r w:rsidRPr="001A530B">
        <w:rPr>
          <w:rFonts w:asciiTheme="minorHAnsi" w:hAnsiTheme="minorHAnsi"/>
          <w:noProof/>
          <w:sz w:val="24"/>
        </w:rPr>
        <w:t>.</w:t>
      </w:r>
      <w:r>
        <w:rPr>
          <w:rFonts w:asciiTheme="minorHAnsi" w:hAnsiTheme="minorHAnsi"/>
          <w:noProof/>
          <w:sz w:val="24"/>
        </w:rPr>
        <w:t xml:space="preserve">  </w:t>
      </w:r>
      <w:r w:rsidRPr="001A530B">
        <w:rPr>
          <w:rFonts w:asciiTheme="minorHAnsi" w:hAnsiTheme="minorHAnsi"/>
          <w:noProof/>
          <w:sz w:val="24"/>
        </w:rPr>
        <w:t xml:space="preserve"> </w:t>
      </w:r>
      <w:r w:rsidRPr="001A530B">
        <w:rPr>
          <w:rFonts w:asciiTheme="minorHAnsi" w:hAnsiTheme="minorHAnsi"/>
          <w:sz w:val="24"/>
        </w:rPr>
        <w:t xml:space="preserve">Response Status </w:t>
      </w:r>
      <w:r w:rsidR="007C7FF8">
        <w:rPr>
          <w:rFonts w:asciiTheme="minorHAnsi" w:hAnsiTheme="minorHAnsi"/>
          <w:sz w:val="24"/>
        </w:rPr>
        <w:t xml:space="preserve">for 2014 PTTS Survey </w:t>
      </w:r>
      <w:r w:rsidRPr="001A530B">
        <w:rPr>
          <w:rFonts w:asciiTheme="minorHAnsi" w:hAnsiTheme="minorHAnsi"/>
          <w:sz w:val="24"/>
        </w:rPr>
        <w:t>by Family Group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900"/>
        <w:gridCol w:w="725"/>
        <w:gridCol w:w="900"/>
        <w:gridCol w:w="900"/>
        <w:gridCol w:w="1260"/>
        <w:gridCol w:w="1080"/>
      </w:tblGrid>
      <w:tr w:rsidR="000D0F66" w:rsidRPr="00810552" w14:paraId="194F054B" w14:textId="77777777" w:rsidTr="00142CE6">
        <w:trPr>
          <w:trHeight w:val="288"/>
          <w:tblHeader/>
        </w:trPr>
        <w:tc>
          <w:tcPr>
            <w:tcW w:w="4045" w:type="dxa"/>
            <w:vMerge w:val="restart"/>
            <w:shd w:val="clear" w:color="auto" w:fill="auto"/>
            <w:noWrap/>
            <w:vAlign w:val="bottom"/>
          </w:tcPr>
          <w:p w14:paraId="2CC30ED4" w14:textId="77777777" w:rsidR="000D0F66" w:rsidRPr="00810552" w:rsidRDefault="000D0F66" w:rsidP="00142CE6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55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gridSpan w:val="2"/>
            <w:vMerge w:val="restart"/>
            <w:shd w:val="clear" w:color="auto" w:fill="auto"/>
            <w:noWrap/>
            <w:vAlign w:val="center"/>
          </w:tcPr>
          <w:p w14:paraId="521CA186" w14:textId="77777777" w:rsidR="000D0F66" w:rsidRDefault="000D0F66" w:rsidP="00142CE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Families</w:t>
            </w:r>
          </w:p>
        </w:tc>
        <w:tc>
          <w:tcPr>
            <w:tcW w:w="1800" w:type="dxa"/>
            <w:gridSpan w:val="2"/>
            <w:vAlign w:val="center"/>
          </w:tcPr>
          <w:p w14:paraId="2F6D6899" w14:textId="77777777" w:rsidR="000D0F66" w:rsidRDefault="000D0F66" w:rsidP="00142CE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# Families with Non-Twin Siblings Responding 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60" w:type="dxa"/>
            <w:vMerge w:val="restart"/>
            <w:vAlign w:val="center"/>
          </w:tcPr>
          <w:p w14:paraId="13528409" w14:textId="77777777" w:rsidR="000D0F66" w:rsidRDefault="000D0F66" w:rsidP="00142CE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Individuals Responding</w:t>
            </w:r>
          </w:p>
        </w:tc>
        <w:tc>
          <w:tcPr>
            <w:tcW w:w="1080" w:type="dxa"/>
            <w:vMerge w:val="restart"/>
            <w:vAlign w:val="center"/>
          </w:tcPr>
          <w:p w14:paraId="5FA00790" w14:textId="77777777" w:rsidR="000D0F66" w:rsidRDefault="000D0F66" w:rsidP="00142CE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Individuals</w:t>
            </w:r>
          </w:p>
        </w:tc>
      </w:tr>
      <w:tr w:rsidR="000D0F66" w:rsidRPr="00810552" w14:paraId="2551B48E" w14:textId="77777777" w:rsidTr="00142CE6">
        <w:trPr>
          <w:trHeight w:val="288"/>
          <w:tblHeader/>
        </w:trPr>
        <w:tc>
          <w:tcPr>
            <w:tcW w:w="4045" w:type="dxa"/>
            <w:vMerge/>
            <w:shd w:val="clear" w:color="auto" w:fill="auto"/>
            <w:noWrap/>
            <w:vAlign w:val="bottom"/>
            <w:hideMark/>
          </w:tcPr>
          <w:p w14:paraId="078AC9E5" w14:textId="77777777" w:rsidR="000D0F66" w:rsidRPr="00810552" w:rsidRDefault="000D0F66" w:rsidP="00142CE6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shd w:val="clear" w:color="auto" w:fill="auto"/>
            <w:noWrap/>
            <w:vAlign w:val="center"/>
          </w:tcPr>
          <w:p w14:paraId="726FF9C8" w14:textId="77777777" w:rsidR="000D0F66" w:rsidRDefault="000D0F66" w:rsidP="00142CE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CCE5236" w14:textId="77651811" w:rsidR="000D0F66" w:rsidRPr="00810552" w:rsidRDefault="007C7FF8" w:rsidP="00142CE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 S</w:t>
            </w:r>
            <w:r w:rsidR="000D0F66">
              <w:rPr>
                <w:rFonts w:ascii="Arial" w:hAnsi="Arial" w:cs="Arial"/>
                <w:color w:val="000000"/>
                <w:sz w:val="18"/>
                <w:szCs w:val="18"/>
              </w:rPr>
              <w:t>ib</w:t>
            </w:r>
          </w:p>
        </w:tc>
        <w:tc>
          <w:tcPr>
            <w:tcW w:w="900" w:type="dxa"/>
            <w:vAlign w:val="center"/>
          </w:tcPr>
          <w:p w14:paraId="2234B278" w14:textId="0761D1D6" w:rsidR="000D0F66" w:rsidRPr="00810552" w:rsidRDefault="007C7FF8" w:rsidP="00142CE6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Two or M</w:t>
            </w:r>
            <w:r w:rsidR="000D0F66">
              <w:rPr>
                <w:rFonts w:ascii="Arial" w:hAnsi="Arial" w:cs="Arial"/>
                <w:color w:val="000000"/>
                <w:sz w:val="18"/>
                <w:szCs w:val="18"/>
              </w:rPr>
              <w:t>ore</w:t>
            </w:r>
          </w:p>
        </w:tc>
        <w:tc>
          <w:tcPr>
            <w:tcW w:w="1260" w:type="dxa"/>
            <w:vMerge/>
            <w:vAlign w:val="center"/>
          </w:tcPr>
          <w:p w14:paraId="5AAF58B2" w14:textId="77777777" w:rsidR="000D0F66" w:rsidRDefault="000D0F66" w:rsidP="00142CE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13EA79DC" w14:textId="77777777" w:rsidR="000D0F66" w:rsidRDefault="000D0F66" w:rsidP="00142CE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0F66" w:rsidRPr="00810552" w14:paraId="036B0390" w14:textId="77777777" w:rsidTr="00142CE6">
        <w:trPr>
          <w:trHeight w:val="288"/>
          <w:tblHeader/>
        </w:trPr>
        <w:tc>
          <w:tcPr>
            <w:tcW w:w="4045" w:type="dxa"/>
            <w:shd w:val="clear" w:color="auto" w:fill="auto"/>
            <w:noWrap/>
            <w:vAlign w:val="bottom"/>
          </w:tcPr>
          <w:p w14:paraId="4A8877F0" w14:textId="77777777" w:rsidR="000D0F66" w:rsidRPr="00810552" w:rsidRDefault="000D0F66" w:rsidP="00142CE6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6E0F8C" w14:textId="77777777" w:rsidR="000D0F66" w:rsidRPr="00C33227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33227">
              <w:rPr>
                <w:rFonts w:ascii="Arial" w:hAnsi="Arial" w:cs="Arial"/>
                <w:i/>
                <w:color w:val="000000"/>
                <w:sz w:val="18"/>
                <w:szCs w:val="18"/>
              </w:rPr>
              <w:t>N</w:t>
            </w:r>
          </w:p>
        </w:tc>
        <w:tc>
          <w:tcPr>
            <w:tcW w:w="725" w:type="dxa"/>
            <w:vAlign w:val="center"/>
          </w:tcPr>
          <w:p w14:paraId="49575423" w14:textId="77777777" w:rsidR="000D0F66" w:rsidRPr="00C33227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33227">
              <w:rPr>
                <w:rFonts w:ascii="Arial" w:hAnsi="Arial" w:cs="Arial"/>
                <w:i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  <w:vAlign w:val="center"/>
          </w:tcPr>
          <w:p w14:paraId="36439A4F" w14:textId="77777777" w:rsidR="000D0F66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227">
              <w:rPr>
                <w:rFonts w:ascii="Arial" w:hAnsi="Arial" w:cs="Arial"/>
                <w:i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vAlign w:val="center"/>
          </w:tcPr>
          <w:p w14:paraId="5A838923" w14:textId="77777777" w:rsidR="000D0F66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227">
              <w:rPr>
                <w:rFonts w:ascii="Arial" w:hAnsi="Arial" w:cs="Arial"/>
                <w:i/>
                <w:color w:val="000000"/>
                <w:sz w:val="18"/>
                <w:szCs w:val="18"/>
              </w:rPr>
              <w:t>N</w:t>
            </w:r>
          </w:p>
        </w:tc>
        <w:tc>
          <w:tcPr>
            <w:tcW w:w="1260" w:type="dxa"/>
            <w:vAlign w:val="center"/>
          </w:tcPr>
          <w:p w14:paraId="0330E5A6" w14:textId="77777777" w:rsidR="000D0F66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227">
              <w:rPr>
                <w:rFonts w:ascii="Arial" w:hAnsi="Arial" w:cs="Arial"/>
                <w:i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0" w:type="dxa"/>
            <w:vAlign w:val="center"/>
          </w:tcPr>
          <w:p w14:paraId="05E6D44B" w14:textId="77777777" w:rsidR="000D0F66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227">
              <w:rPr>
                <w:rFonts w:ascii="Arial" w:hAnsi="Arial" w:cs="Arial"/>
                <w:i/>
                <w:color w:val="000000"/>
                <w:sz w:val="18"/>
                <w:szCs w:val="18"/>
              </w:rPr>
              <w:t>N</w:t>
            </w:r>
          </w:p>
        </w:tc>
      </w:tr>
      <w:tr w:rsidR="000D0F66" w:rsidRPr="00810552" w14:paraId="5CDEF1AC" w14:textId="77777777" w:rsidTr="00142CE6">
        <w:trPr>
          <w:trHeight w:val="611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3B746C44" w14:textId="77777777" w:rsidR="000D0F66" w:rsidRPr="00FB4C57" w:rsidRDefault="000D0F66" w:rsidP="00142CE6">
            <w:pPr>
              <w:keepNext/>
              <w:keepLines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4C57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Family Groups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6A49CA" w14:textId="77777777" w:rsidR="000D0F66" w:rsidRPr="00217402" w:rsidRDefault="000D0F66" w:rsidP="00142CE6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2233</w:t>
            </w:r>
          </w:p>
        </w:tc>
        <w:tc>
          <w:tcPr>
            <w:tcW w:w="725" w:type="dxa"/>
            <w:vAlign w:val="bottom"/>
          </w:tcPr>
          <w:p w14:paraId="149DC292" w14:textId="77777777" w:rsidR="000D0F66" w:rsidRPr="00217402" w:rsidRDefault="000D0F66" w:rsidP="00142CE6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bottom"/>
          </w:tcPr>
          <w:p w14:paraId="033E1C02" w14:textId="77777777" w:rsidR="000D0F66" w:rsidRPr="00217402" w:rsidRDefault="000D0F66" w:rsidP="00142CE6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00" w:type="dxa"/>
            <w:vAlign w:val="bottom"/>
          </w:tcPr>
          <w:p w14:paraId="00C5185A" w14:textId="77777777" w:rsidR="000D0F66" w:rsidRPr="00217402" w:rsidRDefault="000D0F66" w:rsidP="00142CE6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0" w:type="dxa"/>
            <w:vAlign w:val="bottom"/>
          </w:tcPr>
          <w:p w14:paraId="2443DAD7" w14:textId="77777777" w:rsidR="000D0F66" w:rsidRDefault="000D0F66" w:rsidP="00142CE6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2475</w:t>
            </w:r>
          </w:p>
        </w:tc>
        <w:tc>
          <w:tcPr>
            <w:tcW w:w="1080" w:type="dxa"/>
            <w:vAlign w:val="bottom"/>
          </w:tcPr>
          <w:p w14:paraId="5A2F1FAC" w14:textId="77777777" w:rsidR="000D0F66" w:rsidRPr="00217402" w:rsidRDefault="000D0F66" w:rsidP="00142CE6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5003</w:t>
            </w:r>
          </w:p>
        </w:tc>
      </w:tr>
      <w:tr w:rsidR="000D0F66" w:rsidRPr="00810552" w14:paraId="68E563AE" w14:textId="77777777" w:rsidTr="00142CE6">
        <w:trPr>
          <w:trHeight w:val="540"/>
        </w:trPr>
        <w:tc>
          <w:tcPr>
            <w:tcW w:w="4045" w:type="dxa"/>
            <w:shd w:val="clear" w:color="auto" w:fill="auto"/>
            <w:noWrap/>
            <w:vAlign w:val="bottom"/>
          </w:tcPr>
          <w:p w14:paraId="6FEA3018" w14:textId="77777777" w:rsidR="000D0F66" w:rsidRPr="00FB4C57" w:rsidRDefault="000D0F66" w:rsidP="00142CE6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Families with </w:t>
            </w:r>
            <w:r w:rsidRPr="00FB4C5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Twin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Pairs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643F60B" w14:textId="77777777" w:rsidR="000D0F66" w:rsidRPr="00B62CFD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2216</w:t>
            </w:r>
          </w:p>
        </w:tc>
        <w:tc>
          <w:tcPr>
            <w:tcW w:w="725" w:type="dxa"/>
            <w:vAlign w:val="bottom"/>
          </w:tcPr>
          <w:p w14:paraId="7842B811" w14:textId="77777777" w:rsidR="000D0F66" w:rsidRPr="008D6D52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D6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900" w:type="dxa"/>
            <w:vAlign w:val="bottom"/>
          </w:tcPr>
          <w:p w14:paraId="329C6D98" w14:textId="77777777" w:rsidR="000D0F66" w:rsidRPr="00AC00B0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0B0">
              <w:rPr>
                <w:rFonts w:ascii="Arial" w:hAnsi="Arial" w:cs="Arial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00" w:type="dxa"/>
            <w:vAlign w:val="bottom"/>
          </w:tcPr>
          <w:p w14:paraId="36253F27" w14:textId="77777777" w:rsidR="000D0F66" w:rsidRPr="00AC00B0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vAlign w:val="bottom"/>
          </w:tcPr>
          <w:p w14:paraId="4DF49A54" w14:textId="77777777" w:rsidR="000D0F66" w:rsidRPr="004B29BB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29BB">
              <w:rPr>
                <w:rFonts w:ascii="Arial" w:hAnsi="Arial" w:cs="Arial"/>
                <w:b/>
                <w:color w:val="000000"/>
                <w:sz w:val="18"/>
                <w:szCs w:val="18"/>
              </w:rPr>
              <w:t>2446</w:t>
            </w:r>
          </w:p>
        </w:tc>
        <w:tc>
          <w:tcPr>
            <w:tcW w:w="1080" w:type="dxa"/>
            <w:vAlign w:val="bottom"/>
          </w:tcPr>
          <w:p w14:paraId="3BD15638" w14:textId="77777777" w:rsidR="000D0F66" w:rsidRPr="004B29BB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29BB">
              <w:rPr>
                <w:rFonts w:ascii="Arial" w:hAnsi="Arial" w:cs="Arial"/>
                <w:b/>
                <w:color w:val="000000"/>
                <w:sz w:val="18"/>
                <w:szCs w:val="18"/>
              </w:rPr>
              <w:t>4952</w:t>
            </w:r>
          </w:p>
        </w:tc>
      </w:tr>
      <w:tr w:rsidR="000D0F66" w:rsidRPr="00810552" w14:paraId="45D2FE18" w14:textId="77777777" w:rsidTr="00142CE6">
        <w:trPr>
          <w:trHeight w:val="288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432DF309" w14:textId="77777777" w:rsidR="000D0F66" w:rsidRPr="00810552" w:rsidRDefault="000D0F66" w:rsidP="00142CE6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Both twins responding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D17E87" w14:textId="77777777" w:rsidR="000D0F66" w:rsidRPr="00810552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725" w:type="dxa"/>
            <w:vAlign w:val="bottom"/>
          </w:tcPr>
          <w:p w14:paraId="03EFEE38" w14:textId="77777777" w:rsidR="000D0F66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900" w:type="dxa"/>
            <w:vAlign w:val="bottom"/>
          </w:tcPr>
          <w:p w14:paraId="26928069" w14:textId="77777777" w:rsidR="000D0F66" w:rsidRPr="00810552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bottom"/>
          </w:tcPr>
          <w:p w14:paraId="5D54FA1C" w14:textId="77777777" w:rsidR="000D0F66" w:rsidRPr="00810552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bottom"/>
          </w:tcPr>
          <w:p w14:paraId="200BE655" w14:textId="77777777" w:rsidR="000D0F66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1080" w:type="dxa"/>
            <w:vAlign w:val="bottom"/>
          </w:tcPr>
          <w:p w14:paraId="038FFC69" w14:textId="77777777" w:rsidR="000D0F66" w:rsidRPr="00810552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1601</w:t>
            </w:r>
          </w:p>
        </w:tc>
      </w:tr>
      <w:tr w:rsidR="000D0F66" w:rsidRPr="00810552" w14:paraId="41EAA21E" w14:textId="77777777" w:rsidTr="00142CE6">
        <w:trPr>
          <w:trHeight w:val="288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4A6AB02A" w14:textId="77777777" w:rsidR="000D0F66" w:rsidRPr="00810552" w:rsidRDefault="000D0F66" w:rsidP="00142CE6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One twin responding, one non-response 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9F5261A" w14:textId="77777777" w:rsidR="000D0F66" w:rsidRPr="00810552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725" w:type="dxa"/>
            <w:vAlign w:val="bottom"/>
          </w:tcPr>
          <w:p w14:paraId="4CC3B465" w14:textId="77777777" w:rsidR="000D0F66" w:rsidRPr="00810552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900" w:type="dxa"/>
            <w:vAlign w:val="bottom"/>
          </w:tcPr>
          <w:p w14:paraId="0AEC77C3" w14:textId="77777777" w:rsidR="000D0F66" w:rsidRPr="00810552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bottom"/>
          </w:tcPr>
          <w:p w14:paraId="2CBB2AFD" w14:textId="77777777" w:rsidR="000D0F66" w:rsidRPr="00810552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bottom"/>
          </w:tcPr>
          <w:p w14:paraId="236CF9C3" w14:textId="77777777" w:rsidR="000D0F66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080" w:type="dxa"/>
            <w:vAlign w:val="bottom"/>
          </w:tcPr>
          <w:p w14:paraId="26B67D1E" w14:textId="77777777" w:rsidR="000D0F66" w:rsidRPr="00810552" w:rsidRDefault="000D0F66" w:rsidP="00142CE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</w:tr>
      <w:tr w:rsidR="000D0F66" w:rsidRPr="00810552" w14:paraId="0AB8459C" w14:textId="77777777" w:rsidTr="00142CE6">
        <w:trPr>
          <w:trHeight w:val="288"/>
        </w:trPr>
        <w:tc>
          <w:tcPr>
            <w:tcW w:w="4045" w:type="dxa"/>
            <w:shd w:val="clear" w:color="auto" w:fill="auto"/>
            <w:noWrap/>
            <w:vAlign w:val="bottom"/>
          </w:tcPr>
          <w:p w14:paraId="615A37E8" w14:textId="77777777" w:rsidR="000D0F66" w:rsidRDefault="000D0F66" w:rsidP="00142C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One twin responding, one deceased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D1FA568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725" w:type="dxa"/>
            <w:vAlign w:val="bottom"/>
          </w:tcPr>
          <w:p w14:paraId="221976BA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900" w:type="dxa"/>
            <w:vAlign w:val="bottom"/>
          </w:tcPr>
          <w:p w14:paraId="45EC7F48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bottom"/>
          </w:tcPr>
          <w:p w14:paraId="1CDBD276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bottom"/>
          </w:tcPr>
          <w:p w14:paraId="3825C286" w14:textId="77777777" w:rsidR="000D0F66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080" w:type="dxa"/>
            <w:vAlign w:val="bottom"/>
          </w:tcPr>
          <w:p w14:paraId="1BA4575D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</w:tr>
      <w:tr w:rsidR="000D0F66" w:rsidRPr="00810552" w14:paraId="364D6CC0" w14:textId="77777777" w:rsidTr="00142CE6">
        <w:trPr>
          <w:trHeight w:val="288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5A531556" w14:textId="77777777" w:rsidR="000D0F66" w:rsidRPr="00810552" w:rsidRDefault="000D0F66" w:rsidP="00142C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Both twins non-response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0666FC4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5" w:type="dxa"/>
            <w:vAlign w:val="bottom"/>
          </w:tcPr>
          <w:p w14:paraId="34DA7EC8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0" w:type="dxa"/>
            <w:vAlign w:val="bottom"/>
          </w:tcPr>
          <w:p w14:paraId="3D3E8A8F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bottom"/>
          </w:tcPr>
          <w:p w14:paraId="235669DE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bottom"/>
          </w:tcPr>
          <w:p w14:paraId="45281BED" w14:textId="77777777" w:rsidR="000D0F66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bottom"/>
          </w:tcPr>
          <w:p w14:paraId="2EC4285E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</w:tr>
      <w:tr w:rsidR="000D0F66" w:rsidRPr="00810552" w14:paraId="05870CDE" w14:textId="77777777" w:rsidTr="00142CE6">
        <w:trPr>
          <w:trHeight w:val="297"/>
        </w:trPr>
        <w:tc>
          <w:tcPr>
            <w:tcW w:w="4045" w:type="dxa"/>
            <w:shd w:val="clear" w:color="auto" w:fill="auto"/>
            <w:vAlign w:val="bottom"/>
            <w:hideMark/>
          </w:tcPr>
          <w:p w14:paraId="5351C9FB" w14:textId="77777777" w:rsidR="000D0F66" w:rsidRPr="00810552" w:rsidRDefault="000D0F66" w:rsidP="00142C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Both twins deceased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3BE7FEC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5" w:type="dxa"/>
            <w:vAlign w:val="bottom"/>
          </w:tcPr>
          <w:p w14:paraId="3E3E3D21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900" w:type="dxa"/>
            <w:vAlign w:val="bottom"/>
          </w:tcPr>
          <w:p w14:paraId="74BBDDE5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bottom"/>
          </w:tcPr>
          <w:p w14:paraId="663CA242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bottom"/>
          </w:tcPr>
          <w:p w14:paraId="3F29B8C9" w14:textId="77777777" w:rsidR="000D0F66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bottom"/>
          </w:tcPr>
          <w:p w14:paraId="3EA2C5B2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</w:tr>
      <w:tr w:rsidR="000D0F66" w:rsidRPr="00810552" w14:paraId="2B26ED43" w14:textId="77777777" w:rsidTr="00142CE6">
        <w:trPr>
          <w:trHeight w:val="270"/>
        </w:trPr>
        <w:tc>
          <w:tcPr>
            <w:tcW w:w="4045" w:type="dxa"/>
            <w:shd w:val="clear" w:color="auto" w:fill="auto"/>
            <w:vAlign w:val="bottom"/>
          </w:tcPr>
          <w:p w14:paraId="290553E7" w14:textId="77777777" w:rsidR="000D0F66" w:rsidRDefault="000D0F66" w:rsidP="00142C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One twin deceased, one non-response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C7081AF" w14:textId="77777777" w:rsidR="000D0F66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25" w:type="dxa"/>
            <w:vAlign w:val="bottom"/>
          </w:tcPr>
          <w:p w14:paraId="132BFC54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900" w:type="dxa"/>
            <w:vAlign w:val="bottom"/>
          </w:tcPr>
          <w:p w14:paraId="197BEF9F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bottom"/>
          </w:tcPr>
          <w:p w14:paraId="42A456B7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bottom"/>
          </w:tcPr>
          <w:p w14:paraId="359F8DE9" w14:textId="77777777" w:rsidR="000D0F66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bottom"/>
          </w:tcPr>
          <w:p w14:paraId="4513FEE8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</w:tr>
      <w:tr w:rsidR="000D0F66" w:rsidRPr="00810552" w14:paraId="0E06E742" w14:textId="77777777" w:rsidTr="00142CE6">
        <w:trPr>
          <w:trHeight w:val="531"/>
        </w:trPr>
        <w:tc>
          <w:tcPr>
            <w:tcW w:w="4045" w:type="dxa"/>
            <w:shd w:val="clear" w:color="auto" w:fill="auto"/>
            <w:noWrap/>
            <w:vAlign w:val="bottom"/>
          </w:tcPr>
          <w:p w14:paraId="0F68FB29" w14:textId="77777777" w:rsidR="000D0F66" w:rsidRPr="00810552" w:rsidRDefault="000D0F66" w:rsidP="00142C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Families with other multiples 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97802E0" w14:textId="77777777" w:rsidR="000D0F66" w:rsidRPr="00B62CFD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5" w:type="dxa"/>
            <w:vAlign w:val="bottom"/>
          </w:tcPr>
          <w:p w14:paraId="1C1320F2" w14:textId="77777777" w:rsidR="000D0F66" w:rsidRPr="0021740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00" w:type="dxa"/>
            <w:vAlign w:val="bottom"/>
          </w:tcPr>
          <w:p w14:paraId="24E3A807" w14:textId="77777777" w:rsidR="000D0F66" w:rsidRPr="0021740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bottom"/>
          </w:tcPr>
          <w:p w14:paraId="4CB1CC4A" w14:textId="77777777" w:rsidR="000D0F66" w:rsidRPr="0021740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bottom"/>
          </w:tcPr>
          <w:p w14:paraId="5BF7121E" w14:textId="77777777" w:rsidR="000D0F66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bottom"/>
          </w:tcPr>
          <w:p w14:paraId="307EDD92" w14:textId="77777777" w:rsidR="000D0F66" w:rsidRPr="0021740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</w:tr>
      <w:tr w:rsidR="000D0F66" w:rsidRPr="00810552" w14:paraId="69542628" w14:textId="77777777" w:rsidTr="00142CE6">
        <w:trPr>
          <w:trHeight w:val="288"/>
        </w:trPr>
        <w:tc>
          <w:tcPr>
            <w:tcW w:w="4045" w:type="dxa"/>
            <w:shd w:val="clear" w:color="auto" w:fill="auto"/>
            <w:noWrap/>
            <w:vAlign w:val="bottom"/>
          </w:tcPr>
          <w:p w14:paraId="39E291D0" w14:textId="77777777" w:rsidR="000D0F66" w:rsidRPr="00810552" w:rsidRDefault="000D0F66" w:rsidP="00142CE6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Two or more multiples responding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400B34D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5" w:type="dxa"/>
            <w:vAlign w:val="bottom"/>
          </w:tcPr>
          <w:p w14:paraId="69EB6989" w14:textId="77777777" w:rsidR="000D0F66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900" w:type="dxa"/>
            <w:vAlign w:val="bottom"/>
          </w:tcPr>
          <w:p w14:paraId="073CA170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bottom"/>
          </w:tcPr>
          <w:p w14:paraId="3C09F20C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bottom"/>
          </w:tcPr>
          <w:p w14:paraId="64977E37" w14:textId="77777777" w:rsidR="000D0F66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bottom"/>
          </w:tcPr>
          <w:p w14:paraId="22D1E53D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0D0F66" w:rsidRPr="00810552" w14:paraId="5D141604" w14:textId="77777777" w:rsidTr="00142CE6">
        <w:trPr>
          <w:trHeight w:val="288"/>
        </w:trPr>
        <w:tc>
          <w:tcPr>
            <w:tcW w:w="4045" w:type="dxa"/>
            <w:shd w:val="clear" w:color="auto" w:fill="auto"/>
            <w:noWrap/>
            <w:vAlign w:val="bottom"/>
          </w:tcPr>
          <w:p w14:paraId="5C48B3EE" w14:textId="77777777" w:rsidR="000D0F66" w:rsidRPr="00810552" w:rsidRDefault="000D0F66" w:rsidP="00142CE6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One responding, others non-resp./deceased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C2BA4C6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5" w:type="dxa"/>
            <w:vAlign w:val="bottom"/>
          </w:tcPr>
          <w:p w14:paraId="615D2EAC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900" w:type="dxa"/>
            <w:vAlign w:val="bottom"/>
          </w:tcPr>
          <w:p w14:paraId="4ED4684E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bottom"/>
          </w:tcPr>
          <w:p w14:paraId="45B260C9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bottom"/>
          </w:tcPr>
          <w:p w14:paraId="6737E0CD" w14:textId="77777777" w:rsidR="000D0F66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bottom"/>
          </w:tcPr>
          <w:p w14:paraId="65B7F3E2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0D0F66" w:rsidRPr="00810552" w14:paraId="7746EBB8" w14:textId="77777777" w:rsidTr="00142CE6">
        <w:trPr>
          <w:trHeight w:val="288"/>
        </w:trPr>
        <w:tc>
          <w:tcPr>
            <w:tcW w:w="4045" w:type="dxa"/>
            <w:shd w:val="clear" w:color="auto" w:fill="auto"/>
            <w:noWrap/>
            <w:vAlign w:val="bottom"/>
          </w:tcPr>
          <w:p w14:paraId="669D8D63" w14:textId="77777777" w:rsidR="000D0F66" w:rsidRPr="00810552" w:rsidRDefault="000D0F66" w:rsidP="00142C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All non-response or deceased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5460B6C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5" w:type="dxa"/>
            <w:vAlign w:val="bottom"/>
          </w:tcPr>
          <w:p w14:paraId="2B30FCC3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900" w:type="dxa"/>
            <w:vAlign w:val="bottom"/>
          </w:tcPr>
          <w:p w14:paraId="115D861B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bottom"/>
          </w:tcPr>
          <w:p w14:paraId="4BEE754D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bottom"/>
          </w:tcPr>
          <w:p w14:paraId="1616ED5B" w14:textId="77777777" w:rsidR="000D0F66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bottom"/>
          </w:tcPr>
          <w:p w14:paraId="089C827F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D0F66" w:rsidRPr="00810552" w14:paraId="6625FA10" w14:textId="77777777" w:rsidTr="00142CE6">
        <w:trPr>
          <w:trHeight w:val="540"/>
        </w:trPr>
        <w:tc>
          <w:tcPr>
            <w:tcW w:w="4045" w:type="dxa"/>
            <w:shd w:val="clear" w:color="auto" w:fill="auto"/>
            <w:noWrap/>
            <w:vAlign w:val="bottom"/>
          </w:tcPr>
          <w:p w14:paraId="76CDEAC6" w14:textId="77777777" w:rsidR="000D0F66" w:rsidRPr="001A530B" w:rsidRDefault="000D0F66" w:rsidP="00142C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0B">
              <w:rPr>
                <w:rFonts w:ascii="Arial" w:hAnsi="Arial" w:cs="Arial"/>
                <w:b/>
                <w:color w:val="000000"/>
                <w:sz w:val="18"/>
                <w:szCs w:val="18"/>
              </w:rPr>
              <w:t>Family level response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4B4B4BA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vAlign w:val="bottom"/>
          </w:tcPr>
          <w:p w14:paraId="338614B8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39D5A5D2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54472DFF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bottom"/>
          </w:tcPr>
          <w:p w14:paraId="49BC7F21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bottom"/>
          </w:tcPr>
          <w:p w14:paraId="5F65F99E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0F66" w:rsidRPr="00810552" w14:paraId="6D9E81CC" w14:textId="77777777" w:rsidTr="00142CE6">
        <w:trPr>
          <w:trHeight w:val="288"/>
        </w:trPr>
        <w:tc>
          <w:tcPr>
            <w:tcW w:w="4045" w:type="dxa"/>
            <w:shd w:val="clear" w:color="auto" w:fill="auto"/>
            <w:noWrap/>
            <w:vAlign w:val="bottom"/>
          </w:tcPr>
          <w:p w14:paraId="59F72595" w14:textId="77777777" w:rsidR="000D0F66" w:rsidRPr="001A530B" w:rsidRDefault="000D0F66" w:rsidP="00142C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1A53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Two or more</w:t>
            </w:r>
            <w:r w:rsidRPr="001A530B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respondents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969A2F0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725" w:type="dxa"/>
            <w:vAlign w:val="bottom"/>
          </w:tcPr>
          <w:p w14:paraId="649CBAE9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6BBB61DF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0EA69111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bottom"/>
          </w:tcPr>
          <w:p w14:paraId="2717DFC4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bottom"/>
          </w:tcPr>
          <w:p w14:paraId="59F02A95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0F66" w:rsidRPr="00810552" w14:paraId="71246D2F" w14:textId="77777777" w:rsidTr="00142CE6">
        <w:trPr>
          <w:trHeight w:val="288"/>
        </w:trPr>
        <w:tc>
          <w:tcPr>
            <w:tcW w:w="4045" w:type="dxa"/>
            <w:shd w:val="clear" w:color="auto" w:fill="auto"/>
            <w:noWrap/>
            <w:vAlign w:val="bottom"/>
          </w:tcPr>
          <w:p w14:paraId="74E66FFC" w14:textId="77777777" w:rsidR="000D0F66" w:rsidRPr="001A530B" w:rsidRDefault="000D0F66" w:rsidP="00142C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1A530B">
              <w:rPr>
                <w:rFonts w:ascii="Arial" w:hAnsi="Arial" w:cs="Arial"/>
                <w:color w:val="000000"/>
                <w:sz w:val="18"/>
                <w:szCs w:val="18"/>
              </w:rPr>
              <w:t>t least one respondent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7630092" w14:textId="77777777" w:rsidR="000D0F66" w:rsidRPr="00810552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1561</w:t>
            </w:r>
          </w:p>
        </w:tc>
        <w:tc>
          <w:tcPr>
            <w:tcW w:w="725" w:type="dxa"/>
            <w:vAlign w:val="bottom"/>
          </w:tcPr>
          <w:p w14:paraId="3C19BBC7" w14:textId="77777777" w:rsidR="000D0F66" w:rsidRPr="001A530B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69.9</w:t>
            </w: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424599DC" w14:textId="77777777" w:rsidR="000D0F66" w:rsidRPr="00A82693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032C5B3A" w14:textId="77777777" w:rsidR="000D0F66" w:rsidRPr="00A82693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bottom"/>
          </w:tcPr>
          <w:p w14:paraId="57B46C6D" w14:textId="77777777" w:rsidR="000D0F66" w:rsidRPr="00A82693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bottom"/>
          </w:tcPr>
          <w:p w14:paraId="3FB07FD2" w14:textId="77777777" w:rsidR="000D0F66" w:rsidRPr="00A82693" w:rsidRDefault="000D0F66" w:rsidP="00142C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1D7D925F" w14:textId="77777777" w:rsidR="000D0F66" w:rsidRDefault="000D0F66" w:rsidP="000D0F66">
      <w:pPr>
        <w:spacing w:after="0"/>
        <w:contextualSpacing/>
        <w:rPr>
          <w:sz w:val="20"/>
        </w:rPr>
      </w:pPr>
      <w:r w:rsidRPr="00B27F61">
        <w:rPr>
          <w:sz w:val="20"/>
        </w:rPr>
        <w:t>Note.</w:t>
      </w:r>
    </w:p>
    <w:p w14:paraId="7565085F" w14:textId="77777777" w:rsidR="000D0F66" w:rsidRDefault="000D0F66" w:rsidP="000D0F66">
      <w:pPr>
        <w:spacing w:after="0"/>
        <w:contextualSpacing/>
        <w:rPr>
          <w:sz w:val="20"/>
        </w:rPr>
      </w:pPr>
      <w:r>
        <w:rPr>
          <w:sz w:val="20"/>
        </w:rPr>
        <w:t>5 triplet sets had one member who did not participate in PT1960 and those individuals are not included in the table.</w:t>
      </w:r>
    </w:p>
    <w:p w14:paraId="3FFF17C0" w14:textId="77777777" w:rsidR="000D0F66" w:rsidRDefault="000D0F66" w:rsidP="000D0F66">
      <w:pPr>
        <w:spacing w:after="0"/>
        <w:contextualSpacing/>
        <w:rPr>
          <w:sz w:val="20"/>
        </w:rPr>
      </w:pPr>
      <w:r>
        <w:rPr>
          <w:sz w:val="20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a</w:t>
      </w:r>
      <w:r w:rsidRPr="00B27F61">
        <w:rPr>
          <w:sz w:val="20"/>
        </w:rPr>
        <w:t xml:space="preserve"> </w:t>
      </w:r>
      <w:r>
        <w:rPr>
          <w:sz w:val="20"/>
        </w:rPr>
        <w:t>Includes 13 families with triplets and 4 families that each had two sets of twins</w:t>
      </w:r>
    </w:p>
    <w:p w14:paraId="383F08AD" w14:textId="77777777" w:rsidR="000D0F66" w:rsidRDefault="000D0F66" w:rsidP="000D0F66">
      <w:pPr>
        <w:spacing w:after="0"/>
        <w:contextualSpacing/>
        <w:rPr>
          <w:sz w:val="20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b  </w:t>
      </w:r>
      <w:r>
        <w:rPr>
          <w:sz w:val="20"/>
        </w:rPr>
        <w:t>Members of families with double twin sets contribute to both the twin and sibling counts.</w:t>
      </w:r>
    </w:p>
    <w:p w14:paraId="20CE66B2" w14:textId="2DADFEAC" w:rsidR="006F60FE" w:rsidRPr="000D0F66" w:rsidRDefault="000D0F66" w:rsidP="000D0F66">
      <w:pPr>
        <w:rPr>
          <w:b/>
          <w:sz w:val="24"/>
          <w:szCs w:val="24"/>
        </w:rPr>
      </w:pPr>
      <w:r>
        <w:rPr>
          <w:sz w:val="24"/>
        </w:rPr>
        <w:br w:type="page"/>
      </w:r>
      <w:r w:rsidR="00B41AFC">
        <w:rPr>
          <w:b/>
          <w:sz w:val="24"/>
          <w:szCs w:val="24"/>
        </w:rPr>
        <w:lastRenderedPageBreak/>
        <w:t>SUPPLEMENT</w:t>
      </w:r>
      <w:r w:rsidR="006F60FE" w:rsidRPr="00E917A7">
        <w:rPr>
          <w:b/>
          <w:sz w:val="24"/>
          <w:szCs w:val="24"/>
        </w:rPr>
        <w:t xml:space="preserve"> </w:t>
      </w:r>
      <w:r w:rsidR="00B41AF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2</w:t>
      </w:r>
      <w:r w:rsidR="006F60FE" w:rsidRPr="00E917A7">
        <w:rPr>
          <w:b/>
          <w:sz w:val="24"/>
          <w:szCs w:val="24"/>
        </w:rPr>
        <w:t>.</w:t>
      </w:r>
      <w:r w:rsidR="006F60FE" w:rsidRPr="006F60FE">
        <w:rPr>
          <w:sz w:val="24"/>
          <w:szCs w:val="24"/>
        </w:rPr>
        <w:t xml:space="preserve"> </w:t>
      </w:r>
      <w:r w:rsidR="00E917A7">
        <w:rPr>
          <w:rFonts w:cstheme="majorHAnsi"/>
          <w:b/>
          <w:sz w:val="24"/>
          <w:szCs w:val="24"/>
        </w:rPr>
        <w:t xml:space="preserve">   </w:t>
      </w:r>
      <w:r w:rsidR="00441B4E">
        <w:rPr>
          <w:rFonts w:cstheme="majorHAnsi"/>
          <w:b/>
          <w:sz w:val="24"/>
          <w:szCs w:val="24"/>
        </w:rPr>
        <w:t>PTTS Zygosity Algorithm</w:t>
      </w:r>
      <w:r w:rsidR="00E917A7">
        <w:rPr>
          <w:rFonts w:cstheme="majorHAnsi"/>
          <w:b/>
          <w:sz w:val="24"/>
          <w:szCs w:val="24"/>
        </w:rPr>
        <w:t xml:space="preserve"> C</w:t>
      </w:r>
      <w:r w:rsidR="006F60FE" w:rsidRPr="006F60FE">
        <w:rPr>
          <w:rFonts w:cstheme="majorHAnsi"/>
          <w:b/>
          <w:sz w:val="24"/>
          <w:szCs w:val="24"/>
        </w:rPr>
        <w:t xml:space="preserve">riteria </w:t>
      </w:r>
      <w:r w:rsidR="00441B4E">
        <w:rPr>
          <w:rFonts w:cstheme="majorHAnsi"/>
          <w:b/>
          <w:sz w:val="24"/>
          <w:szCs w:val="24"/>
        </w:rPr>
        <w:t>and Scoring</w:t>
      </w:r>
    </w:p>
    <w:p w14:paraId="0DE52DCA" w14:textId="3A8EB67B" w:rsidR="006F60FE" w:rsidRPr="006F60FE" w:rsidRDefault="006F60FE" w:rsidP="005D66B5">
      <w:pPr>
        <w:spacing w:after="0"/>
        <w:rPr>
          <w:rFonts w:cstheme="majorHAnsi"/>
          <w:sz w:val="24"/>
          <w:szCs w:val="20"/>
        </w:rPr>
      </w:pPr>
      <w:r w:rsidRPr="006F60FE">
        <w:rPr>
          <w:rFonts w:cstheme="majorHAnsi"/>
          <w:sz w:val="24"/>
          <w:szCs w:val="20"/>
        </w:rPr>
        <w:t xml:space="preserve">For each rater (twin or sibling of twin) who provided responses to the zygosity items, four variables were scored as shown in the table. </w:t>
      </w:r>
      <w:r>
        <w:rPr>
          <w:rFonts w:cstheme="majorHAnsi"/>
          <w:sz w:val="24"/>
          <w:szCs w:val="20"/>
        </w:rPr>
        <w:t xml:space="preserve"> The questionnaire item wording and response choices are available </w:t>
      </w:r>
      <w:r w:rsidR="000D0F66">
        <w:rPr>
          <w:rFonts w:cstheme="majorHAnsi"/>
          <w:sz w:val="24"/>
          <w:szCs w:val="20"/>
        </w:rPr>
        <w:t>from the authors.</w:t>
      </w:r>
      <w:r>
        <w:rPr>
          <w:rFonts w:cstheme="majorHAnsi"/>
          <w:sz w:val="24"/>
          <w:szCs w:val="20"/>
        </w:rPr>
        <w:t xml:space="preserve">  Height and weight were asked </w:t>
      </w:r>
      <w:r w:rsidR="00177647">
        <w:rPr>
          <w:rFonts w:cstheme="majorHAnsi"/>
          <w:sz w:val="24"/>
          <w:szCs w:val="20"/>
        </w:rPr>
        <w:t>as open-ended</w:t>
      </w:r>
      <w:r w:rsidR="005D66B5">
        <w:rPr>
          <w:rFonts w:cstheme="majorHAnsi"/>
          <w:sz w:val="24"/>
          <w:szCs w:val="20"/>
        </w:rPr>
        <w:t xml:space="preserve"> items; other items had three or four response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370"/>
      </w:tblGrid>
      <w:tr w:rsidR="006F60FE" w:rsidRPr="00FD3506" w14:paraId="2A9DFB23" w14:textId="77777777" w:rsidTr="006F60FE">
        <w:tc>
          <w:tcPr>
            <w:tcW w:w="1255" w:type="dxa"/>
          </w:tcPr>
          <w:p w14:paraId="2C1A4C04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07E300AF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theme="majorHAnsi"/>
                <w:b/>
                <w:szCs w:val="18"/>
              </w:rPr>
              <w:t>One point was given for each of the following:</w:t>
            </w:r>
          </w:p>
        </w:tc>
      </w:tr>
      <w:tr w:rsidR="006F60FE" w:rsidRPr="00FD3506" w14:paraId="33E13AAF" w14:textId="77777777" w:rsidTr="006F60FE">
        <w:tc>
          <w:tcPr>
            <w:tcW w:w="1255" w:type="dxa"/>
            <w:vMerge w:val="restart"/>
          </w:tcPr>
          <w:p w14:paraId="09B84516" w14:textId="77777777" w:rsidR="006F60FE" w:rsidRPr="006F60FE" w:rsidRDefault="005D66B5" w:rsidP="00B7795A">
            <w:pPr>
              <w:spacing w:line="360" w:lineRule="auto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DZ_Level</w:t>
            </w:r>
            <w:r w:rsidR="006F60FE" w:rsidRPr="006F60FE">
              <w:rPr>
                <w:rFonts w:cs="Arial"/>
                <w:b/>
                <w:szCs w:val="18"/>
              </w:rPr>
              <w:t>1</w:t>
            </w:r>
          </w:p>
          <w:p w14:paraId="7D3F0886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 xml:space="preserve">    (0-4)</w:t>
            </w:r>
          </w:p>
        </w:tc>
        <w:tc>
          <w:tcPr>
            <w:tcW w:w="8370" w:type="dxa"/>
          </w:tcPr>
          <w:p w14:paraId="7636EAF9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Height difference at age 20 &gt;=3 inches (90</w:t>
            </w:r>
            <w:r w:rsidRPr="006F60FE">
              <w:rPr>
                <w:rFonts w:cs="Arial"/>
                <w:szCs w:val="18"/>
                <w:vertAlign w:val="superscript"/>
              </w:rPr>
              <w:t>th</w:t>
            </w:r>
            <w:r w:rsidRPr="006F60FE">
              <w:rPr>
                <w:rFonts w:cs="Arial"/>
                <w:szCs w:val="18"/>
              </w:rPr>
              <w:t xml:space="preserve"> percentile of height difference)</w:t>
            </w:r>
          </w:p>
        </w:tc>
      </w:tr>
      <w:tr w:rsidR="006F60FE" w:rsidRPr="00FD3506" w14:paraId="3E5509E8" w14:textId="77777777" w:rsidTr="006F60FE">
        <w:tc>
          <w:tcPr>
            <w:tcW w:w="1255" w:type="dxa"/>
            <w:vMerge/>
          </w:tcPr>
          <w:p w14:paraId="62951886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0CDABB6D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Teachers rarely or never mistook twins when growing up</w:t>
            </w:r>
            <w:r w:rsidR="005D66B5">
              <w:rPr>
                <w:rFonts w:cs="Arial"/>
                <w:szCs w:val="18"/>
              </w:rPr>
              <w:t xml:space="preserve"> </w:t>
            </w:r>
            <w:r w:rsidR="005D66B5" w:rsidRPr="005D66B5">
              <w:rPr>
                <w:rFonts w:cs="Arial"/>
                <w:szCs w:val="18"/>
                <w:vertAlign w:val="superscript"/>
              </w:rPr>
              <w:t>1</w:t>
            </w:r>
          </w:p>
        </w:tc>
      </w:tr>
      <w:tr w:rsidR="006F60FE" w:rsidRPr="00FD3506" w14:paraId="5C407C3A" w14:textId="77777777" w:rsidTr="006F60FE">
        <w:tc>
          <w:tcPr>
            <w:tcW w:w="1255" w:type="dxa"/>
            <w:vMerge/>
          </w:tcPr>
          <w:p w14:paraId="5F69E3CB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7C54CCC4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Clear difference in eye color</w:t>
            </w:r>
          </w:p>
        </w:tc>
      </w:tr>
      <w:tr w:rsidR="006F60FE" w:rsidRPr="00FD3506" w14:paraId="1B652AA5" w14:textId="77777777" w:rsidTr="006F60FE">
        <w:tc>
          <w:tcPr>
            <w:tcW w:w="1255" w:type="dxa"/>
            <w:vMerge/>
          </w:tcPr>
          <w:p w14:paraId="30EAB52E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37358612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 xml:space="preserve">Clear difference in shade of natural hair color or texture </w:t>
            </w:r>
          </w:p>
        </w:tc>
      </w:tr>
      <w:tr w:rsidR="006F60FE" w:rsidRPr="00FD3506" w14:paraId="5D255366" w14:textId="77777777" w:rsidTr="006F60FE">
        <w:tc>
          <w:tcPr>
            <w:tcW w:w="1255" w:type="dxa"/>
            <w:vMerge w:val="restart"/>
          </w:tcPr>
          <w:p w14:paraId="1321C812" w14:textId="77777777" w:rsidR="006F60FE" w:rsidRPr="006F60FE" w:rsidRDefault="005D66B5" w:rsidP="00B7795A">
            <w:pPr>
              <w:spacing w:line="360" w:lineRule="auto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DZ_Level</w:t>
            </w:r>
            <w:r w:rsidR="006F60FE" w:rsidRPr="006F60FE">
              <w:rPr>
                <w:rFonts w:cs="Arial"/>
                <w:b/>
                <w:szCs w:val="18"/>
              </w:rPr>
              <w:t>2</w:t>
            </w:r>
          </w:p>
          <w:p w14:paraId="120522FF" w14:textId="77777777" w:rsidR="006F60FE" w:rsidRPr="006F60FE" w:rsidRDefault="006F60FE" w:rsidP="00B7795A">
            <w:pPr>
              <w:spacing w:line="360" w:lineRule="auto"/>
              <w:rPr>
                <w:rFonts w:cs="Arial"/>
                <w:b/>
                <w:szCs w:val="18"/>
              </w:rPr>
            </w:pPr>
            <w:r w:rsidRPr="006F60FE">
              <w:rPr>
                <w:rFonts w:cs="Arial"/>
                <w:szCs w:val="18"/>
              </w:rPr>
              <w:t xml:space="preserve">    (0-6)</w:t>
            </w:r>
          </w:p>
        </w:tc>
        <w:tc>
          <w:tcPr>
            <w:tcW w:w="8370" w:type="dxa"/>
          </w:tcPr>
          <w:p w14:paraId="6A1C5CE9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Slight difference in natural hair color or texture</w:t>
            </w:r>
          </w:p>
        </w:tc>
      </w:tr>
      <w:tr w:rsidR="006F60FE" w:rsidRPr="00FD3506" w14:paraId="7CE60C95" w14:textId="77777777" w:rsidTr="006F60FE">
        <w:tc>
          <w:tcPr>
            <w:tcW w:w="1255" w:type="dxa"/>
            <w:vMerge/>
          </w:tcPr>
          <w:p w14:paraId="7BFD5A73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4183EB48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Slight difference in eye color</w:t>
            </w:r>
          </w:p>
        </w:tc>
      </w:tr>
      <w:tr w:rsidR="006F60FE" w:rsidRPr="00FD3506" w14:paraId="0B5D5C48" w14:textId="77777777" w:rsidTr="006F60FE">
        <w:tc>
          <w:tcPr>
            <w:tcW w:w="1255" w:type="dxa"/>
            <w:vMerge/>
          </w:tcPr>
          <w:p w14:paraId="207DB1C2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11191C3F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Height difference at age 20 &gt;=1.5 in. (70</w:t>
            </w:r>
            <w:r w:rsidRPr="006F60FE">
              <w:rPr>
                <w:rFonts w:cs="Arial"/>
                <w:szCs w:val="18"/>
                <w:vertAlign w:val="superscript"/>
              </w:rPr>
              <w:t>th</w:t>
            </w:r>
            <w:r w:rsidRPr="006F60FE">
              <w:rPr>
                <w:rFonts w:cs="Arial"/>
                <w:szCs w:val="18"/>
              </w:rPr>
              <w:t xml:space="preserve"> percentile of difference)</w:t>
            </w:r>
          </w:p>
        </w:tc>
      </w:tr>
      <w:tr w:rsidR="006F60FE" w:rsidRPr="00FD3506" w14:paraId="1AD545A9" w14:textId="77777777" w:rsidTr="006F60FE">
        <w:tc>
          <w:tcPr>
            <w:tcW w:w="1255" w:type="dxa"/>
            <w:vMerge/>
          </w:tcPr>
          <w:p w14:paraId="17A9DCE6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6A8C1382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Weight difference at age 20 &gt;=15 lbs. (85</w:t>
            </w:r>
            <w:r w:rsidRPr="006F60FE">
              <w:rPr>
                <w:rFonts w:cs="Arial"/>
                <w:szCs w:val="18"/>
                <w:vertAlign w:val="superscript"/>
              </w:rPr>
              <w:t>th</w:t>
            </w:r>
            <w:r w:rsidRPr="006F60FE">
              <w:rPr>
                <w:rFonts w:cs="Arial"/>
                <w:szCs w:val="18"/>
              </w:rPr>
              <w:t xml:space="preserve"> percentile of difference)</w:t>
            </w:r>
          </w:p>
        </w:tc>
      </w:tr>
      <w:tr w:rsidR="006F60FE" w:rsidRPr="00FD3506" w14:paraId="676FC9E3" w14:textId="77777777" w:rsidTr="006F60FE">
        <w:tc>
          <w:tcPr>
            <w:tcW w:w="1255" w:type="dxa"/>
            <w:vMerge/>
          </w:tcPr>
          <w:p w14:paraId="02DE194C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1D7D353B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Other Relatives rarely mistook twins</w:t>
            </w:r>
          </w:p>
        </w:tc>
      </w:tr>
      <w:tr w:rsidR="006F60FE" w:rsidRPr="00FD3506" w14:paraId="1519C61D" w14:textId="77777777" w:rsidTr="006F60FE">
        <w:tc>
          <w:tcPr>
            <w:tcW w:w="1255" w:type="dxa"/>
            <w:vMerge/>
          </w:tcPr>
          <w:p w14:paraId="46A0F5D0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2802F911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Twin self-reports the pair as DZ</w:t>
            </w:r>
          </w:p>
        </w:tc>
      </w:tr>
      <w:tr w:rsidR="006F60FE" w:rsidRPr="00FD3506" w14:paraId="4AC40103" w14:textId="77777777" w:rsidTr="006F60FE">
        <w:tc>
          <w:tcPr>
            <w:tcW w:w="1255" w:type="dxa"/>
            <w:vMerge w:val="restart"/>
          </w:tcPr>
          <w:p w14:paraId="18D1FE36" w14:textId="77777777" w:rsidR="006F60FE" w:rsidRPr="006F60FE" w:rsidRDefault="005D66B5" w:rsidP="00B7795A">
            <w:pPr>
              <w:spacing w:line="360" w:lineRule="auto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MZ_Level</w:t>
            </w:r>
            <w:r w:rsidR="006F60FE" w:rsidRPr="006F60FE">
              <w:rPr>
                <w:rFonts w:cs="Arial"/>
                <w:b/>
                <w:szCs w:val="18"/>
              </w:rPr>
              <w:t>1</w:t>
            </w:r>
          </w:p>
          <w:p w14:paraId="4B120F85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 xml:space="preserve">    (0-2)</w:t>
            </w:r>
          </w:p>
        </w:tc>
        <w:tc>
          <w:tcPr>
            <w:tcW w:w="8370" w:type="dxa"/>
          </w:tcPr>
          <w:p w14:paraId="0EEA3A1C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Brothers or sisters frequently mistook twins when growing up</w:t>
            </w:r>
          </w:p>
        </w:tc>
      </w:tr>
      <w:tr w:rsidR="006F60FE" w:rsidRPr="00FD3506" w14:paraId="678FEB30" w14:textId="77777777" w:rsidTr="006F60FE">
        <w:tc>
          <w:tcPr>
            <w:tcW w:w="1255" w:type="dxa"/>
            <w:vMerge/>
          </w:tcPr>
          <w:p w14:paraId="5C67BCCF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12C3408C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Mother and father (averaged together) frequently mistook twins when growing up</w:t>
            </w:r>
          </w:p>
        </w:tc>
      </w:tr>
      <w:tr w:rsidR="006F60FE" w:rsidRPr="00FD3506" w14:paraId="0517276A" w14:textId="77777777" w:rsidTr="006F60FE">
        <w:tc>
          <w:tcPr>
            <w:tcW w:w="1255" w:type="dxa"/>
            <w:vMerge w:val="restart"/>
          </w:tcPr>
          <w:p w14:paraId="173E7059" w14:textId="77777777" w:rsidR="006F60FE" w:rsidRPr="006F60FE" w:rsidRDefault="005D66B5" w:rsidP="00B7795A">
            <w:pPr>
              <w:spacing w:line="360" w:lineRule="auto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MZ_Level</w:t>
            </w:r>
            <w:r w:rsidR="006F60FE" w:rsidRPr="006F60FE">
              <w:rPr>
                <w:rFonts w:cs="Arial"/>
                <w:b/>
                <w:szCs w:val="18"/>
              </w:rPr>
              <w:t>2</w:t>
            </w:r>
          </w:p>
          <w:p w14:paraId="5168CCFD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 xml:space="preserve">    (0-4)</w:t>
            </w:r>
          </w:p>
        </w:tc>
        <w:tc>
          <w:tcPr>
            <w:tcW w:w="8370" w:type="dxa"/>
          </w:tcPr>
          <w:p w14:paraId="3C8CEAC4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Brother or sisters frequently or occasionally mistook twins when growing up</w:t>
            </w:r>
          </w:p>
        </w:tc>
      </w:tr>
      <w:tr w:rsidR="006F60FE" w:rsidRPr="00FD3506" w14:paraId="63B8E5B0" w14:textId="77777777" w:rsidTr="006F60FE">
        <w:tc>
          <w:tcPr>
            <w:tcW w:w="1255" w:type="dxa"/>
            <w:vMerge/>
          </w:tcPr>
          <w:p w14:paraId="644FC88D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63CDA828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Mother and father (averaged) frequently or occasionally mistook twins when growing up</w:t>
            </w:r>
          </w:p>
        </w:tc>
      </w:tr>
      <w:tr w:rsidR="006F60FE" w:rsidRPr="00FD3506" w14:paraId="048B13DB" w14:textId="77777777" w:rsidTr="006F60FE">
        <w:tc>
          <w:tcPr>
            <w:tcW w:w="1255" w:type="dxa"/>
            <w:vMerge/>
          </w:tcPr>
          <w:p w14:paraId="47508500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770B38B3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Other relatives frequently or occasionally mistook twins when growing up</w:t>
            </w:r>
          </w:p>
        </w:tc>
      </w:tr>
      <w:tr w:rsidR="006F60FE" w:rsidRPr="00FD3506" w14:paraId="7590D661" w14:textId="77777777" w:rsidTr="006F60FE">
        <w:tc>
          <w:tcPr>
            <w:tcW w:w="1255" w:type="dxa"/>
            <w:vMerge/>
          </w:tcPr>
          <w:p w14:paraId="66857087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8370" w:type="dxa"/>
          </w:tcPr>
          <w:p w14:paraId="283ADF2F" w14:textId="77777777" w:rsidR="006F60FE" w:rsidRPr="006F60FE" w:rsidRDefault="006F60FE" w:rsidP="00B7795A">
            <w:pPr>
              <w:spacing w:line="360" w:lineRule="auto"/>
              <w:rPr>
                <w:rFonts w:cs="Arial"/>
                <w:szCs w:val="18"/>
              </w:rPr>
            </w:pPr>
            <w:r w:rsidRPr="006F60FE">
              <w:rPr>
                <w:rFonts w:cs="Arial"/>
                <w:szCs w:val="18"/>
              </w:rPr>
              <w:t>Twin self-reports the pair as MZ</w:t>
            </w:r>
          </w:p>
        </w:tc>
      </w:tr>
    </w:tbl>
    <w:p w14:paraId="507D2BF1" w14:textId="77777777" w:rsidR="00E917A7" w:rsidRDefault="005D66B5" w:rsidP="00E917A7">
      <w:pPr>
        <w:spacing w:after="0" w:line="240" w:lineRule="auto"/>
        <w:rPr>
          <w:rFonts w:cs="Arial"/>
          <w:sz w:val="18"/>
          <w:szCs w:val="18"/>
        </w:rPr>
      </w:pPr>
      <w:r w:rsidRPr="005D66B5">
        <w:rPr>
          <w:rFonts w:cs="Arial"/>
          <w:sz w:val="20"/>
          <w:szCs w:val="18"/>
          <w:vertAlign w:val="superscript"/>
        </w:rPr>
        <w:t xml:space="preserve">1 </w:t>
      </w:r>
      <w:r w:rsidRPr="005D66B5">
        <w:rPr>
          <w:rFonts w:cs="Arial"/>
          <w:sz w:val="18"/>
          <w:szCs w:val="18"/>
        </w:rPr>
        <w:t>defined as until age 18</w:t>
      </w:r>
    </w:p>
    <w:p w14:paraId="6D0B9B2F" w14:textId="0FFB6819" w:rsidR="00E917A7" w:rsidRPr="00E917A7" w:rsidRDefault="00E917A7" w:rsidP="006F60FE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Scoring system and algorithm adapted from</w:t>
      </w:r>
      <w:r w:rsidR="00D9215A">
        <w:rPr>
          <w:rFonts w:cs="Arial"/>
          <w:sz w:val="18"/>
          <w:szCs w:val="18"/>
        </w:rPr>
        <w:t xml:space="preserve"> Nichols &amp; Bi</w:t>
      </w:r>
      <w:r w:rsidR="00177647">
        <w:rPr>
          <w:rFonts w:cs="Arial"/>
          <w:sz w:val="18"/>
          <w:szCs w:val="18"/>
        </w:rPr>
        <w:t>l</w:t>
      </w:r>
      <w:r w:rsidR="00D9215A">
        <w:rPr>
          <w:rFonts w:cs="Arial"/>
          <w:sz w:val="18"/>
          <w:szCs w:val="18"/>
        </w:rPr>
        <w:t xml:space="preserve">bro (1966). </w:t>
      </w:r>
      <w:r>
        <w:rPr>
          <w:rFonts w:cs="Arial"/>
          <w:sz w:val="18"/>
          <w:szCs w:val="18"/>
        </w:rPr>
        <w:t xml:space="preserve"> </w:t>
      </w:r>
    </w:p>
    <w:p w14:paraId="714D43B8" w14:textId="77777777" w:rsidR="006F60FE" w:rsidRPr="006F60FE" w:rsidRDefault="006F60FE" w:rsidP="00E917A7">
      <w:pPr>
        <w:spacing w:after="0" w:line="240" w:lineRule="auto"/>
        <w:contextualSpacing/>
      </w:pPr>
      <w:r w:rsidRPr="006F60FE">
        <w:t xml:space="preserve">The four scores were then used to assign a zygosity </w:t>
      </w:r>
      <w:r w:rsidR="005D66B5">
        <w:t>category</w:t>
      </w:r>
      <w:r w:rsidRPr="006F60FE">
        <w:t xml:space="preserve"> </w:t>
      </w:r>
      <w:r w:rsidRPr="006F60FE">
        <w:rPr>
          <w:i/>
        </w:rPr>
        <w:t>for each rater</w:t>
      </w:r>
      <w:r w:rsidRPr="006F60FE">
        <w:t xml:space="preserve"> </w:t>
      </w:r>
      <w:r w:rsidR="005D66B5">
        <w:t xml:space="preserve">using a hierarchical </w:t>
      </w:r>
      <w:r w:rsidR="00E917A7">
        <w:t>algorithm</w:t>
      </w:r>
      <w:r w:rsidRPr="006F60FE">
        <w:t>:</w:t>
      </w:r>
    </w:p>
    <w:p w14:paraId="3C2BEE8B" w14:textId="77777777" w:rsidR="006F60FE" w:rsidRPr="006F60FE" w:rsidRDefault="005D66B5" w:rsidP="00E917A7">
      <w:pPr>
        <w:pStyle w:val="ListParagraph"/>
        <w:numPr>
          <w:ilvl w:val="0"/>
          <w:numId w:val="1"/>
        </w:numPr>
        <w:spacing w:after="0" w:line="240" w:lineRule="auto"/>
      </w:pPr>
      <w:r>
        <w:t>If DZ_level</w:t>
      </w:r>
      <w:r w:rsidR="006F60FE" w:rsidRPr="006F60FE">
        <w:t xml:space="preserve">1 </w:t>
      </w:r>
      <w:r>
        <w:t>&gt;0</w:t>
      </w:r>
      <w:r w:rsidR="006F60FE" w:rsidRPr="006F60FE">
        <w:t>,</w:t>
      </w:r>
      <w:r>
        <w:t xml:space="preserve"> assign as DZ</w:t>
      </w:r>
      <w:r w:rsidR="006F60FE" w:rsidRPr="006F60FE">
        <w:t xml:space="preserve">  </w:t>
      </w:r>
    </w:p>
    <w:p w14:paraId="7C6B1858" w14:textId="77777777" w:rsidR="006F60FE" w:rsidRPr="006F60FE" w:rsidRDefault="00E917A7" w:rsidP="00E917A7">
      <w:pPr>
        <w:pStyle w:val="ListParagraph"/>
        <w:spacing w:after="0" w:line="240" w:lineRule="auto"/>
        <w:ind w:firstLine="0"/>
      </w:pPr>
      <w:r>
        <w:t xml:space="preserve">        </w:t>
      </w:r>
      <w:r w:rsidR="005D66B5">
        <w:t>Else if MZ_level</w:t>
      </w:r>
      <w:r w:rsidR="006F60FE" w:rsidRPr="006F60FE">
        <w:t xml:space="preserve">1 </w:t>
      </w:r>
      <w:r w:rsidR="005D66B5">
        <w:t>&gt;0, assign as MZ</w:t>
      </w:r>
    </w:p>
    <w:p w14:paraId="3391DD9B" w14:textId="77777777" w:rsidR="006F60FE" w:rsidRPr="006F60FE" w:rsidRDefault="00E917A7" w:rsidP="00E917A7">
      <w:pPr>
        <w:pStyle w:val="ListParagraph"/>
        <w:numPr>
          <w:ilvl w:val="0"/>
          <w:numId w:val="1"/>
        </w:numPr>
        <w:spacing w:after="0" w:line="240" w:lineRule="auto"/>
      </w:pPr>
      <w:r>
        <w:t>If</w:t>
      </w:r>
      <w:r w:rsidR="005D66B5">
        <w:t xml:space="preserve"> DZ_Level</w:t>
      </w:r>
      <w:r w:rsidR="006F60FE" w:rsidRPr="006F60FE">
        <w:t>1</w:t>
      </w:r>
      <w:r w:rsidR="005D66B5">
        <w:t>=0</w:t>
      </w:r>
      <w:r w:rsidR="006F60FE" w:rsidRPr="006F60FE">
        <w:t xml:space="preserve"> and </w:t>
      </w:r>
      <w:r w:rsidR="005D66B5">
        <w:t>MZ_</w:t>
      </w:r>
      <w:r w:rsidR="006F60FE" w:rsidRPr="006F60FE">
        <w:t>Level1</w:t>
      </w:r>
      <w:r w:rsidR="005D66B5">
        <w:t>=</w:t>
      </w:r>
      <w:r w:rsidR="006F60FE" w:rsidRPr="006F60FE">
        <w:t>0</w:t>
      </w:r>
      <w:r>
        <w:t>, use the level 2 scores as follows:</w:t>
      </w:r>
    </w:p>
    <w:p w14:paraId="7DEF640A" w14:textId="77777777" w:rsidR="006F60FE" w:rsidRPr="006F60FE" w:rsidRDefault="005D66B5" w:rsidP="00E917A7">
      <w:pPr>
        <w:pStyle w:val="ListParagraph"/>
        <w:numPr>
          <w:ilvl w:val="1"/>
          <w:numId w:val="1"/>
        </w:numPr>
        <w:spacing w:after="0" w:line="240" w:lineRule="auto"/>
      </w:pPr>
      <w:r>
        <w:t>if MZ_</w:t>
      </w:r>
      <w:r w:rsidR="006F60FE" w:rsidRPr="006F60FE">
        <w:t>level</w:t>
      </w:r>
      <w:r>
        <w:t>2 &gt; DZ_level</w:t>
      </w:r>
      <w:r w:rsidR="006F60FE" w:rsidRPr="006F60FE">
        <w:t xml:space="preserve">2, assign </w:t>
      </w:r>
      <w:r>
        <w:t>as MZ</w:t>
      </w:r>
      <w:r w:rsidR="006F60FE" w:rsidRPr="006F60FE">
        <w:t xml:space="preserve">  </w:t>
      </w:r>
    </w:p>
    <w:p w14:paraId="63DDC094" w14:textId="77777777" w:rsidR="006F60FE" w:rsidRPr="006F60FE" w:rsidRDefault="006F60FE" w:rsidP="00E917A7">
      <w:pPr>
        <w:pStyle w:val="ListParagraph"/>
        <w:numPr>
          <w:ilvl w:val="1"/>
          <w:numId w:val="1"/>
        </w:numPr>
        <w:spacing w:after="0" w:line="240" w:lineRule="auto"/>
      </w:pPr>
      <w:r w:rsidRPr="006F60FE">
        <w:t>i</w:t>
      </w:r>
      <w:r w:rsidR="00E917A7">
        <w:t>f M</w:t>
      </w:r>
      <w:r w:rsidR="005D66B5">
        <w:t>Z_</w:t>
      </w:r>
      <w:r w:rsidRPr="006F60FE">
        <w:t>level</w:t>
      </w:r>
      <w:r w:rsidR="00E917A7">
        <w:t>2 &lt; D</w:t>
      </w:r>
      <w:r w:rsidR="005D66B5">
        <w:t>Z_</w:t>
      </w:r>
      <w:r w:rsidRPr="006F60FE">
        <w:t xml:space="preserve">level2, assign </w:t>
      </w:r>
      <w:r w:rsidR="005D66B5">
        <w:t>as DZ</w:t>
      </w:r>
      <w:r w:rsidRPr="006F60FE">
        <w:t xml:space="preserve">  </w:t>
      </w:r>
    </w:p>
    <w:p w14:paraId="4D31CBCD" w14:textId="77777777" w:rsidR="006F60FE" w:rsidRPr="006F60FE" w:rsidRDefault="006F60FE" w:rsidP="00E917A7">
      <w:pPr>
        <w:pStyle w:val="ListParagraph"/>
        <w:numPr>
          <w:ilvl w:val="1"/>
          <w:numId w:val="1"/>
        </w:numPr>
        <w:spacing w:after="0" w:line="240" w:lineRule="auto"/>
      </w:pPr>
      <w:r w:rsidRPr="006F60FE">
        <w:t>i</w:t>
      </w:r>
      <w:r w:rsidR="005D66B5">
        <w:t>f MZ_</w:t>
      </w:r>
      <w:r w:rsidRPr="006F60FE">
        <w:t xml:space="preserve">level2 </w:t>
      </w:r>
      <w:r w:rsidR="005D66B5">
        <w:t>= DZ_level</w:t>
      </w:r>
      <w:r w:rsidRPr="006F60FE">
        <w:t xml:space="preserve">2, </w:t>
      </w:r>
      <w:r w:rsidR="005D66B5">
        <w:t>assign as indeterminate</w:t>
      </w:r>
      <w:r w:rsidRPr="006F60FE">
        <w:t xml:space="preserve">  </w:t>
      </w:r>
    </w:p>
    <w:p w14:paraId="0A644FBE" w14:textId="77777777" w:rsidR="006F60FE" w:rsidRPr="006F60FE" w:rsidRDefault="006F60FE" w:rsidP="00E917A7">
      <w:pPr>
        <w:pStyle w:val="ListParagraph"/>
        <w:spacing w:after="0" w:line="240" w:lineRule="auto"/>
        <w:ind w:left="0" w:firstLine="0"/>
      </w:pPr>
      <w:r w:rsidRPr="006F60FE">
        <w:t xml:space="preserve">The </w:t>
      </w:r>
      <w:r w:rsidR="005D66B5">
        <w:t xml:space="preserve">assignments of </w:t>
      </w:r>
      <w:r w:rsidRPr="006F60FE">
        <w:t xml:space="preserve">multiple raters were combined as described in the </w:t>
      </w:r>
      <w:r w:rsidR="005D66B5">
        <w:t>text</w:t>
      </w:r>
      <w:r w:rsidRPr="006F60FE">
        <w:t>.</w:t>
      </w:r>
    </w:p>
    <w:p w14:paraId="076DDF75" w14:textId="4775DCDE" w:rsidR="000D0F66" w:rsidRPr="00EF0D0A" w:rsidRDefault="00B41AFC" w:rsidP="003A14DF">
      <w:pPr>
        <w:rPr>
          <w:b/>
          <w:sz w:val="24"/>
          <w:szCs w:val="24"/>
        </w:rPr>
      </w:pPr>
      <w:r>
        <w:br w:type="page"/>
      </w:r>
      <w:r w:rsidR="003A14DF">
        <w:rPr>
          <w:b/>
          <w:sz w:val="24"/>
          <w:szCs w:val="24"/>
        </w:rPr>
        <w:lastRenderedPageBreak/>
        <w:t>SUPPLEMENT</w:t>
      </w:r>
      <w:r w:rsidR="003A14DF" w:rsidRPr="00E917A7">
        <w:rPr>
          <w:b/>
          <w:sz w:val="24"/>
          <w:szCs w:val="24"/>
        </w:rPr>
        <w:t xml:space="preserve"> </w:t>
      </w:r>
      <w:r w:rsidR="00177647">
        <w:rPr>
          <w:b/>
          <w:sz w:val="24"/>
          <w:szCs w:val="24"/>
        </w:rPr>
        <w:t>S3</w:t>
      </w:r>
      <w:r w:rsidR="003A14DF" w:rsidRPr="00E917A7">
        <w:rPr>
          <w:b/>
          <w:sz w:val="24"/>
          <w:szCs w:val="24"/>
        </w:rPr>
        <w:t>.</w:t>
      </w:r>
      <w:r w:rsidR="003A14DF" w:rsidRPr="006F60FE">
        <w:rPr>
          <w:sz w:val="24"/>
          <w:szCs w:val="24"/>
        </w:rPr>
        <w:t xml:space="preserve"> </w:t>
      </w:r>
      <w:r w:rsidR="003A14DF">
        <w:rPr>
          <w:sz w:val="24"/>
          <w:szCs w:val="24"/>
        </w:rPr>
        <w:t xml:space="preserve"> </w:t>
      </w:r>
      <w:r w:rsidR="003A14DF" w:rsidRPr="003A14DF">
        <w:rPr>
          <w:b/>
          <w:sz w:val="24"/>
        </w:rPr>
        <w:t xml:space="preserve"> </w:t>
      </w:r>
      <w:r w:rsidR="002C5D76">
        <w:rPr>
          <w:b/>
          <w:sz w:val="24"/>
        </w:rPr>
        <w:t xml:space="preserve">Agreement of </w:t>
      </w:r>
      <w:r w:rsidR="003A14DF" w:rsidRPr="003A14DF">
        <w:rPr>
          <w:b/>
          <w:sz w:val="24"/>
        </w:rPr>
        <w:t>Zygosity Algorithm</w:t>
      </w:r>
      <w:r w:rsidR="002C5D76">
        <w:rPr>
          <w:b/>
          <w:sz w:val="24"/>
        </w:rPr>
        <w:t xml:space="preserve"> Assignments Based on Survey Responses from Twin Pairs and from Twin-Sibling Pairs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990"/>
        <w:gridCol w:w="1620"/>
        <w:gridCol w:w="1260"/>
        <w:gridCol w:w="1080"/>
        <w:gridCol w:w="1530"/>
        <w:gridCol w:w="1116"/>
      </w:tblGrid>
      <w:tr w:rsidR="00094B7B" w14:paraId="0D82A3BC" w14:textId="77777777" w:rsidTr="00094B7B">
        <w:trPr>
          <w:trHeight w:val="557"/>
        </w:trPr>
        <w:tc>
          <w:tcPr>
            <w:tcW w:w="2425" w:type="dxa"/>
            <w:vAlign w:val="bottom"/>
          </w:tcPr>
          <w:p w14:paraId="5F9556F1" w14:textId="07B590AC" w:rsidR="00094B7B" w:rsidRDefault="00094B7B" w:rsidP="00094B7B">
            <w:pPr>
              <w:spacing w:line="360" w:lineRule="auto"/>
              <w:rPr>
                <w:i/>
              </w:rPr>
            </w:pPr>
            <w:r>
              <w:rPr>
                <w:i/>
              </w:rPr>
              <w:t>Assignment based on Responses from</w:t>
            </w:r>
          </w:p>
        </w:tc>
        <w:tc>
          <w:tcPr>
            <w:tcW w:w="3870" w:type="dxa"/>
            <w:gridSpan w:val="3"/>
            <w:vAlign w:val="bottom"/>
          </w:tcPr>
          <w:p w14:paraId="7F353742" w14:textId="77777777" w:rsidR="00094B7B" w:rsidRDefault="00094B7B" w:rsidP="00B7795A">
            <w:pPr>
              <w:spacing w:line="360" w:lineRule="auto"/>
              <w:jc w:val="center"/>
            </w:pPr>
          </w:p>
        </w:tc>
        <w:tc>
          <w:tcPr>
            <w:tcW w:w="3726" w:type="dxa"/>
            <w:gridSpan w:val="3"/>
            <w:vAlign w:val="bottom"/>
          </w:tcPr>
          <w:p w14:paraId="3795EBC5" w14:textId="77777777" w:rsidR="00094B7B" w:rsidRDefault="00094B7B" w:rsidP="00B7795A">
            <w:pPr>
              <w:spacing w:line="360" w:lineRule="auto"/>
              <w:jc w:val="center"/>
            </w:pPr>
          </w:p>
        </w:tc>
      </w:tr>
      <w:tr w:rsidR="003A14DF" w14:paraId="08B7CA1A" w14:textId="77777777" w:rsidTr="00094B7B">
        <w:trPr>
          <w:trHeight w:val="989"/>
        </w:trPr>
        <w:tc>
          <w:tcPr>
            <w:tcW w:w="2425" w:type="dxa"/>
            <w:vAlign w:val="bottom"/>
          </w:tcPr>
          <w:p w14:paraId="28F351A8" w14:textId="77777777" w:rsidR="003A14DF" w:rsidRDefault="003A14DF" w:rsidP="002C5D76">
            <w:pPr>
              <w:spacing w:line="360" w:lineRule="auto"/>
              <w:rPr>
                <w:i/>
              </w:rPr>
            </w:pPr>
          </w:p>
          <w:p w14:paraId="7F76E7D1" w14:textId="2A310402" w:rsidR="002C5D76" w:rsidRPr="00C76437" w:rsidRDefault="002C5D76" w:rsidP="00094B7B">
            <w:pPr>
              <w:spacing w:line="360" w:lineRule="auto"/>
              <w:rPr>
                <w:i/>
              </w:rPr>
            </w:pPr>
            <w:r>
              <w:rPr>
                <w:i/>
              </w:rPr>
              <w:t>Female Twin</w:t>
            </w:r>
            <w:r w:rsidR="00094B7B">
              <w:rPr>
                <w:i/>
              </w:rPr>
              <w:t>s</w:t>
            </w:r>
          </w:p>
        </w:tc>
        <w:tc>
          <w:tcPr>
            <w:tcW w:w="3870" w:type="dxa"/>
            <w:gridSpan w:val="3"/>
            <w:vAlign w:val="bottom"/>
          </w:tcPr>
          <w:p w14:paraId="0FA84347" w14:textId="0E8E43F5" w:rsidR="003A14DF" w:rsidRDefault="00094B7B" w:rsidP="00B7795A">
            <w:pPr>
              <w:spacing w:line="360" w:lineRule="auto"/>
              <w:jc w:val="center"/>
            </w:pPr>
            <w:r>
              <w:t>Female Cotwins</w:t>
            </w:r>
          </w:p>
          <w:p w14:paraId="4529A221" w14:textId="3CAB2B76" w:rsidR="003A14DF" w:rsidRDefault="003A14DF" w:rsidP="00B7795A">
            <w:pPr>
              <w:spacing w:line="360" w:lineRule="auto"/>
              <w:jc w:val="center"/>
            </w:pPr>
            <w:r>
              <w:t>(n=</w:t>
            </w:r>
            <w:r w:rsidR="00165898">
              <w:t>303</w:t>
            </w:r>
            <w:r>
              <w:t>)</w:t>
            </w:r>
          </w:p>
        </w:tc>
        <w:tc>
          <w:tcPr>
            <w:tcW w:w="3726" w:type="dxa"/>
            <w:gridSpan w:val="3"/>
            <w:vAlign w:val="bottom"/>
          </w:tcPr>
          <w:p w14:paraId="693DB3B0" w14:textId="465F81AE" w:rsidR="003A14DF" w:rsidRDefault="00094B7B" w:rsidP="00B7795A">
            <w:pPr>
              <w:spacing w:line="360" w:lineRule="auto"/>
              <w:jc w:val="center"/>
            </w:pPr>
            <w:r>
              <w:t>Sibling of Female Twin</w:t>
            </w:r>
          </w:p>
          <w:p w14:paraId="7F234FC2" w14:textId="0DAF1B7F" w:rsidR="003A14DF" w:rsidRDefault="003A14DF" w:rsidP="00B7795A">
            <w:pPr>
              <w:spacing w:line="360" w:lineRule="auto"/>
              <w:jc w:val="center"/>
            </w:pPr>
            <w:r>
              <w:t>(n=</w:t>
            </w:r>
            <w:r w:rsidR="004B35C6">
              <w:t>65</w:t>
            </w:r>
            <w:r>
              <w:t>)</w:t>
            </w:r>
          </w:p>
        </w:tc>
      </w:tr>
      <w:tr w:rsidR="003A14DF" w14:paraId="776F36C5" w14:textId="77777777" w:rsidTr="00094B7B">
        <w:tc>
          <w:tcPr>
            <w:tcW w:w="2425" w:type="dxa"/>
          </w:tcPr>
          <w:p w14:paraId="0DD10E68" w14:textId="77777777" w:rsidR="003A14DF" w:rsidRDefault="003A14DF" w:rsidP="00B7795A">
            <w:pPr>
              <w:spacing w:line="360" w:lineRule="auto"/>
            </w:pPr>
          </w:p>
        </w:tc>
        <w:tc>
          <w:tcPr>
            <w:tcW w:w="990" w:type="dxa"/>
          </w:tcPr>
          <w:p w14:paraId="28225FC9" w14:textId="77777777" w:rsidR="003A14DF" w:rsidRDefault="003A14DF" w:rsidP="00B7795A">
            <w:pPr>
              <w:spacing w:line="360" w:lineRule="auto"/>
              <w:jc w:val="center"/>
            </w:pPr>
            <w:r>
              <w:t>MZ</w:t>
            </w:r>
          </w:p>
        </w:tc>
        <w:tc>
          <w:tcPr>
            <w:tcW w:w="1620" w:type="dxa"/>
          </w:tcPr>
          <w:p w14:paraId="49C157BE" w14:textId="538C1318" w:rsidR="003A14DF" w:rsidRDefault="003A14DF" w:rsidP="00B7795A">
            <w:pPr>
              <w:spacing w:line="360" w:lineRule="auto"/>
              <w:jc w:val="center"/>
            </w:pPr>
            <w:r>
              <w:t>Indet</w:t>
            </w:r>
            <w:r w:rsidR="002C5D76">
              <w:t>erminate</w:t>
            </w:r>
          </w:p>
        </w:tc>
        <w:tc>
          <w:tcPr>
            <w:tcW w:w="1260" w:type="dxa"/>
          </w:tcPr>
          <w:p w14:paraId="194FF6EE" w14:textId="77777777" w:rsidR="003A14DF" w:rsidRDefault="003A14DF" w:rsidP="00B7795A">
            <w:pPr>
              <w:spacing w:line="360" w:lineRule="auto"/>
              <w:jc w:val="center"/>
            </w:pPr>
            <w:r>
              <w:t>DZ</w:t>
            </w:r>
          </w:p>
        </w:tc>
        <w:tc>
          <w:tcPr>
            <w:tcW w:w="1080" w:type="dxa"/>
          </w:tcPr>
          <w:p w14:paraId="2BC0D94F" w14:textId="77777777" w:rsidR="003A14DF" w:rsidRDefault="003A14DF" w:rsidP="00B7795A">
            <w:pPr>
              <w:spacing w:line="360" w:lineRule="auto"/>
              <w:jc w:val="center"/>
            </w:pPr>
            <w:r>
              <w:t>MZ</w:t>
            </w:r>
          </w:p>
        </w:tc>
        <w:tc>
          <w:tcPr>
            <w:tcW w:w="1530" w:type="dxa"/>
          </w:tcPr>
          <w:p w14:paraId="205D852A" w14:textId="3FC55F54" w:rsidR="003A14DF" w:rsidRDefault="003A14DF" w:rsidP="00B7795A">
            <w:pPr>
              <w:spacing w:line="360" w:lineRule="auto"/>
              <w:jc w:val="center"/>
            </w:pPr>
            <w:r>
              <w:t>Indet</w:t>
            </w:r>
            <w:r w:rsidR="002C5D76">
              <w:t>erminate</w:t>
            </w:r>
          </w:p>
        </w:tc>
        <w:tc>
          <w:tcPr>
            <w:tcW w:w="1116" w:type="dxa"/>
          </w:tcPr>
          <w:p w14:paraId="3ECA7174" w14:textId="77777777" w:rsidR="003A14DF" w:rsidRDefault="003A14DF" w:rsidP="00B7795A">
            <w:pPr>
              <w:spacing w:line="360" w:lineRule="auto"/>
              <w:jc w:val="center"/>
            </w:pPr>
            <w:r>
              <w:t>DZ</w:t>
            </w:r>
          </w:p>
        </w:tc>
      </w:tr>
      <w:tr w:rsidR="003A14DF" w14:paraId="0C86A064" w14:textId="77777777" w:rsidTr="00094B7B">
        <w:tc>
          <w:tcPr>
            <w:tcW w:w="2425" w:type="dxa"/>
          </w:tcPr>
          <w:p w14:paraId="00951649" w14:textId="77777777" w:rsidR="003A14DF" w:rsidRDefault="003A14DF" w:rsidP="00B7795A">
            <w:pPr>
              <w:spacing w:line="360" w:lineRule="auto"/>
            </w:pPr>
            <w:r>
              <w:t>MZ</w:t>
            </w:r>
          </w:p>
        </w:tc>
        <w:tc>
          <w:tcPr>
            <w:tcW w:w="990" w:type="dxa"/>
          </w:tcPr>
          <w:p w14:paraId="7284A597" w14:textId="3D84CAFD" w:rsidR="003A14DF" w:rsidRDefault="00DA2517" w:rsidP="00B7795A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1620" w:type="dxa"/>
          </w:tcPr>
          <w:p w14:paraId="65D17F1A" w14:textId="77777777" w:rsidR="003A14DF" w:rsidRDefault="003A14DF" w:rsidP="00B7795A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1260" w:type="dxa"/>
          </w:tcPr>
          <w:p w14:paraId="3105E761" w14:textId="77777777" w:rsidR="003A14DF" w:rsidRDefault="003A14DF" w:rsidP="00B7795A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1080" w:type="dxa"/>
          </w:tcPr>
          <w:p w14:paraId="4A8A5366" w14:textId="1BAF9DD8" w:rsidR="003A14DF" w:rsidRDefault="0030213D" w:rsidP="00B7795A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530" w:type="dxa"/>
          </w:tcPr>
          <w:p w14:paraId="37AE3DC2" w14:textId="06B35781" w:rsidR="003A14DF" w:rsidRDefault="0030213D" w:rsidP="00B7795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16" w:type="dxa"/>
          </w:tcPr>
          <w:p w14:paraId="3283FCD1" w14:textId="661E2C56" w:rsidR="003A14DF" w:rsidRDefault="0030213D" w:rsidP="00B7795A">
            <w:pPr>
              <w:spacing w:line="360" w:lineRule="auto"/>
              <w:jc w:val="center"/>
            </w:pPr>
            <w:r>
              <w:t>5</w:t>
            </w:r>
          </w:p>
        </w:tc>
      </w:tr>
      <w:tr w:rsidR="003A14DF" w14:paraId="6B09F5F8" w14:textId="77777777" w:rsidTr="00094B7B">
        <w:tc>
          <w:tcPr>
            <w:tcW w:w="2425" w:type="dxa"/>
          </w:tcPr>
          <w:p w14:paraId="23C3D43A" w14:textId="77777777" w:rsidR="003A14DF" w:rsidRDefault="003A14DF" w:rsidP="00B7795A">
            <w:pPr>
              <w:spacing w:line="360" w:lineRule="auto"/>
            </w:pPr>
            <w:r>
              <w:t>Indeterminate</w:t>
            </w:r>
          </w:p>
        </w:tc>
        <w:tc>
          <w:tcPr>
            <w:tcW w:w="990" w:type="dxa"/>
          </w:tcPr>
          <w:p w14:paraId="2AB17BE1" w14:textId="2A6C12F2" w:rsidR="003A14DF" w:rsidRDefault="00DA2517" w:rsidP="00B7795A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75EA332A" w14:textId="47D31E11" w:rsidR="003A14DF" w:rsidRDefault="00DA2517" w:rsidP="00B7795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60" w:type="dxa"/>
          </w:tcPr>
          <w:p w14:paraId="34B9B696" w14:textId="77777777" w:rsidR="003A14DF" w:rsidRDefault="003A14DF" w:rsidP="00B7795A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1080" w:type="dxa"/>
          </w:tcPr>
          <w:p w14:paraId="539E7AB9" w14:textId="3229645B" w:rsidR="003A14DF" w:rsidRDefault="0030213D" w:rsidP="00B7795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01D6EA12" w14:textId="4E14CF08" w:rsidR="003A14DF" w:rsidRDefault="004B35C6" w:rsidP="00B7795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16" w:type="dxa"/>
          </w:tcPr>
          <w:p w14:paraId="2CDE665E" w14:textId="3CE5652A" w:rsidR="003A14DF" w:rsidRDefault="0030213D" w:rsidP="00B7795A">
            <w:pPr>
              <w:spacing w:line="360" w:lineRule="auto"/>
              <w:jc w:val="center"/>
            </w:pPr>
            <w:r>
              <w:t>2</w:t>
            </w:r>
          </w:p>
        </w:tc>
      </w:tr>
      <w:tr w:rsidR="003A14DF" w14:paraId="311E0EC7" w14:textId="77777777" w:rsidTr="00094B7B">
        <w:tc>
          <w:tcPr>
            <w:tcW w:w="2425" w:type="dxa"/>
          </w:tcPr>
          <w:p w14:paraId="782E296B" w14:textId="77777777" w:rsidR="003A14DF" w:rsidRDefault="003A14DF" w:rsidP="00B7795A">
            <w:pPr>
              <w:spacing w:line="360" w:lineRule="auto"/>
            </w:pPr>
            <w:r>
              <w:t>DZ</w:t>
            </w:r>
          </w:p>
        </w:tc>
        <w:tc>
          <w:tcPr>
            <w:tcW w:w="990" w:type="dxa"/>
          </w:tcPr>
          <w:p w14:paraId="1DF7F7AB" w14:textId="0F1F88E3" w:rsidR="003A14DF" w:rsidRDefault="00DA2517" w:rsidP="00B7795A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620" w:type="dxa"/>
          </w:tcPr>
          <w:p w14:paraId="4CE51018" w14:textId="09355576" w:rsidR="003A14DF" w:rsidRDefault="00DA2517" w:rsidP="00B7795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260" w:type="dxa"/>
          </w:tcPr>
          <w:p w14:paraId="0AA752AC" w14:textId="7EA21BE0" w:rsidR="003A14DF" w:rsidRDefault="00165898" w:rsidP="00B7795A">
            <w:pPr>
              <w:spacing w:line="360" w:lineRule="auto"/>
              <w:jc w:val="center"/>
            </w:pPr>
            <w:r>
              <w:t>139</w:t>
            </w:r>
          </w:p>
        </w:tc>
        <w:tc>
          <w:tcPr>
            <w:tcW w:w="1080" w:type="dxa"/>
          </w:tcPr>
          <w:p w14:paraId="501B3DD1" w14:textId="6B87A765" w:rsidR="003A14DF" w:rsidRDefault="0030213D" w:rsidP="00B7795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401F50A5" w14:textId="4BA07F23" w:rsidR="003A14DF" w:rsidRDefault="0030213D" w:rsidP="00B7795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16" w:type="dxa"/>
          </w:tcPr>
          <w:p w14:paraId="0C659BFE" w14:textId="42F9536E" w:rsidR="003A14DF" w:rsidRDefault="0030213D" w:rsidP="00B7795A">
            <w:pPr>
              <w:spacing w:line="360" w:lineRule="auto"/>
              <w:jc w:val="center"/>
            </w:pPr>
            <w:r>
              <w:t>42</w:t>
            </w:r>
          </w:p>
        </w:tc>
      </w:tr>
      <w:tr w:rsidR="003A14DF" w14:paraId="2CE58D1C" w14:textId="77777777" w:rsidTr="00094B7B">
        <w:trPr>
          <w:trHeight w:val="1223"/>
        </w:trPr>
        <w:tc>
          <w:tcPr>
            <w:tcW w:w="2425" w:type="dxa"/>
            <w:vAlign w:val="bottom"/>
          </w:tcPr>
          <w:p w14:paraId="6929C846" w14:textId="2CBE9837" w:rsidR="003A14DF" w:rsidRPr="00C76437" w:rsidRDefault="00094B7B" w:rsidP="00B7795A">
            <w:pPr>
              <w:spacing w:line="360" w:lineRule="auto"/>
              <w:rPr>
                <w:i/>
              </w:rPr>
            </w:pPr>
            <w:r>
              <w:rPr>
                <w:i/>
              </w:rPr>
              <w:t>Male Twins</w:t>
            </w:r>
          </w:p>
        </w:tc>
        <w:tc>
          <w:tcPr>
            <w:tcW w:w="3870" w:type="dxa"/>
            <w:gridSpan w:val="3"/>
            <w:vAlign w:val="bottom"/>
          </w:tcPr>
          <w:p w14:paraId="02F5196C" w14:textId="0429524B" w:rsidR="003A14DF" w:rsidRDefault="00094B7B" w:rsidP="00B7795A">
            <w:pPr>
              <w:spacing w:line="360" w:lineRule="auto"/>
              <w:jc w:val="center"/>
            </w:pPr>
            <w:r>
              <w:t>Male Cotwin</w:t>
            </w:r>
          </w:p>
          <w:p w14:paraId="0FDCFE9B" w14:textId="11BE9182" w:rsidR="003A14DF" w:rsidRDefault="003A14DF" w:rsidP="00B7795A">
            <w:pPr>
              <w:spacing w:line="360" w:lineRule="auto"/>
              <w:jc w:val="center"/>
            </w:pPr>
            <w:r>
              <w:t>(n=</w:t>
            </w:r>
            <w:r w:rsidR="00165898">
              <w:t>218</w:t>
            </w:r>
            <w:r>
              <w:t>)</w:t>
            </w:r>
          </w:p>
        </w:tc>
        <w:tc>
          <w:tcPr>
            <w:tcW w:w="3726" w:type="dxa"/>
            <w:gridSpan w:val="3"/>
            <w:vAlign w:val="bottom"/>
          </w:tcPr>
          <w:p w14:paraId="2C2046E5" w14:textId="419A3D66" w:rsidR="003A14DF" w:rsidRDefault="00094B7B" w:rsidP="00B7795A">
            <w:pPr>
              <w:spacing w:line="360" w:lineRule="auto"/>
              <w:jc w:val="center"/>
            </w:pPr>
            <w:r>
              <w:t>Sibling of Male Twin</w:t>
            </w:r>
          </w:p>
          <w:p w14:paraId="6D4C8DB7" w14:textId="56E0EECF" w:rsidR="003A14DF" w:rsidRDefault="003A14DF" w:rsidP="00B7795A">
            <w:pPr>
              <w:spacing w:line="360" w:lineRule="auto"/>
              <w:jc w:val="center"/>
            </w:pPr>
            <w:r>
              <w:t>(n=</w:t>
            </w:r>
            <w:r w:rsidR="000104AE">
              <w:t>91</w:t>
            </w:r>
            <w:r>
              <w:t>)</w:t>
            </w:r>
          </w:p>
        </w:tc>
      </w:tr>
      <w:tr w:rsidR="003A14DF" w14:paraId="5DF06488" w14:textId="77777777" w:rsidTr="00094B7B">
        <w:tc>
          <w:tcPr>
            <w:tcW w:w="2425" w:type="dxa"/>
          </w:tcPr>
          <w:p w14:paraId="7D6326BD" w14:textId="77777777" w:rsidR="003A14DF" w:rsidRDefault="003A14DF" w:rsidP="00B7795A">
            <w:pPr>
              <w:spacing w:line="360" w:lineRule="auto"/>
            </w:pPr>
          </w:p>
        </w:tc>
        <w:tc>
          <w:tcPr>
            <w:tcW w:w="990" w:type="dxa"/>
          </w:tcPr>
          <w:p w14:paraId="5FD20A02" w14:textId="77777777" w:rsidR="003A14DF" w:rsidRDefault="003A14DF" w:rsidP="00B7795A">
            <w:pPr>
              <w:spacing w:line="360" w:lineRule="auto"/>
              <w:jc w:val="center"/>
            </w:pPr>
            <w:r>
              <w:t>MZ</w:t>
            </w:r>
          </w:p>
        </w:tc>
        <w:tc>
          <w:tcPr>
            <w:tcW w:w="1620" w:type="dxa"/>
          </w:tcPr>
          <w:p w14:paraId="17D6D78E" w14:textId="45D0D302" w:rsidR="003A14DF" w:rsidRDefault="003A14DF" w:rsidP="00B7795A">
            <w:pPr>
              <w:spacing w:line="360" w:lineRule="auto"/>
              <w:jc w:val="center"/>
            </w:pPr>
            <w:r>
              <w:t>Indet</w:t>
            </w:r>
            <w:r w:rsidR="002C5D76">
              <w:t>erminate</w:t>
            </w:r>
          </w:p>
        </w:tc>
        <w:tc>
          <w:tcPr>
            <w:tcW w:w="1260" w:type="dxa"/>
          </w:tcPr>
          <w:p w14:paraId="28181A7C" w14:textId="77777777" w:rsidR="003A14DF" w:rsidRDefault="003A14DF" w:rsidP="00B7795A">
            <w:pPr>
              <w:spacing w:line="360" w:lineRule="auto"/>
              <w:jc w:val="center"/>
            </w:pPr>
            <w:r>
              <w:t>DZ</w:t>
            </w:r>
          </w:p>
        </w:tc>
        <w:tc>
          <w:tcPr>
            <w:tcW w:w="1080" w:type="dxa"/>
          </w:tcPr>
          <w:p w14:paraId="3FBCCDDB" w14:textId="77777777" w:rsidR="003A14DF" w:rsidRDefault="003A14DF" w:rsidP="00B7795A">
            <w:pPr>
              <w:spacing w:line="360" w:lineRule="auto"/>
              <w:jc w:val="center"/>
            </w:pPr>
            <w:r>
              <w:t>MZ</w:t>
            </w:r>
          </w:p>
        </w:tc>
        <w:tc>
          <w:tcPr>
            <w:tcW w:w="1530" w:type="dxa"/>
          </w:tcPr>
          <w:p w14:paraId="493216FC" w14:textId="773BBCDB" w:rsidR="003A14DF" w:rsidRDefault="003A14DF" w:rsidP="00B7795A">
            <w:pPr>
              <w:spacing w:line="360" w:lineRule="auto"/>
              <w:jc w:val="center"/>
            </w:pPr>
            <w:r>
              <w:t>Indet</w:t>
            </w:r>
            <w:r w:rsidR="002C5D76">
              <w:t>erminate</w:t>
            </w:r>
          </w:p>
        </w:tc>
        <w:tc>
          <w:tcPr>
            <w:tcW w:w="1116" w:type="dxa"/>
          </w:tcPr>
          <w:p w14:paraId="21A8A5E1" w14:textId="77777777" w:rsidR="003A14DF" w:rsidRDefault="003A14DF" w:rsidP="00B7795A">
            <w:pPr>
              <w:spacing w:line="360" w:lineRule="auto"/>
              <w:jc w:val="center"/>
            </w:pPr>
            <w:r>
              <w:t>DZ</w:t>
            </w:r>
          </w:p>
        </w:tc>
      </w:tr>
      <w:tr w:rsidR="003A14DF" w14:paraId="1F026EFB" w14:textId="77777777" w:rsidTr="00094B7B">
        <w:tc>
          <w:tcPr>
            <w:tcW w:w="2425" w:type="dxa"/>
          </w:tcPr>
          <w:p w14:paraId="6A4D8D4B" w14:textId="77777777" w:rsidR="003A14DF" w:rsidRDefault="003A14DF" w:rsidP="00B7795A">
            <w:pPr>
              <w:spacing w:line="360" w:lineRule="auto"/>
            </w:pPr>
            <w:r>
              <w:t>MZ</w:t>
            </w:r>
          </w:p>
        </w:tc>
        <w:tc>
          <w:tcPr>
            <w:tcW w:w="990" w:type="dxa"/>
          </w:tcPr>
          <w:p w14:paraId="3C3278EC" w14:textId="13F1A8C7" w:rsidR="003A14DF" w:rsidRDefault="00B92A33" w:rsidP="00B7795A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7755C72E" w14:textId="77777777" w:rsidR="003A14DF" w:rsidRDefault="003A14DF" w:rsidP="00B7795A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1260" w:type="dxa"/>
          </w:tcPr>
          <w:p w14:paraId="30C71A8F" w14:textId="77777777" w:rsidR="003A14DF" w:rsidRDefault="003A14DF" w:rsidP="00B7795A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1080" w:type="dxa"/>
          </w:tcPr>
          <w:p w14:paraId="6152BAB0" w14:textId="4624358B" w:rsidR="003A14DF" w:rsidRDefault="0030213D" w:rsidP="00B7795A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530" w:type="dxa"/>
          </w:tcPr>
          <w:p w14:paraId="3DD0CA81" w14:textId="2FDA6782" w:rsidR="003A14DF" w:rsidRDefault="0030213D" w:rsidP="00B7795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16" w:type="dxa"/>
          </w:tcPr>
          <w:p w14:paraId="0DF5852B" w14:textId="53CF28F2" w:rsidR="003A14DF" w:rsidRDefault="0030213D" w:rsidP="00B7795A">
            <w:pPr>
              <w:spacing w:line="360" w:lineRule="auto"/>
              <w:jc w:val="center"/>
            </w:pPr>
            <w:r>
              <w:t>1</w:t>
            </w:r>
          </w:p>
        </w:tc>
      </w:tr>
      <w:tr w:rsidR="003A14DF" w14:paraId="0D73DB5B" w14:textId="77777777" w:rsidTr="00094B7B">
        <w:tc>
          <w:tcPr>
            <w:tcW w:w="2425" w:type="dxa"/>
          </w:tcPr>
          <w:p w14:paraId="3B685B0A" w14:textId="77777777" w:rsidR="003A14DF" w:rsidRDefault="003A14DF" w:rsidP="00B7795A">
            <w:pPr>
              <w:spacing w:line="360" w:lineRule="auto"/>
            </w:pPr>
            <w:r>
              <w:t>Indeterminate</w:t>
            </w:r>
          </w:p>
        </w:tc>
        <w:tc>
          <w:tcPr>
            <w:tcW w:w="990" w:type="dxa"/>
          </w:tcPr>
          <w:p w14:paraId="2D796FE4" w14:textId="38E49231" w:rsidR="003A14DF" w:rsidRDefault="00B92A33" w:rsidP="00B7795A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620" w:type="dxa"/>
          </w:tcPr>
          <w:p w14:paraId="26C64ED4" w14:textId="4727B519" w:rsidR="003A14DF" w:rsidRDefault="00B92A33" w:rsidP="00B7795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20CADC0E" w14:textId="77777777" w:rsidR="003A14DF" w:rsidRDefault="003A14DF" w:rsidP="00B7795A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1080" w:type="dxa"/>
          </w:tcPr>
          <w:p w14:paraId="2168D20A" w14:textId="4F56A0CD" w:rsidR="003A14DF" w:rsidRDefault="0030213D" w:rsidP="00B7795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4D4E9203" w14:textId="11377021" w:rsidR="003A14DF" w:rsidRDefault="000104AE" w:rsidP="00B7795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16" w:type="dxa"/>
          </w:tcPr>
          <w:p w14:paraId="5A4468C3" w14:textId="54CD63F0" w:rsidR="003A14DF" w:rsidRDefault="0030213D" w:rsidP="00B7795A">
            <w:pPr>
              <w:spacing w:line="360" w:lineRule="auto"/>
              <w:jc w:val="center"/>
            </w:pPr>
            <w:r>
              <w:t>2</w:t>
            </w:r>
          </w:p>
        </w:tc>
      </w:tr>
      <w:tr w:rsidR="003A14DF" w14:paraId="067299EE" w14:textId="77777777" w:rsidTr="00094B7B">
        <w:tc>
          <w:tcPr>
            <w:tcW w:w="2425" w:type="dxa"/>
          </w:tcPr>
          <w:p w14:paraId="30B2F5B8" w14:textId="77777777" w:rsidR="003A14DF" w:rsidRDefault="003A14DF" w:rsidP="00B7795A">
            <w:pPr>
              <w:spacing w:line="360" w:lineRule="auto"/>
            </w:pPr>
            <w:r>
              <w:t>DZ</w:t>
            </w:r>
          </w:p>
        </w:tc>
        <w:tc>
          <w:tcPr>
            <w:tcW w:w="990" w:type="dxa"/>
          </w:tcPr>
          <w:p w14:paraId="5C896E81" w14:textId="33C9289C" w:rsidR="003A14DF" w:rsidRDefault="00B92A33" w:rsidP="00B7795A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1F6142D3" w14:textId="595B6469" w:rsidR="003A14DF" w:rsidRDefault="00B92A33" w:rsidP="00B7795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714D6B12" w14:textId="2227F24E" w:rsidR="003A14DF" w:rsidRDefault="00B92A33" w:rsidP="00B7795A">
            <w:pPr>
              <w:spacing w:line="360" w:lineRule="auto"/>
              <w:jc w:val="center"/>
            </w:pPr>
            <w:r>
              <w:t>93</w:t>
            </w:r>
          </w:p>
        </w:tc>
        <w:tc>
          <w:tcPr>
            <w:tcW w:w="1080" w:type="dxa"/>
          </w:tcPr>
          <w:p w14:paraId="42118A40" w14:textId="1135334E" w:rsidR="003A14DF" w:rsidRDefault="0030213D" w:rsidP="00B7795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35F184B4" w14:textId="6C6AD86A" w:rsidR="003A14DF" w:rsidRDefault="0030213D" w:rsidP="00B7795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16" w:type="dxa"/>
          </w:tcPr>
          <w:p w14:paraId="0D7CC3DC" w14:textId="27FF7BFE" w:rsidR="003A14DF" w:rsidRDefault="0030213D" w:rsidP="00B7795A">
            <w:pPr>
              <w:spacing w:line="360" w:lineRule="auto"/>
              <w:jc w:val="center"/>
            </w:pPr>
            <w:r>
              <w:t>33</w:t>
            </w:r>
          </w:p>
        </w:tc>
      </w:tr>
    </w:tbl>
    <w:p w14:paraId="29D2FA60" w14:textId="507ADCEC" w:rsidR="00461BDE" w:rsidRDefault="002352AC" w:rsidP="00461BDE">
      <w:pPr>
        <w:spacing w:after="0"/>
        <w:contextualSpacing/>
      </w:pPr>
      <w:r>
        <w:t xml:space="preserve">Note.  Triplets </w:t>
      </w:r>
      <w:r w:rsidR="00461BDE">
        <w:t>not include</w:t>
      </w:r>
      <w:r>
        <w:t>d</w:t>
      </w:r>
      <w:r w:rsidR="002C5D76">
        <w:t xml:space="preserve">.  </w:t>
      </w:r>
    </w:p>
    <w:p w14:paraId="18FE7322" w14:textId="5C42F934" w:rsidR="002C5D76" w:rsidRDefault="002C5D76" w:rsidP="00461BDE">
      <w:pPr>
        <w:spacing w:after="0"/>
        <w:contextualSpacing/>
        <w:rPr>
          <w:rFonts w:ascii="Arial" w:hAnsi="Arial" w:cs="Arial"/>
          <w:sz w:val="16"/>
          <w:szCs w:val="16"/>
        </w:rPr>
      </w:pPr>
      <w:r>
        <w:t xml:space="preserve">Data for twin pair agreement shown in lower diagonal because </w:t>
      </w:r>
      <w:r w:rsidR="00094B7B">
        <w:t>the person assigned to be “twin” and “cotwin” were randomly assigned for a pair.</w:t>
      </w:r>
    </w:p>
    <w:p w14:paraId="040496CA" w14:textId="05A8EE91" w:rsidR="00EF0D0A" w:rsidRDefault="00EF0D0A"/>
    <w:p w14:paraId="35DDE7E6" w14:textId="77777777" w:rsidR="00EF0D0A" w:rsidRPr="00EF0D0A" w:rsidRDefault="00EF0D0A" w:rsidP="00EF0D0A"/>
    <w:p w14:paraId="7845E9CD" w14:textId="77777777" w:rsidR="00EF0D0A" w:rsidRPr="00EF0D0A" w:rsidRDefault="00EF0D0A" w:rsidP="00EF0D0A"/>
    <w:p w14:paraId="250AD638" w14:textId="13D82FCE" w:rsidR="00EF0D0A" w:rsidRDefault="00EF0D0A" w:rsidP="00EF0D0A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SUPPLEMENT</w:t>
      </w:r>
      <w:r w:rsidRPr="00E91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S4</w:t>
      </w:r>
      <w:r w:rsidRPr="00E917A7">
        <w:rPr>
          <w:b/>
          <w:sz w:val="24"/>
          <w:szCs w:val="24"/>
        </w:rPr>
        <w:t>.</w:t>
      </w:r>
      <w:r w:rsidRPr="006F60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 xml:space="preserve"> </w:t>
      </w:r>
      <w:r w:rsidR="00A263A7">
        <w:rPr>
          <w:b/>
          <w:sz w:val="24"/>
          <w:szCs w:val="24"/>
        </w:rPr>
        <w:t>Sources Used</w:t>
      </w:r>
      <w:r w:rsidRPr="003A14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for Zygosity A</w:t>
      </w:r>
      <w:r w:rsidRPr="003A14DF">
        <w:rPr>
          <w:b/>
          <w:sz w:val="24"/>
          <w:szCs w:val="24"/>
        </w:rPr>
        <w:t xml:space="preserve">ssignments </w:t>
      </w:r>
      <w:r>
        <w:rPr>
          <w:b/>
          <w:sz w:val="24"/>
          <w:szCs w:val="24"/>
        </w:rPr>
        <w:t>of Same-Sex T</w:t>
      </w:r>
      <w:r w:rsidRPr="003A14DF">
        <w:rPr>
          <w:b/>
          <w:sz w:val="24"/>
          <w:szCs w:val="24"/>
        </w:rPr>
        <w:t>win</w:t>
      </w:r>
      <w:r>
        <w:rPr>
          <w:b/>
          <w:sz w:val="24"/>
          <w:szCs w:val="24"/>
        </w:rPr>
        <w:t xml:space="preserve"> P</w:t>
      </w:r>
      <w:r w:rsidRPr="003A14DF">
        <w:rPr>
          <w:b/>
          <w:sz w:val="24"/>
          <w:szCs w:val="24"/>
        </w:rPr>
        <w:t>airs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1160"/>
        <w:gridCol w:w="977"/>
        <w:gridCol w:w="1160"/>
        <w:gridCol w:w="977"/>
        <w:gridCol w:w="1247"/>
        <w:gridCol w:w="1064"/>
        <w:gridCol w:w="1021"/>
      </w:tblGrid>
      <w:tr w:rsidR="00EF0D0A" w14:paraId="439B70B4" w14:textId="77777777" w:rsidTr="00EF0D0A">
        <w:tc>
          <w:tcPr>
            <w:tcW w:w="2464" w:type="dxa"/>
          </w:tcPr>
          <w:p w14:paraId="579F32D5" w14:textId="77777777" w:rsidR="00EF0D0A" w:rsidRDefault="00EF0D0A" w:rsidP="006E4A2B">
            <w:pPr>
              <w:spacing w:line="360" w:lineRule="auto"/>
            </w:pPr>
          </w:p>
        </w:tc>
        <w:tc>
          <w:tcPr>
            <w:tcW w:w="7606" w:type="dxa"/>
            <w:gridSpan w:val="7"/>
            <w:vAlign w:val="center"/>
          </w:tcPr>
          <w:p w14:paraId="116DFD4F" w14:textId="77777777" w:rsidR="00EF0D0A" w:rsidRDefault="00EF0D0A" w:rsidP="006E4A2B">
            <w:pPr>
              <w:spacing w:line="360" w:lineRule="auto"/>
              <w:jc w:val="center"/>
            </w:pPr>
            <w:r>
              <w:t>Available Survey responses</w:t>
            </w:r>
          </w:p>
        </w:tc>
      </w:tr>
      <w:tr w:rsidR="00EF0D0A" w14:paraId="25D885E9" w14:textId="77777777" w:rsidTr="00EF0D0A">
        <w:tc>
          <w:tcPr>
            <w:tcW w:w="2464" w:type="dxa"/>
          </w:tcPr>
          <w:p w14:paraId="3D3F7B4A" w14:textId="77777777" w:rsidR="00EF0D0A" w:rsidRDefault="00EF0D0A" w:rsidP="006E4A2B">
            <w:pPr>
              <w:spacing w:line="360" w:lineRule="auto"/>
            </w:pPr>
          </w:p>
        </w:tc>
        <w:tc>
          <w:tcPr>
            <w:tcW w:w="2137" w:type="dxa"/>
            <w:gridSpan w:val="2"/>
            <w:vAlign w:val="center"/>
          </w:tcPr>
          <w:p w14:paraId="47698DD0" w14:textId="77777777" w:rsidR="00EF0D0A" w:rsidRDefault="00EF0D0A" w:rsidP="006E4A2B">
            <w:pPr>
              <w:spacing w:line="360" w:lineRule="auto"/>
              <w:jc w:val="center"/>
            </w:pPr>
            <w:r>
              <w:t>Both Twins</w:t>
            </w:r>
          </w:p>
          <w:p w14:paraId="37724CCA" w14:textId="77777777" w:rsidR="00EF0D0A" w:rsidRDefault="00EF0D0A" w:rsidP="006E4A2B">
            <w:pPr>
              <w:spacing w:line="360" w:lineRule="auto"/>
              <w:jc w:val="center"/>
            </w:pPr>
            <w:r>
              <w:t>(n=521)</w:t>
            </w:r>
          </w:p>
        </w:tc>
        <w:tc>
          <w:tcPr>
            <w:tcW w:w="2137" w:type="dxa"/>
            <w:gridSpan w:val="2"/>
            <w:vAlign w:val="center"/>
          </w:tcPr>
          <w:p w14:paraId="36F8AE43" w14:textId="77777777" w:rsidR="00EF0D0A" w:rsidRDefault="00EF0D0A" w:rsidP="006E4A2B">
            <w:pPr>
              <w:spacing w:line="360" w:lineRule="auto"/>
              <w:jc w:val="center"/>
            </w:pPr>
            <w:r>
              <w:t>One Twin</w:t>
            </w:r>
          </w:p>
          <w:p w14:paraId="7D4201C0" w14:textId="77777777" w:rsidR="00EF0D0A" w:rsidRDefault="00EF0D0A" w:rsidP="006E4A2B">
            <w:pPr>
              <w:spacing w:line="360" w:lineRule="auto"/>
              <w:jc w:val="center"/>
            </w:pPr>
            <w:r>
              <w:t>(n=514)</w:t>
            </w:r>
          </w:p>
        </w:tc>
        <w:tc>
          <w:tcPr>
            <w:tcW w:w="2311" w:type="dxa"/>
            <w:gridSpan w:val="2"/>
            <w:vAlign w:val="center"/>
          </w:tcPr>
          <w:p w14:paraId="684A128A" w14:textId="77777777" w:rsidR="00EF0D0A" w:rsidRDefault="00EF0D0A" w:rsidP="006E4A2B">
            <w:pPr>
              <w:spacing w:line="360" w:lineRule="auto"/>
              <w:jc w:val="center"/>
            </w:pPr>
            <w:r>
              <w:t>No Twin</w:t>
            </w:r>
          </w:p>
          <w:p w14:paraId="7CB638A2" w14:textId="77777777" w:rsidR="00EF0D0A" w:rsidRDefault="00EF0D0A" w:rsidP="006E4A2B">
            <w:pPr>
              <w:spacing w:line="360" w:lineRule="auto"/>
              <w:jc w:val="center"/>
            </w:pPr>
            <w:r>
              <w:t>(n=543)</w:t>
            </w:r>
          </w:p>
        </w:tc>
        <w:tc>
          <w:tcPr>
            <w:tcW w:w="1021" w:type="dxa"/>
            <w:vAlign w:val="center"/>
          </w:tcPr>
          <w:p w14:paraId="75A78C65" w14:textId="77777777" w:rsidR="00EF0D0A" w:rsidRDefault="00EF0D0A" w:rsidP="006E4A2B">
            <w:pPr>
              <w:spacing w:line="360" w:lineRule="auto"/>
              <w:jc w:val="center"/>
            </w:pPr>
            <w:r>
              <w:t>TOTAL</w:t>
            </w:r>
          </w:p>
          <w:p w14:paraId="37C1EE1C" w14:textId="77777777" w:rsidR="00EF0D0A" w:rsidRDefault="00EF0D0A" w:rsidP="006E4A2B">
            <w:pPr>
              <w:spacing w:line="360" w:lineRule="auto"/>
              <w:jc w:val="center"/>
            </w:pPr>
            <w:r>
              <w:t>(n=1578)</w:t>
            </w:r>
          </w:p>
        </w:tc>
      </w:tr>
      <w:tr w:rsidR="00EF0D0A" w14:paraId="3D22E104" w14:textId="77777777" w:rsidTr="00EF0D0A">
        <w:tc>
          <w:tcPr>
            <w:tcW w:w="2464" w:type="dxa"/>
          </w:tcPr>
          <w:p w14:paraId="7E95F809" w14:textId="77777777" w:rsidR="00EF0D0A" w:rsidRDefault="00EF0D0A" w:rsidP="006E4A2B">
            <w:pPr>
              <w:spacing w:line="360" w:lineRule="auto"/>
            </w:pPr>
          </w:p>
        </w:tc>
        <w:tc>
          <w:tcPr>
            <w:tcW w:w="1160" w:type="dxa"/>
            <w:vAlign w:val="center"/>
          </w:tcPr>
          <w:p w14:paraId="5A595A8B" w14:textId="77777777" w:rsidR="00EF0D0A" w:rsidRDefault="00EF0D0A" w:rsidP="006E4A2B">
            <w:pPr>
              <w:spacing w:line="360" w:lineRule="auto"/>
              <w:jc w:val="center"/>
            </w:pPr>
            <w:r>
              <w:t>Sib Report</w:t>
            </w:r>
          </w:p>
        </w:tc>
        <w:tc>
          <w:tcPr>
            <w:tcW w:w="977" w:type="dxa"/>
            <w:vAlign w:val="center"/>
          </w:tcPr>
          <w:p w14:paraId="30F36847" w14:textId="77777777" w:rsidR="00EF0D0A" w:rsidRDefault="00EF0D0A" w:rsidP="006E4A2B">
            <w:pPr>
              <w:spacing w:line="360" w:lineRule="auto"/>
              <w:jc w:val="center"/>
            </w:pPr>
            <w:r>
              <w:t>No Sib</w:t>
            </w:r>
          </w:p>
        </w:tc>
        <w:tc>
          <w:tcPr>
            <w:tcW w:w="1160" w:type="dxa"/>
            <w:vAlign w:val="center"/>
          </w:tcPr>
          <w:p w14:paraId="04F44736" w14:textId="77777777" w:rsidR="00EF0D0A" w:rsidRDefault="00EF0D0A" w:rsidP="006E4A2B">
            <w:pPr>
              <w:spacing w:line="360" w:lineRule="auto"/>
              <w:jc w:val="center"/>
            </w:pPr>
            <w:r>
              <w:t>Sib Report</w:t>
            </w:r>
          </w:p>
        </w:tc>
        <w:tc>
          <w:tcPr>
            <w:tcW w:w="977" w:type="dxa"/>
            <w:vAlign w:val="center"/>
          </w:tcPr>
          <w:p w14:paraId="2A5C86CF" w14:textId="77777777" w:rsidR="00EF0D0A" w:rsidRDefault="00EF0D0A" w:rsidP="006E4A2B">
            <w:pPr>
              <w:spacing w:line="360" w:lineRule="auto"/>
              <w:jc w:val="center"/>
            </w:pPr>
            <w:r>
              <w:t>No Sib</w:t>
            </w:r>
          </w:p>
        </w:tc>
        <w:tc>
          <w:tcPr>
            <w:tcW w:w="1247" w:type="dxa"/>
            <w:vAlign w:val="center"/>
          </w:tcPr>
          <w:p w14:paraId="3AAC82C6" w14:textId="77777777" w:rsidR="00EF0D0A" w:rsidRDefault="00EF0D0A" w:rsidP="006E4A2B">
            <w:pPr>
              <w:spacing w:line="360" w:lineRule="auto"/>
              <w:jc w:val="center"/>
            </w:pPr>
            <w:r>
              <w:t>Sib Report</w:t>
            </w:r>
          </w:p>
        </w:tc>
        <w:tc>
          <w:tcPr>
            <w:tcW w:w="1064" w:type="dxa"/>
            <w:vAlign w:val="center"/>
          </w:tcPr>
          <w:p w14:paraId="0721BC07" w14:textId="77777777" w:rsidR="00EF0D0A" w:rsidRDefault="00EF0D0A" w:rsidP="006E4A2B">
            <w:pPr>
              <w:spacing w:line="360" w:lineRule="auto"/>
              <w:jc w:val="center"/>
            </w:pPr>
            <w:r>
              <w:t>No Sib</w:t>
            </w:r>
          </w:p>
        </w:tc>
        <w:tc>
          <w:tcPr>
            <w:tcW w:w="1021" w:type="dxa"/>
            <w:vAlign w:val="center"/>
          </w:tcPr>
          <w:p w14:paraId="343700B5" w14:textId="77777777" w:rsidR="00EF0D0A" w:rsidRDefault="00EF0D0A" w:rsidP="006E4A2B">
            <w:pPr>
              <w:spacing w:line="360" w:lineRule="auto"/>
              <w:jc w:val="center"/>
            </w:pPr>
          </w:p>
        </w:tc>
      </w:tr>
      <w:tr w:rsidR="00EF0D0A" w14:paraId="1963381E" w14:textId="77777777" w:rsidTr="00EF0D0A">
        <w:tc>
          <w:tcPr>
            <w:tcW w:w="2464" w:type="dxa"/>
          </w:tcPr>
          <w:p w14:paraId="7E1F384E" w14:textId="77777777" w:rsidR="00EF0D0A" w:rsidRDefault="00EF0D0A" w:rsidP="006E4A2B">
            <w:pPr>
              <w:spacing w:line="360" w:lineRule="auto"/>
            </w:pPr>
            <w:r>
              <w:t>Photo review</w:t>
            </w:r>
          </w:p>
        </w:tc>
        <w:tc>
          <w:tcPr>
            <w:tcW w:w="1160" w:type="dxa"/>
            <w:vAlign w:val="center"/>
          </w:tcPr>
          <w:p w14:paraId="0EC01115" w14:textId="77777777" w:rsidR="00EF0D0A" w:rsidRDefault="00EF0D0A" w:rsidP="006E4A2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977" w:type="dxa"/>
            <w:vAlign w:val="center"/>
          </w:tcPr>
          <w:p w14:paraId="795C1922" w14:textId="77777777" w:rsidR="00EF0D0A" w:rsidRDefault="00EF0D0A" w:rsidP="006E4A2B">
            <w:pPr>
              <w:spacing w:line="360" w:lineRule="auto"/>
              <w:jc w:val="center"/>
            </w:pPr>
            <w:r>
              <w:t>107</w:t>
            </w:r>
          </w:p>
        </w:tc>
        <w:tc>
          <w:tcPr>
            <w:tcW w:w="1160" w:type="dxa"/>
            <w:vAlign w:val="center"/>
          </w:tcPr>
          <w:p w14:paraId="5D3D2AA1" w14:textId="77777777" w:rsidR="00EF0D0A" w:rsidRDefault="00EF0D0A" w:rsidP="006E4A2B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977" w:type="dxa"/>
            <w:vAlign w:val="center"/>
          </w:tcPr>
          <w:p w14:paraId="0E99574E" w14:textId="77777777" w:rsidR="00EF0D0A" w:rsidRDefault="00EF0D0A" w:rsidP="006E4A2B">
            <w:pPr>
              <w:spacing w:line="360" w:lineRule="auto"/>
              <w:jc w:val="center"/>
            </w:pPr>
            <w:r>
              <w:t>254</w:t>
            </w:r>
          </w:p>
        </w:tc>
        <w:tc>
          <w:tcPr>
            <w:tcW w:w="1247" w:type="dxa"/>
            <w:vAlign w:val="center"/>
          </w:tcPr>
          <w:p w14:paraId="2BB705A2" w14:textId="77777777" w:rsidR="00EF0D0A" w:rsidRDefault="00EF0D0A" w:rsidP="006E4A2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064" w:type="dxa"/>
            <w:vAlign w:val="center"/>
          </w:tcPr>
          <w:p w14:paraId="275FD778" w14:textId="77777777" w:rsidR="00EF0D0A" w:rsidRDefault="00EF0D0A" w:rsidP="006E4A2B">
            <w:pPr>
              <w:spacing w:line="360" w:lineRule="auto"/>
              <w:jc w:val="center"/>
            </w:pPr>
            <w:r>
              <w:t>233</w:t>
            </w:r>
          </w:p>
        </w:tc>
        <w:tc>
          <w:tcPr>
            <w:tcW w:w="1021" w:type="dxa"/>
            <w:vAlign w:val="center"/>
          </w:tcPr>
          <w:p w14:paraId="22D9D23D" w14:textId="77777777" w:rsidR="00EF0D0A" w:rsidRDefault="00EF0D0A" w:rsidP="006E4A2B">
            <w:pPr>
              <w:spacing w:line="360" w:lineRule="auto"/>
              <w:jc w:val="center"/>
            </w:pPr>
            <w:r>
              <w:t>633</w:t>
            </w:r>
          </w:p>
        </w:tc>
      </w:tr>
      <w:tr w:rsidR="00EF0D0A" w14:paraId="60D75649" w14:textId="77777777" w:rsidTr="00EF0D0A">
        <w:tc>
          <w:tcPr>
            <w:tcW w:w="2464" w:type="dxa"/>
          </w:tcPr>
          <w:p w14:paraId="0E6C9518" w14:textId="77777777" w:rsidR="00EF0D0A" w:rsidRDefault="00EF0D0A" w:rsidP="006E4A2B">
            <w:pPr>
              <w:spacing w:line="360" w:lineRule="auto"/>
            </w:pPr>
            <w:r>
              <w:t>No Photo review</w:t>
            </w:r>
          </w:p>
        </w:tc>
        <w:tc>
          <w:tcPr>
            <w:tcW w:w="1160" w:type="dxa"/>
            <w:vAlign w:val="center"/>
          </w:tcPr>
          <w:p w14:paraId="76A0640D" w14:textId="77777777" w:rsidR="00EF0D0A" w:rsidRDefault="00EF0D0A" w:rsidP="006E4A2B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977" w:type="dxa"/>
            <w:vAlign w:val="center"/>
          </w:tcPr>
          <w:p w14:paraId="022B389E" w14:textId="77777777" w:rsidR="00EF0D0A" w:rsidRDefault="00EF0D0A" w:rsidP="006E4A2B">
            <w:pPr>
              <w:spacing w:line="360" w:lineRule="auto"/>
              <w:jc w:val="center"/>
            </w:pPr>
            <w:r>
              <w:t>362</w:t>
            </w:r>
          </w:p>
        </w:tc>
        <w:tc>
          <w:tcPr>
            <w:tcW w:w="1160" w:type="dxa"/>
            <w:vAlign w:val="center"/>
          </w:tcPr>
          <w:p w14:paraId="4F27BC78" w14:textId="77777777" w:rsidR="00EF0D0A" w:rsidRDefault="00EF0D0A" w:rsidP="006E4A2B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77" w:type="dxa"/>
            <w:vAlign w:val="center"/>
          </w:tcPr>
          <w:p w14:paraId="427634D7" w14:textId="77777777" w:rsidR="00EF0D0A" w:rsidRDefault="00EF0D0A" w:rsidP="006E4A2B">
            <w:pPr>
              <w:spacing w:line="360" w:lineRule="auto"/>
              <w:jc w:val="center"/>
            </w:pPr>
            <w:r>
              <w:t>208</w:t>
            </w:r>
          </w:p>
        </w:tc>
        <w:tc>
          <w:tcPr>
            <w:tcW w:w="1247" w:type="dxa"/>
            <w:vAlign w:val="center"/>
          </w:tcPr>
          <w:p w14:paraId="4BD60681" w14:textId="77777777" w:rsidR="00EF0D0A" w:rsidRDefault="00EF0D0A" w:rsidP="006E4A2B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064" w:type="dxa"/>
            <w:vAlign w:val="center"/>
          </w:tcPr>
          <w:p w14:paraId="6CC45A01" w14:textId="77777777" w:rsidR="00EF0D0A" w:rsidRDefault="00EF0D0A" w:rsidP="006E4A2B">
            <w:pPr>
              <w:spacing w:line="360" w:lineRule="auto"/>
              <w:jc w:val="center"/>
            </w:pPr>
            <w:r w:rsidRPr="00D9215A">
              <w:t>275</w:t>
            </w:r>
          </w:p>
        </w:tc>
        <w:tc>
          <w:tcPr>
            <w:tcW w:w="1021" w:type="dxa"/>
            <w:vAlign w:val="center"/>
          </w:tcPr>
          <w:p w14:paraId="43BDBBB8" w14:textId="77777777" w:rsidR="00EF0D0A" w:rsidRDefault="00EF0D0A" w:rsidP="006E4A2B">
            <w:pPr>
              <w:spacing w:line="360" w:lineRule="auto"/>
              <w:jc w:val="center"/>
            </w:pPr>
            <w:r>
              <w:t>945</w:t>
            </w:r>
          </w:p>
        </w:tc>
      </w:tr>
      <w:tr w:rsidR="00EF0D0A" w14:paraId="6AA97EE5" w14:textId="77777777" w:rsidTr="00EF0D0A">
        <w:tc>
          <w:tcPr>
            <w:tcW w:w="2464" w:type="dxa"/>
          </w:tcPr>
          <w:p w14:paraId="4016238F" w14:textId="77777777" w:rsidR="00EF0D0A" w:rsidRDefault="00EF0D0A" w:rsidP="006E4A2B">
            <w:pPr>
              <w:spacing w:line="360" w:lineRule="auto"/>
            </w:pPr>
            <w:r>
              <w:t>TOTAL</w:t>
            </w:r>
          </w:p>
        </w:tc>
        <w:tc>
          <w:tcPr>
            <w:tcW w:w="1160" w:type="dxa"/>
            <w:vAlign w:val="center"/>
          </w:tcPr>
          <w:p w14:paraId="2C5EF426" w14:textId="77777777" w:rsidR="00EF0D0A" w:rsidRDefault="00EF0D0A" w:rsidP="006E4A2B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977" w:type="dxa"/>
            <w:vAlign w:val="center"/>
          </w:tcPr>
          <w:p w14:paraId="51C92F6B" w14:textId="77777777" w:rsidR="00EF0D0A" w:rsidRDefault="00EF0D0A" w:rsidP="006E4A2B">
            <w:pPr>
              <w:spacing w:line="360" w:lineRule="auto"/>
              <w:jc w:val="center"/>
            </w:pPr>
            <w:r>
              <w:t>469</w:t>
            </w:r>
          </w:p>
        </w:tc>
        <w:tc>
          <w:tcPr>
            <w:tcW w:w="1160" w:type="dxa"/>
            <w:vAlign w:val="center"/>
          </w:tcPr>
          <w:p w14:paraId="2E2CFF01" w14:textId="77777777" w:rsidR="00EF0D0A" w:rsidRDefault="00EF0D0A" w:rsidP="006E4A2B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977" w:type="dxa"/>
            <w:vAlign w:val="center"/>
          </w:tcPr>
          <w:p w14:paraId="0F3F88C2" w14:textId="77777777" w:rsidR="00EF0D0A" w:rsidRDefault="00EF0D0A" w:rsidP="006E4A2B">
            <w:pPr>
              <w:spacing w:line="360" w:lineRule="auto"/>
              <w:jc w:val="center"/>
            </w:pPr>
            <w:r>
              <w:t>462</w:t>
            </w:r>
          </w:p>
        </w:tc>
        <w:tc>
          <w:tcPr>
            <w:tcW w:w="1247" w:type="dxa"/>
            <w:vAlign w:val="center"/>
          </w:tcPr>
          <w:p w14:paraId="136E2138" w14:textId="77777777" w:rsidR="00EF0D0A" w:rsidRDefault="00EF0D0A" w:rsidP="006E4A2B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064" w:type="dxa"/>
            <w:vAlign w:val="center"/>
          </w:tcPr>
          <w:p w14:paraId="02FD114D" w14:textId="77777777" w:rsidR="00EF0D0A" w:rsidRDefault="00EF0D0A" w:rsidP="006E4A2B">
            <w:pPr>
              <w:spacing w:line="360" w:lineRule="auto"/>
              <w:jc w:val="center"/>
            </w:pPr>
            <w:r>
              <w:t>508</w:t>
            </w:r>
          </w:p>
        </w:tc>
        <w:tc>
          <w:tcPr>
            <w:tcW w:w="1021" w:type="dxa"/>
            <w:vAlign w:val="center"/>
          </w:tcPr>
          <w:p w14:paraId="418D740A" w14:textId="77777777" w:rsidR="00EF0D0A" w:rsidRDefault="00EF0D0A" w:rsidP="006E4A2B">
            <w:pPr>
              <w:spacing w:line="360" w:lineRule="auto"/>
              <w:jc w:val="center"/>
            </w:pPr>
            <w:r>
              <w:t>1578</w:t>
            </w:r>
          </w:p>
        </w:tc>
      </w:tr>
    </w:tbl>
    <w:p w14:paraId="0376112E" w14:textId="77777777" w:rsidR="00EF0D0A" w:rsidRDefault="00EF0D0A" w:rsidP="00EF0D0A">
      <w:pPr>
        <w:spacing w:after="0"/>
        <w:contextualSpacing/>
      </w:pPr>
      <w:r>
        <w:t xml:space="preserve">Note.  </w:t>
      </w:r>
    </w:p>
    <w:p w14:paraId="637DBA18" w14:textId="77777777" w:rsidR="00EF0D0A" w:rsidRDefault="00EF0D0A" w:rsidP="00EF0D0A">
      <w:pPr>
        <w:spacing w:after="0"/>
        <w:contextualSpacing/>
      </w:pPr>
      <w:r>
        <w:t>Ns are number of pairs.</w:t>
      </w:r>
    </w:p>
    <w:p w14:paraId="6959273F" w14:textId="77777777" w:rsidR="00EF0D0A" w:rsidRDefault="00EF0D0A" w:rsidP="00EF0D0A">
      <w:pPr>
        <w:spacing w:after="0"/>
        <w:contextualSpacing/>
      </w:pPr>
      <w:r>
        <w:t>Sib Report = responses to zygosity items available from one or more non-twin siblings.</w:t>
      </w:r>
    </w:p>
    <w:p w14:paraId="1C4397BF" w14:textId="77777777" w:rsidR="00EF0D0A" w:rsidRDefault="00EF0D0A" w:rsidP="00EF0D0A">
      <w:pPr>
        <w:spacing w:after="0"/>
        <w:contextualSpacing/>
      </w:pPr>
      <w:r>
        <w:t>No Sib: sibling survey(s) not returned, sibling(s) deceased, or no identified sibling in PT.</w:t>
      </w:r>
    </w:p>
    <w:p w14:paraId="68213787" w14:textId="33498AA3" w:rsidR="00EF0D0A" w:rsidRDefault="00EF0D0A" w:rsidP="00EF0D0A">
      <w:pPr>
        <w:spacing w:after="0"/>
        <w:contextualSpacing/>
      </w:pPr>
      <w:r>
        <w:t xml:space="preserve">No photo review: includes cases </w:t>
      </w:r>
      <w:r w:rsidR="00A263A7">
        <w:t xml:space="preserve">without photos, </w:t>
      </w:r>
      <w:r>
        <w:t>where photos were of inadequate quality to rate</w:t>
      </w:r>
      <w:r w:rsidR="00A263A7">
        <w:t>, and when photos were not considered informative because of the strength of the algorithmic assignment.</w:t>
      </w:r>
    </w:p>
    <w:p w14:paraId="5D5C1846" w14:textId="77777777" w:rsidR="00EF0D0A" w:rsidRDefault="00EF0D0A" w:rsidP="00EF0D0A">
      <w:pPr>
        <w:spacing w:after="0"/>
        <w:contextualSpacing/>
        <w:rPr>
          <w:rFonts w:ascii="Arial" w:hAnsi="Arial" w:cs="Arial"/>
          <w:sz w:val="16"/>
          <w:szCs w:val="16"/>
        </w:rPr>
      </w:pPr>
      <w:r>
        <w:t>Triplet sets not included in table; all triplets received hand review.</w:t>
      </w:r>
    </w:p>
    <w:p w14:paraId="311C144A" w14:textId="77777777" w:rsidR="00EF0D0A" w:rsidRDefault="00EF0D0A" w:rsidP="00EF0D0A">
      <w:pPr>
        <w:rPr>
          <w:b/>
          <w:sz w:val="24"/>
          <w:szCs w:val="24"/>
        </w:rPr>
      </w:pPr>
    </w:p>
    <w:p w14:paraId="3CD4DDB5" w14:textId="2D275728" w:rsidR="00EF0D0A" w:rsidRDefault="00EF0D0A"/>
    <w:p w14:paraId="594772C5" w14:textId="4836469D" w:rsidR="00EF0D0A" w:rsidRDefault="00EF0D0A">
      <w:r>
        <w:br w:type="page"/>
      </w:r>
    </w:p>
    <w:p w14:paraId="653FE055" w14:textId="24DEEBA2" w:rsidR="003A14DF" w:rsidRDefault="00EF0D0A" w:rsidP="00EF0D0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SUPPLEMENT</w:t>
      </w:r>
      <w:r w:rsidRPr="00E917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S5</w:t>
      </w:r>
      <w:r w:rsidRPr="00E917A7">
        <w:rPr>
          <w:b/>
          <w:sz w:val="24"/>
          <w:szCs w:val="24"/>
        </w:rPr>
        <w:t>.</w:t>
      </w:r>
      <w:r w:rsidRPr="006F60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b/>
          <w:sz w:val="24"/>
          <w:szCs w:val="24"/>
        </w:rPr>
        <w:t>Procedure for Combining Information Sources to make Zygosity Classifications of Same-Sex T</w:t>
      </w:r>
      <w:r w:rsidRPr="003A14DF">
        <w:rPr>
          <w:b/>
          <w:sz w:val="24"/>
          <w:szCs w:val="24"/>
        </w:rPr>
        <w:t>win</w:t>
      </w:r>
      <w:r>
        <w:rPr>
          <w:b/>
          <w:sz w:val="24"/>
          <w:szCs w:val="24"/>
        </w:rPr>
        <w:t xml:space="preserve"> P</w:t>
      </w:r>
      <w:r w:rsidRPr="003A14DF">
        <w:rPr>
          <w:b/>
          <w:sz w:val="24"/>
          <w:szCs w:val="24"/>
        </w:rPr>
        <w:t>airs</w:t>
      </w:r>
    </w:p>
    <w:p w14:paraId="63A344BB" w14:textId="75B7495B" w:rsidR="00E57E65" w:rsidRDefault="00876B39" w:rsidP="00E57E65">
      <w:pPr>
        <w:spacing w:before="100" w:beforeAutospacing="1" w:after="100" w:afterAutospacing="1" w:line="480" w:lineRule="auto"/>
        <w:ind w:firstLine="57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procedure for assigning the final zygosity classification</w:t>
      </w:r>
      <w:r w:rsidR="00E57E65">
        <w:rPr>
          <w:rFonts w:ascii="Times New Roman" w:hAnsi="Times New Roman" w:cs="Times New Roman"/>
          <w:bCs/>
          <w:sz w:val="24"/>
          <w:szCs w:val="24"/>
        </w:rPr>
        <w:t xml:space="preserve"> differed depending on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number of sources and type of information available. </w:t>
      </w:r>
      <w:r w:rsidR="00416349">
        <w:rPr>
          <w:rFonts w:ascii="Times New Roman" w:hAnsi="Times New Roman" w:cs="Times New Roman"/>
          <w:bCs/>
          <w:sz w:val="24"/>
          <w:szCs w:val="24"/>
        </w:rPr>
        <w:t xml:space="preserve"> In general, assignments based on the algorithm were</w:t>
      </w:r>
      <w:r>
        <w:rPr>
          <w:rFonts w:ascii="Times New Roman" w:hAnsi="Times New Roman" w:cs="Times New Roman"/>
          <w:bCs/>
          <w:sz w:val="24"/>
          <w:szCs w:val="24"/>
        </w:rPr>
        <w:t xml:space="preserve"> weighted more heavily than photo ratings. Here we summarize the procedure for twin pairs, organized by the number of </w:t>
      </w:r>
      <w:r w:rsidR="00E57E65">
        <w:rPr>
          <w:rFonts w:ascii="Times New Roman" w:hAnsi="Times New Roman" w:cs="Times New Roman"/>
          <w:bCs/>
          <w:sz w:val="24"/>
          <w:szCs w:val="24"/>
        </w:rPr>
        <w:t xml:space="preserve">individuals in a family who provided </w:t>
      </w:r>
      <w:r>
        <w:rPr>
          <w:rFonts w:ascii="Times New Roman" w:hAnsi="Times New Roman" w:cs="Times New Roman"/>
          <w:bCs/>
          <w:sz w:val="24"/>
          <w:szCs w:val="24"/>
        </w:rPr>
        <w:t xml:space="preserve">2014 </w:t>
      </w:r>
      <w:r w:rsidR="00E57E65">
        <w:rPr>
          <w:rFonts w:ascii="Times New Roman" w:hAnsi="Times New Roman" w:cs="Times New Roman"/>
          <w:bCs/>
          <w:sz w:val="24"/>
          <w:szCs w:val="24"/>
        </w:rPr>
        <w:t>survey responses about a twin pair.</w:t>
      </w:r>
      <w:r w:rsidR="00E57E65" w:rsidRPr="00F735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E65">
        <w:rPr>
          <w:rFonts w:ascii="Times New Roman" w:hAnsi="Times New Roman" w:cs="Times New Roman"/>
          <w:bCs/>
          <w:sz w:val="24"/>
          <w:szCs w:val="24"/>
        </w:rPr>
        <w:t>Triplets were handled separately (as described below).</w:t>
      </w:r>
    </w:p>
    <w:p w14:paraId="0990AADB" w14:textId="77777777" w:rsidR="00E57E65" w:rsidRDefault="00E57E65" w:rsidP="00E57E65">
      <w:pPr>
        <w:spacing w:before="100" w:beforeAutospacing="1" w:after="100" w:afterAutospacing="1" w:line="48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For 521 same-sex twin pairs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 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both twins responding to zygosity items, 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photo ratings were included in the decision making only </w:t>
      </w:r>
      <w:r>
        <w:rPr>
          <w:rFonts w:ascii="Times New Roman" w:hAnsi="Times New Roman" w:cs="Times New Roman"/>
          <w:bCs/>
          <w:sz w:val="24"/>
          <w:szCs w:val="24"/>
        </w:rPr>
        <w:t xml:space="preserve">if </w:t>
      </w:r>
      <w:r w:rsidRPr="006D5673">
        <w:rPr>
          <w:rFonts w:ascii="Times New Roman" w:hAnsi="Times New Roman" w:cs="Times New Roman"/>
          <w:sz w:val="24"/>
          <w:szCs w:val="24"/>
        </w:rPr>
        <w:t>algorithm assignments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 inconsistent or inconclusive</w:t>
      </w:r>
      <w:r w:rsidRPr="006D56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F73CC6" w14:textId="5D8BB7B9" w:rsidR="00E57E65" w:rsidRPr="006D5673" w:rsidRDefault="00E57E65" w:rsidP="00E57E65">
      <w:pPr>
        <w:spacing w:before="100" w:beforeAutospacing="1" w:after="100" w:afterAutospacing="1" w:line="480" w:lineRule="auto"/>
        <w:ind w:firstLine="57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the 282 pairs with i) one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twin </w:t>
      </w:r>
      <w:r w:rsidRPr="006D5673">
        <w:rPr>
          <w:rFonts w:ascii="Times New Roman" w:hAnsi="Times New Roman" w:cs="Times New Roman"/>
          <w:bCs/>
          <w:sz w:val="24"/>
          <w:szCs w:val="24"/>
        </w:rPr>
        <w:t>responding</w:t>
      </w:r>
      <w:r>
        <w:rPr>
          <w:rFonts w:ascii="Times New Roman" w:hAnsi="Times New Roman" w:cs="Times New Roman"/>
          <w:bCs/>
          <w:sz w:val="24"/>
          <w:szCs w:val="24"/>
        </w:rPr>
        <w:t xml:space="preserve"> or ii) </w:t>
      </w:r>
      <w:r w:rsidR="00876B39">
        <w:rPr>
          <w:rFonts w:ascii="Times New Roman" w:hAnsi="Times New Roman" w:cs="Times New Roman"/>
          <w:bCs/>
          <w:sz w:val="24"/>
          <w:szCs w:val="24"/>
        </w:rPr>
        <w:t>neither twin responding but one or more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responding sibling</w:t>
      </w:r>
      <w:r w:rsidR="00876B39">
        <w:rPr>
          <w:rFonts w:ascii="Times New Roman" w:hAnsi="Times New Roman" w:cs="Times New Roman"/>
          <w:bCs/>
          <w:sz w:val="24"/>
          <w:szCs w:val="24"/>
        </w:rPr>
        <w:t>(s)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, available photos were rated and the information compared to the algorithmic assignments.  </w:t>
      </w:r>
      <w:r w:rsidRPr="006D5673">
        <w:rPr>
          <w:rFonts w:ascii="Times New Roman" w:hAnsi="Times New Roman" w:cs="Times New Roman"/>
          <w:sz w:val="24"/>
          <w:szCs w:val="24"/>
        </w:rPr>
        <w:t xml:space="preserve">For the majority of these pairs, photo ratings agreed with the algorithmic zygosity or were indeterminate. </w:t>
      </w:r>
      <w:r>
        <w:rPr>
          <w:rFonts w:ascii="Times New Roman" w:hAnsi="Times New Roman" w:cs="Times New Roman"/>
          <w:sz w:val="24"/>
          <w:szCs w:val="24"/>
        </w:rPr>
        <w:t>For 19 pairs assigned as indeterminate by the algorithm, classification was made using photo ratings.</w:t>
      </w:r>
      <w:r w:rsidRPr="006D5673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32 pairs </w:t>
      </w:r>
      <w:r w:rsidRPr="006D5673">
        <w:rPr>
          <w:rFonts w:ascii="Times New Roman" w:hAnsi="Times New Roman" w:cs="Times New Roman"/>
          <w:sz w:val="24"/>
          <w:szCs w:val="24"/>
        </w:rPr>
        <w:t>the photo ratings disagre</w:t>
      </w:r>
      <w:r>
        <w:rPr>
          <w:rFonts w:ascii="Times New Roman" w:hAnsi="Times New Roman" w:cs="Times New Roman"/>
          <w:sz w:val="24"/>
          <w:szCs w:val="24"/>
        </w:rPr>
        <w:t>ed with the algorithm assignment. For 9</w:t>
      </w:r>
      <w:r w:rsidRPr="006D5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these the photo ratings were considered strong enough to override the algorithm. </w:t>
      </w:r>
      <w:r w:rsidRPr="006D567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the other 23</w:t>
      </w:r>
      <w:r w:rsidRPr="006D5673">
        <w:rPr>
          <w:rFonts w:ascii="Times New Roman" w:hAnsi="Times New Roman" w:cs="Times New Roman"/>
          <w:sz w:val="24"/>
          <w:szCs w:val="24"/>
        </w:rPr>
        <w:t xml:space="preserve"> the evidence was not considered strong and the algorithmic assignment was retained. </w:t>
      </w:r>
    </w:p>
    <w:p w14:paraId="60E327A8" w14:textId="3E0EA226" w:rsidR="00E57E65" w:rsidRPr="006D5673" w:rsidRDefault="00E57E65" w:rsidP="00E57E65">
      <w:pPr>
        <w:spacing w:before="100" w:beforeAutospacing="1" w:after="100" w:afterAutospacing="1" w:line="48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233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pairs without any 2014 </w:t>
      </w:r>
      <w:r w:rsidR="00876B39">
        <w:rPr>
          <w:rFonts w:ascii="Times New Roman" w:hAnsi="Times New Roman" w:cs="Times New Roman"/>
          <w:bCs/>
          <w:sz w:val="24"/>
          <w:szCs w:val="24"/>
        </w:rPr>
        <w:t>survey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information but </w:t>
      </w:r>
      <w:r w:rsidR="00876B39">
        <w:rPr>
          <w:rFonts w:ascii="Times New Roman" w:hAnsi="Times New Roman" w:cs="Times New Roman"/>
          <w:bCs/>
          <w:sz w:val="24"/>
          <w:szCs w:val="24"/>
        </w:rPr>
        <w:t xml:space="preserve">of whom </w:t>
      </w:r>
      <w:r w:rsidRPr="006D5673">
        <w:rPr>
          <w:rFonts w:ascii="Times New Roman" w:hAnsi="Times New Roman" w:cs="Times New Roman"/>
          <w:bCs/>
          <w:sz w:val="24"/>
          <w:szCs w:val="24"/>
        </w:rPr>
        <w:t>photos</w:t>
      </w:r>
      <w:r w:rsidR="00876B39">
        <w:rPr>
          <w:rFonts w:ascii="Times New Roman" w:hAnsi="Times New Roman" w:cs="Times New Roman"/>
          <w:bCs/>
          <w:sz w:val="24"/>
          <w:szCs w:val="24"/>
        </w:rPr>
        <w:t xml:space="preserve"> were 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obtained.  </w:t>
      </w:r>
      <w:r w:rsidR="00876B39">
        <w:rPr>
          <w:rFonts w:ascii="Times New Roman" w:hAnsi="Times New Roman" w:cs="Times New Roman"/>
          <w:bCs/>
          <w:sz w:val="24"/>
          <w:szCs w:val="24"/>
        </w:rPr>
        <w:t>Consensus ratings of photos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 were used t</w:t>
      </w:r>
      <w:r>
        <w:rPr>
          <w:rFonts w:ascii="Times New Roman" w:hAnsi="Times New Roman" w:cs="Times New Roman"/>
          <w:sz w:val="24"/>
          <w:szCs w:val="24"/>
        </w:rPr>
        <w:t>o assign zygosity for 213 pairs.  Photos of the other 20</w:t>
      </w:r>
      <w:r w:rsidRPr="006D5673">
        <w:rPr>
          <w:rFonts w:ascii="Times New Roman" w:hAnsi="Times New Roman" w:cs="Times New Roman"/>
          <w:sz w:val="24"/>
          <w:szCs w:val="24"/>
        </w:rPr>
        <w:t xml:space="preserve"> were of poor quality or consensus could not be reached.  </w:t>
      </w:r>
    </w:p>
    <w:p w14:paraId="05754CEC" w14:textId="4B85E14B" w:rsidR="00E57E65" w:rsidRDefault="00E57E65" w:rsidP="00E57E65">
      <w:pPr>
        <w:spacing w:before="100" w:beforeAutospacing="1" w:after="100" w:afterAutospacing="1" w:line="48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remaining 275</w:t>
      </w:r>
      <w:r w:rsidRPr="006D5673">
        <w:rPr>
          <w:rFonts w:ascii="Times New Roman" w:hAnsi="Times New Roman" w:cs="Times New Roman"/>
          <w:sz w:val="24"/>
          <w:szCs w:val="24"/>
        </w:rPr>
        <w:t xml:space="preserve"> pair</w:t>
      </w:r>
      <w:r>
        <w:rPr>
          <w:rFonts w:ascii="Times New Roman" w:hAnsi="Times New Roman" w:cs="Times New Roman"/>
          <w:sz w:val="24"/>
          <w:szCs w:val="24"/>
        </w:rPr>
        <w:t xml:space="preserve">s with neither PTTS14 data nor photos </w:t>
      </w:r>
      <w:r w:rsidR="00876B39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assigned as Unknown zygosity.  Some of these pairs will be assigned as additional information is collected through yearbook photos and ongoing data collection.</w:t>
      </w:r>
    </w:p>
    <w:p w14:paraId="0014BB00" w14:textId="77777777" w:rsidR="00E57E65" w:rsidRDefault="00E57E65" w:rsidP="00E57E65">
      <w:pPr>
        <w:spacing w:before="100" w:beforeAutospacing="1" w:after="100" w:afterAutospacing="1" w:line="48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 w:rsidRPr="006D5673">
        <w:rPr>
          <w:rFonts w:ascii="Times New Roman" w:hAnsi="Times New Roman" w:cs="Times New Roman"/>
          <w:sz w:val="24"/>
          <w:szCs w:val="24"/>
        </w:rPr>
        <w:t>Alg</w:t>
      </w:r>
      <w:r>
        <w:rPr>
          <w:rFonts w:ascii="Times New Roman" w:hAnsi="Times New Roman" w:cs="Times New Roman"/>
          <w:sz w:val="24"/>
          <w:szCs w:val="24"/>
        </w:rPr>
        <w:t xml:space="preserve">orithm classifications were </w:t>
      </w:r>
      <w:r w:rsidRPr="006D5673">
        <w:rPr>
          <w:rFonts w:ascii="Times New Roman" w:hAnsi="Times New Roman" w:cs="Times New Roman"/>
          <w:sz w:val="24"/>
          <w:szCs w:val="24"/>
        </w:rPr>
        <w:t xml:space="preserve">checked for consistency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D5673">
        <w:rPr>
          <w:rFonts w:ascii="Times New Roman" w:hAnsi="Times New Roman" w:cs="Times New Roman"/>
          <w:sz w:val="24"/>
          <w:szCs w:val="24"/>
        </w:rPr>
        <w:t xml:space="preserve">ith other survey information, particularly twins’ opinion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D5673">
        <w:rPr>
          <w:rFonts w:ascii="Times New Roman" w:hAnsi="Times New Roman" w:cs="Times New Roman"/>
          <w:sz w:val="24"/>
          <w:szCs w:val="24"/>
        </w:rPr>
        <w:t>peas-in-a-pod</w:t>
      </w:r>
      <w:r>
        <w:rPr>
          <w:rFonts w:ascii="Times New Roman" w:hAnsi="Times New Roman" w:cs="Times New Roman"/>
          <w:sz w:val="24"/>
          <w:szCs w:val="24"/>
        </w:rPr>
        <w:t xml:space="preserve"> item</w:t>
      </w:r>
      <w:r w:rsidRPr="006D5673">
        <w:rPr>
          <w:rFonts w:ascii="Times New Roman" w:hAnsi="Times New Roman" w:cs="Times New Roman"/>
          <w:sz w:val="24"/>
          <w:szCs w:val="24"/>
        </w:rPr>
        <w:t xml:space="preserve">.  Pairs with </w:t>
      </w:r>
      <w:r>
        <w:rPr>
          <w:rFonts w:ascii="Times New Roman" w:hAnsi="Times New Roman" w:cs="Times New Roman"/>
          <w:sz w:val="24"/>
          <w:szCs w:val="24"/>
        </w:rPr>
        <w:t xml:space="preserve">rater disagreements, having </w:t>
      </w:r>
      <w:r w:rsidRPr="006D5673">
        <w:rPr>
          <w:rFonts w:ascii="Times New Roman" w:hAnsi="Times New Roman" w:cs="Times New Roman"/>
          <w:sz w:val="24"/>
          <w:szCs w:val="24"/>
        </w:rPr>
        <w:t>inconsistencies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lastRenderedPageBreak/>
        <w:t>other survey items, and</w:t>
      </w:r>
      <w:r w:rsidRPr="006D5673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one or more </w:t>
      </w:r>
      <w:r w:rsidRPr="006D5673">
        <w:rPr>
          <w:rFonts w:ascii="Times New Roman" w:hAnsi="Times New Roman" w:cs="Times New Roman"/>
          <w:sz w:val="24"/>
          <w:szCs w:val="24"/>
        </w:rPr>
        <w:t>algorithm classifications of Indeterminate were assigned for hand review.</w:t>
      </w:r>
    </w:p>
    <w:p w14:paraId="3656AA7E" w14:textId="77777777" w:rsidR="00E57E65" w:rsidRDefault="00E57E65" w:rsidP="00E57E65">
      <w:pPr>
        <w:spacing w:before="100" w:beforeAutospacing="1" w:after="100" w:afterAutospacing="1" w:line="48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 w:rsidRPr="006D5673">
        <w:rPr>
          <w:rFonts w:ascii="Times New Roman" w:hAnsi="Times New Roman" w:cs="Times New Roman"/>
          <w:sz w:val="24"/>
          <w:szCs w:val="24"/>
        </w:rPr>
        <w:t>All responses to open-ended item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D5673">
        <w:rPr>
          <w:rFonts w:ascii="Times New Roman" w:hAnsi="Times New Roman" w:cs="Times New Roman"/>
          <w:sz w:val="24"/>
          <w:szCs w:val="24"/>
        </w:rPr>
        <w:t xml:space="preserve"> were read to determine their relevance for interpreting other information.  For example, algorithm assignment as DZ on the basis of </w:t>
      </w:r>
      <w:r>
        <w:rPr>
          <w:rFonts w:ascii="Times New Roman" w:hAnsi="Times New Roman" w:cs="Times New Roman"/>
          <w:sz w:val="24"/>
          <w:szCs w:val="24"/>
        </w:rPr>
        <w:t xml:space="preserve">a “rarely or never </w:t>
      </w:r>
      <w:r w:rsidRPr="006D5673">
        <w:rPr>
          <w:rFonts w:ascii="Times New Roman" w:hAnsi="Times New Roman" w:cs="Times New Roman"/>
          <w:sz w:val="24"/>
          <w:szCs w:val="24"/>
        </w:rPr>
        <w:t>confused</w:t>
      </w:r>
      <w:r>
        <w:rPr>
          <w:rFonts w:ascii="Times New Roman" w:hAnsi="Times New Roman" w:cs="Times New Roman"/>
          <w:sz w:val="24"/>
          <w:szCs w:val="24"/>
        </w:rPr>
        <w:t>” response was disregarded if one twin was reported to have</w:t>
      </w:r>
      <w:r w:rsidRPr="006D5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distinguishing physical feature</w:t>
      </w:r>
      <w:r w:rsidRPr="006D5673">
        <w:rPr>
          <w:rFonts w:ascii="Times New Roman" w:hAnsi="Times New Roman" w:cs="Times New Roman"/>
          <w:sz w:val="24"/>
          <w:szCs w:val="24"/>
        </w:rPr>
        <w:t xml:space="preserve"> (e.g., a </w:t>
      </w:r>
      <w:r>
        <w:rPr>
          <w:rFonts w:ascii="Times New Roman" w:hAnsi="Times New Roman" w:cs="Times New Roman"/>
          <w:sz w:val="24"/>
          <w:szCs w:val="24"/>
        </w:rPr>
        <w:t>prominent facial scar) and other responses and evidence were</w:t>
      </w:r>
      <w:r w:rsidRPr="006D5673">
        <w:rPr>
          <w:rFonts w:ascii="Times New Roman" w:hAnsi="Times New Roman" w:cs="Times New Roman"/>
          <w:sz w:val="24"/>
          <w:szCs w:val="24"/>
        </w:rPr>
        <w:t xml:space="preserve"> consistent with </w:t>
      </w:r>
      <w:r>
        <w:rPr>
          <w:rFonts w:ascii="Times New Roman" w:hAnsi="Times New Roman" w:cs="Times New Roman"/>
          <w:sz w:val="24"/>
          <w:szCs w:val="24"/>
        </w:rPr>
        <w:t>the pair being MZ. A respondent</w:t>
      </w:r>
      <w:r w:rsidRPr="006D5673">
        <w:rPr>
          <w:rFonts w:ascii="Times New Roman" w:hAnsi="Times New Roman" w:cs="Times New Roman"/>
          <w:sz w:val="24"/>
          <w:szCs w:val="24"/>
        </w:rPr>
        <w:t xml:space="preserve">’s opinion that the pair was MZ was disregarded if the reason </w:t>
      </w:r>
      <w:r>
        <w:rPr>
          <w:rFonts w:ascii="Times New Roman" w:hAnsi="Times New Roman" w:cs="Times New Roman"/>
          <w:sz w:val="24"/>
          <w:szCs w:val="24"/>
        </w:rPr>
        <w:t xml:space="preserve">provided </w:t>
      </w:r>
      <w:r w:rsidRPr="006D5673">
        <w:rPr>
          <w:rFonts w:ascii="Times New Roman" w:hAnsi="Times New Roman" w:cs="Times New Roman"/>
          <w:sz w:val="24"/>
          <w:szCs w:val="24"/>
        </w:rPr>
        <w:t xml:space="preserve">was unrelated to physical similarity (e.g., similar personalities, the delivery physician saying the pair was identical).  </w:t>
      </w:r>
    </w:p>
    <w:p w14:paraId="35D78628" w14:textId="77777777" w:rsidR="00E57E65" w:rsidRDefault="00E57E65" w:rsidP="00E57E65">
      <w:pPr>
        <w:spacing w:before="100" w:beforeAutospacing="1" w:after="100" w:afterAutospacing="1" w:line="480" w:lineRule="auto"/>
        <w:ind w:firstLine="57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D5673">
        <w:rPr>
          <w:rFonts w:ascii="Times New Roman" w:hAnsi="Times New Roman" w:cs="Times New Roman"/>
          <w:sz w:val="24"/>
          <w:szCs w:val="24"/>
        </w:rPr>
        <w:t xml:space="preserve">Across the sample, hand review was conducted for 139 </w:t>
      </w:r>
      <w:r>
        <w:rPr>
          <w:rFonts w:ascii="Times New Roman" w:hAnsi="Times New Roman" w:cs="Times New Roman"/>
          <w:sz w:val="24"/>
          <w:szCs w:val="24"/>
        </w:rPr>
        <w:t xml:space="preserve">twin </w:t>
      </w:r>
      <w:r w:rsidRPr="006D5673">
        <w:rPr>
          <w:rFonts w:ascii="Times New Roman" w:hAnsi="Times New Roman" w:cs="Times New Roman"/>
          <w:sz w:val="24"/>
          <w:szCs w:val="24"/>
        </w:rPr>
        <w:t xml:space="preserve">pairs </w:t>
      </w:r>
      <w:r>
        <w:rPr>
          <w:rFonts w:ascii="Times New Roman" w:hAnsi="Times New Roman" w:cs="Times New Roman"/>
          <w:sz w:val="24"/>
          <w:szCs w:val="24"/>
        </w:rPr>
        <w:t xml:space="preserve">where zygosity was inconsistent between the algorithm and other sources. Consensus </w:t>
      </w:r>
      <w:r>
        <w:rPr>
          <w:rFonts w:ascii="Times New Roman" w:hAnsi="Times New Roman" w:cs="Times New Roman"/>
          <w:bCs/>
          <w:sz w:val="24"/>
          <w:szCs w:val="24"/>
        </w:rPr>
        <w:t>was reached for 113 pairs: 87 were assigned as MZ (77.0%)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19 as DZ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 (16.8%),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7 as Uncertain </w:t>
      </w:r>
      <w:r w:rsidRPr="006D5673">
        <w:rPr>
          <w:rFonts w:ascii="Times New Roman" w:hAnsi="Times New Roman" w:cs="Times New Roman"/>
          <w:bCs/>
          <w:sz w:val="24"/>
          <w:szCs w:val="24"/>
        </w:rPr>
        <w:t xml:space="preserve">(6.2%). 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remaining 26 pairs had insufficient or inconsistent information and were assigned as Unknown.</w:t>
      </w:r>
    </w:p>
    <w:p w14:paraId="2842809A" w14:textId="192B8D79" w:rsidR="00E57E65" w:rsidRDefault="00E57E65" w:rsidP="00E57E65">
      <w:pPr>
        <w:spacing w:before="100" w:beforeAutospacing="1" w:after="100" w:afterAutospacing="1" w:line="48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Hand review of available survey and photo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was also conducted for</w:t>
      </w:r>
      <w:r>
        <w:rPr>
          <w:rFonts w:ascii="Times New Roman" w:hAnsi="Times New Roman" w:cs="Times New Roman"/>
          <w:sz w:val="24"/>
          <w:szCs w:val="24"/>
        </w:rPr>
        <w:t xml:space="preserve"> the 13 triplet sets. Zygosity was assigned for 10 DZMF pairs and 10 same-sex pairs (</w:t>
      </w:r>
      <w:r w:rsidRPr="006D5673">
        <w:rPr>
          <w:rFonts w:ascii="Times New Roman" w:hAnsi="Times New Roman" w:cs="Times New Roman"/>
          <w:sz w:val="24"/>
          <w:szCs w:val="24"/>
        </w:rPr>
        <w:t xml:space="preserve">two MZM pairs, </w:t>
      </w:r>
      <w:r>
        <w:rPr>
          <w:rFonts w:ascii="Times New Roman" w:hAnsi="Times New Roman" w:cs="Times New Roman"/>
          <w:sz w:val="24"/>
          <w:szCs w:val="24"/>
        </w:rPr>
        <w:t>two DZM, four MZF pairs,</w:t>
      </w:r>
      <w:r w:rsidRPr="006D5673">
        <w:rPr>
          <w:rFonts w:ascii="Times New Roman" w:hAnsi="Times New Roman" w:cs="Times New Roman"/>
          <w:sz w:val="24"/>
          <w:szCs w:val="24"/>
        </w:rPr>
        <w:t xml:space="preserve"> two DZF pairs</w:t>
      </w:r>
      <w:r>
        <w:rPr>
          <w:rFonts w:ascii="Times New Roman" w:hAnsi="Times New Roman" w:cs="Times New Roman"/>
          <w:sz w:val="24"/>
          <w:szCs w:val="24"/>
        </w:rPr>
        <w:t>). Another 1</w:t>
      </w:r>
      <w:r w:rsidRPr="006D5673">
        <w:rPr>
          <w:rFonts w:ascii="Times New Roman" w:hAnsi="Times New Roman" w:cs="Times New Roman"/>
          <w:sz w:val="24"/>
          <w:szCs w:val="24"/>
        </w:rPr>
        <w:t xml:space="preserve">9 pairs </w:t>
      </w:r>
      <w:r>
        <w:rPr>
          <w:rFonts w:ascii="Times New Roman" w:hAnsi="Times New Roman" w:cs="Times New Roman"/>
          <w:sz w:val="24"/>
          <w:szCs w:val="24"/>
        </w:rPr>
        <w:t>had insufficient evidence and were classified as</w:t>
      </w:r>
      <w:r w:rsidR="00416349">
        <w:rPr>
          <w:rFonts w:ascii="Times New Roman" w:hAnsi="Times New Roman" w:cs="Times New Roman"/>
          <w:sz w:val="24"/>
          <w:szCs w:val="24"/>
        </w:rPr>
        <w:t xml:space="preserve"> U</w:t>
      </w:r>
      <w:r w:rsidRPr="006D5673">
        <w:rPr>
          <w:rFonts w:ascii="Times New Roman" w:hAnsi="Times New Roman" w:cs="Times New Roman"/>
          <w:sz w:val="24"/>
          <w:szCs w:val="24"/>
        </w:rPr>
        <w:t xml:space="preserve">nknown zygosity.  </w:t>
      </w:r>
    </w:p>
    <w:p w14:paraId="38D09D9A" w14:textId="77777777" w:rsidR="00E57E65" w:rsidRPr="00EF0D0A" w:rsidRDefault="00E57E65" w:rsidP="00EF0D0A"/>
    <w:sectPr w:rsidR="00E57E65" w:rsidRPr="00EF0D0A" w:rsidSect="00FB6054">
      <w:pgSz w:w="12240" w:h="15840" w:code="1"/>
      <w:pgMar w:top="1440" w:right="1080" w:bottom="1152" w:left="108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1C4"/>
    <w:multiLevelType w:val="hybridMultilevel"/>
    <w:tmpl w:val="1ED8B5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550"/>
    <w:multiLevelType w:val="hybridMultilevel"/>
    <w:tmpl w:val="9C7A87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66610"/>
    <w:multiLevelType w:val="hybridMultilevel"/>
    <w:tmpl w:val="1A4C1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154DF"/>
    <w:multiLevelType w:val="hybridMultilevel"/>
    <w:tmpl w:val="4DD4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361D3"/>
    <w:multiLevelType w:val="hybridMultilevel"/>
    <w:tmpl w:val="BEF44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D6"/>
    <w:rsid w:val="000104AE"/>
    <w:rsid w:val="00071EB9"/>
    <w:rsid w:val="00073698"/>
    <w:rsid w:val="00094B7B"/>
    <w:rsid w:val="000D0F66"/>
    <w:rsid w:val="00152594"/>
    <w:rsid w:val="0016454F"/>
    <w:rsid w:val="00165898"/>
    <w:rsid w:val="00177647"/>
    <w:rsid w:val="001833ED"/>
    <w:rsid w:val="001A43CD"/>
    <w:rsid w:val="001A530B"/>
    <w:rsid w:val="00217402"/>
    <w:rsid w:val="002352AC"/>
    <w:rsid w:val="00291C3E"/>
    <w:rsid w:val="002C5D76"/>
    <w:rsid w:val="002E3689"/>
    <w:rsid w:val="0030213D"/>
    <w:rsid w:val="003141F7"/>
    <w:rsid w:val="0037248E"/>
    <w:rsid w:val="00381D51"/>
    <w:rsid w:val="00393A28"/>
    <w:rsid w:val="00395627"/>
    <w:rsid w:val="003A14DF"/>
    <w:rsid w:val="003A3D45"/>
    <w:rsid w:val="003B3038"/>
    <w:rsid w:val="004150CE"/>
    <w:rsid w:val="00416349"/>
    <w:rsid w:val="00431930"/>
    <w:rsid w:val="0043579D"/>
    <w:rsid w:val="0043770B"/>
    <w:rsid w:val="00441B4E"/>
    <w:rsid w:val="0045244D"/>
    <w:rsid w:val="00461BDE"/>
    <w:rsid w:val="00467D94"/>
    <w:rsid w:val="004871F9"/>
    <w:rsid w:val="004873D1"/>
    <w:rsid w:val="004B35C6"/>
    <w:rsid w:val="004B69EB"/>
    <w:rsid w:val="005A1829"/>
    <w:rsid w:val="005D66B5"/>
    <w:rsid w:val="006719C4"/>
    <w:rsid w:val="00692CDB"/>
    <w:rsid w:val="00695DA5"/>
    <w:rsid w:val="006F40C8"/>
    <w:rsid w:val="006F60FE"/>
    <w:rsid w:val="00715252"/>
    <w:rsid w:val="0071585E"/>
    <w:rsid w:val="00743C5F"/>
    <w:rsid w:val="00747104"/>
    <w:rsid w:val="007B4CC9"/>
    <w:rsid w:val="007C7FF8"/>
    <w:rsid w:val="00876B39"/>
    <w:rsid w:val="008D2BD6"/>
    <w:rsid w:val="008E37A6"/>
    <w:rsid w:val="009223F2"/>
    <w:rsid w:val="00946BE5"/>
    <w:rsid w:val="009B30E3"/>
    <w:rsid w:val="009C5F1A"/>
    <w:rsid w:val="00A007C9"/>
    <w:rsid w:val="00A263A7"/>
    <w:rsid w:val="00A36311"/>
    <w:rsid w:val="00AE1C84"/>
    <w:rsid w:val="00B27F61"/>
    <w:rsid w:val="00B41AFC"/>
    <w:rsid w:val="00B51062"/>
    <w:rsid w:val="00B62CFD"/>
    <w:rsid w:val="00B7795A"/>
    <w:rsid w:val="00B87A37"/>
    <w:rsid w:val="00B87A5B"/>
    <w:rsid w:val="00B90D90"/>
    <w:rsid w:val="00B92A33"/>
    <w:rsid w:val="00BA1228"/>
    <w:rsid w:val="00BB0FA4"/>
    <w:rsid w:val="00BC65C3"/>
    <w:rsid w:val="00BD2234"/>
    <w:rsid w:val="00C239F0"/>
    <w:rsid w:val="00C55ABD"/>
    <w:rsid w:val="00C76044"/>
    <w:rsid w:val="00C86214"/>
    <w:rsid w:val="00CC1FE5"/>
    <w:rsid w:val="00D47DFF"/>
    <w:rsid w:val="00D9215A"/>
    <w:rsid w:val="00DA2517"/>
    <w:rsid w:val="00DC610A"/>
    <w:rsid w:val="00E57E65"/>
    <w:rsid w:val="00E678F9"/>
    <w:rsid w:val="00E917A7"/>
    <w:rsid w:val="00EF0D0A"/>
    <w:rsid w:val="00F41D5C"/>
    <w:rsid w:val="00FB4C57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2D1B"/>
  <w15:chartTrackingRefBased/>
  <w15:docId w15:val="{75E826BE-1999-44E8-810F-6B6FC537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next w:val="Normal"/>
    <w:uiPriority w:val="99"/>
    <w:unhideWhenUsed/>
    <w:rsid w:val="001833ED"/>
    <w:pPr>
      <w:keepNext/>
      <w:spacing w:before="240" w:after="120" w:line="240" w:lineRule="auto"/>
    </w:pPr>
    <w:rPr>
      <w:rFonts w:asciiTheme="majorHAnsi" w:eastAsia="Times New Roman" w:hAnsiTheme="majorHAnsi" w:cs="Times New Roman"/>
      <w:b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6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04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44"/>
    <w:rPr>
      <w:rFonts w:ascii="Segoe UI" w:hAnsi="Segoe UI" w:cs="Segoe UI"/>
      <w:sz w:val="18"/>
      <w:szCs w:val="18"/>
    </w:rPr>
  </w:style>
  <w:style w:type="character" w:styleId="FootnoteReference">
    <w:name w:val="footnote reference"/>
    <w:uiPriority w:val="99"/>
    <w:rsid w:val="00946B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60FE"/>
    <w:pPr>
      <w:spacing w:after="120"/>
      <w:ind w:left="720" w:firstLine="432"/>
      <w:contextualSpacing/>
    </w:pPr>
  </w:style>
  <w:style w:type="character" w:styleId="Hyperlink">
    <w:name w:val="Hyperlink"/>
    <w:basedOn w:val="DefaultParagraphFont"/>
    <w:uiPriority w:val="99"/>
    <w:unhideWhenUsed/>
    <w:rsid w:val="006F60F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A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8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Dornsife College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Nick Martin</cp:lastModifiedBy>
  <cp:revision>2</cp:revision>
  <cp:lastPrinted>2019-05-27T16:51:00Z</cp:lastPrinted>
  <dcterms:created xsi:type="dcterms:W3CDTF">2019-11-12T23:12:00Z</dcterms:created>
  <dcterms:modified xsi:type="dcterms:W3CDTF">2019-11-12T23:12:00Z</dcterms:modified>
</cp:coreProperties>
</file>