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FE0" w:rsidRDefault="00900F05">
      <w:pPr>
        <w:rPr>
          <w:lang w:val="en-US"/>
        </w:rPr>
      </w:pPr>
      <w:r>
        <w:rPr>
          <w:lang w:val="en-US"/>
        </w:rPr>
        <w:t>Twin Research and Human Genetics</w:t>
      </w:r>
    </w:p>
    <w:p w:rsidR="00900F05" w:rsidRDefault="00900F05">
      <w:pPr>
        <w:rPr>
          <w:lang w:val="en-US"/>
        </w:rPr>
      </w:pPr>
    </w:p>
    <w:p w:rsidR="00900F05" w:rsidRDefault="00900F05">
      <w:pPr>
        <w:rPr>
          <w:lang w:val="en-US"/>
        </w:rPr>
      </w:pPr>
      <w:r>
        <w:rPr>
          <w:lang w:val="en-US"/>
        </w:rPr>
        <w:t>Supplementary figures</w:t>
      </w:r>
    </w:p>
    <w:p w:rsidR="00900F05" w:rsidRDefault="00900F05">
      <w:pPr>
        <w:rPr>
          <w:lang w:val="en-US"/>
        </w:rPr>
      </w:pPr>
    </w:p>
    <w:p w:rsidR="00900F05" w:rsidRPr="0049069F" w:rsidRDefault="00900F05" w:rsidP="00900F05">
      <w:pPr>
        <w:spacing w:after="0" w:line="480" w:lineRule="auto"/>
        <w:jc w:val="both"/>
        <w:rPr>
          <w:rFonts w:cstheme="minorHAnsi"/>
          <w:b/>
          <w:lang w:val="en-GB"/>
        </w:rPr>
      </w:pPr>
      <w:r w:rsidRPr="0049069F">
        <w:rPr>
          <w:rFonts w:cstheme="minorHAnsi"/>
          <w:b/>
          <w:lang w:val="en-GB"/>
        </w:rPr>
        <w:t xml:space="preserve">Safe Linkage of Cohort and Population-Based Register Data in a </w:t>
      </w:r>
      <w:proofErr w:type="spellStart"/>
      <w:r w:rsidRPr="0049069F">
        <w:rPr>
          <w:rFonts w:cstheme="minorHAnsi"/>
          <w:b/>
          <w:lang w:val="en-GB"/>
        </w:rPr>
        <w:t>Genomewide</w:t>
      </w:r>
      <w:proofErr w:type="spellEnd"/>
      <w:r w:rsidRPr="0049069F">
        <w:rPr>
          <w:rFonts w:cstheme="minorHAnsi"/>
          <w:b/>
          <w:lang w:val="en-GB"/>
        </w:rPr>
        <w:t xml:space="preserve"> Association Study on Health</w:t>
      </w:r>
      <w:r>
        <w:rPr>
          <w:rFonts w:cstheme="minorHAnsi"/>
          <w:b/>
          <w:lang w:val="en-GB"/>
        </w:rPr>
        <w:t>-</w:t>
      </w:r>
      <w:r w:rsidRPr="0049069F">
        <w:rPr>
          <w:rFonts w:cstheme="minorHAnsi"/>
          <w:b/>
          <w:lang w:val="en-GB"/>
        </w:rPr>
        <w:t xml:space="preserve">Care Expenditure </w:t>
      </w:r>
    </w:p>
    <w:p w:rsidR="00900F05" w:rsidRPr="00EB5287" w:rsidRDefault="00900F05" w:rsidP="00900F05">
      <w:pPr>
        <w:spacing w:after="0" w:line="360" w:lineRule="auto"/>
        <w:ind w:right="-431"/>
        <w:jc w:val="both"/>
        <w:rPr>
          <w:rFonts w:cstheme="minorHAnsi"/>
          <w:lang w:val="en-GB"/>
        </w:rPr>
      </w:pPr>
      <w:r w:rsidRPr="00EB5287">
        <w:rPr>
          <w:rFonts w:cstheme="minorHAnsi"/>
          <w:lang w:val="en-GB"/>
        </w:rPr>
        <w:t>Eveline L. de Zeeuw</w:t>
      </w:r>
      <w:r>
        <w:rPr>
          <w:rFonts w:cstheme="minorHAnsi"/>
          <w:vertAlign w:val="superscript"/>
          <w:lang w:val="en-GB"/>
        </w:rPr>
        <w:t>1</w:t>
      </w:r>
      <w:r w:rsidRPr="00EB5287"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Lykle</w:t>
      </w:r>
      <w:proofErr w:type="spellEnd"/>
      <w:r w:rsidRPr="00EB5287">
        <w:rPr>
          <w:rFonts w:cstheme="minorHAnsi"/>
          <w:lang w:val="en-GB"/>
        </w:rPr>
        <w:t xml:space="preserve"> Voort</w:t>
      </w:r>
      <w:r>
        <w:rPr>
          <w:rFonts w:cstheme="minorHAnsi"/>
          <w:vertAlign w:val="superscript"/>
          <w:lang w:val="en-GB"/>
        </w:rPr>
        <w:t>5</w:t>
      </w:r>
      <w:r w:rsidRPr="00EB5287"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Ruurd</w:t>
      </w:r>
      <w:proofErr w:type="spellEnd"/>
      <w:r w:rsidRPr="00EB5287">
        <w:rPr>
          <w:rFonts w:cstheme="minorHAnsi"/>
          <w:lang w:val="en-GB"/>
        </w:rPr>
        <w:t xml:space="preserve"> Schoonhoven</w:t>
      </w:r>
      <w:r>
        <w:rPr>
          <w:rFonts w:cstheme="minorHAnsi"/>
          <w:vertAlign w:val="superscript"/>
          <w:lang w:val="en-GB"/>
        </w:rPr>
        <w:t>5</w:t>
      </w:r>
      <w:r w:rsidRPr="00EB5287">
        <w:rPr>
          <w:rFonts w:cstheme="minorHAnsi"/>
          <w:lang w:val="en-GB"/>
        </w:rPr>
        <w:t xml:space="preserve">, </w:t>
      </w:r>
      <w:r>
        <w:rPr>
          <w:rFonts w:cstheme="minorHAnsi"/>
          <w:lang w:val="en-GB"/>
        </w:rPr>
        <w:t>Michel G</w:t>
      </w:r>
      <w:r w:rsidRPr="00EB5287">
        <w:rPr>
          <w:rFonts w:cstheme="minorHAnsi"/>
          <w:lang w:val="en-GB"/>
        </w:rPr>
        <w:t>. Nivard</w:t>
      </w:r>
      <w:r>
        <w:rPr>
          <w:rFonts w:cstheme="minorHAnsi"/>
          <w:vertAlign w:val="superscript"/>
          <w:lang w:val="en-GB"/>
        </w:rPr>
        <w:t>2,3</w:t>
      </w:r>
      <w:r w:rsidRPr="00EB5287">
        <w:rPr>
          <w:rFonts w:cstheme="minorHAnsi"/>
          <w:lang w:val="en-GB"/>
        </w:rPr>
        <w:t>,</w:t>
      </w:r>
      <w:r>
        <w:rPr>
          <w:rFonts w:cstheme="minorHAnsi"/>
          <w:lang w:val="en-GB"/>
        </w:rPr>
        <w:t xml:space="preserve"> Thomas Emery</w:t>
      </w:r>
      <w:r>
        <w:rPr>
          <w:rFonts w:cstheme="minorHAnsi"/>
          <w:vertAlign w:val="superscript"/>
          <w:lang w:val="en-GB"/>
        </w:rPr>
        <w:t>6</w:t>
      </w:r>
      <w:r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Jouke</w:t>
      </w:r>
      <w:proofErr w:type="spellEnd"/>
      <w:r w:rsidRPr="00EB5287">
        <w:rPr>
          <w:rFonts w:cstheme="minorHAnsi"/>
          <w:lang w:val="en-GB"/>
        </w:rPr>
        <w:t>-Jan Hottenga</w:t>
      </w:r>
      <w:r>
        <w:rPr>
          <w:rFonts w:cstheme="minorHAnsi"/>
          <w:vertAlign w:val="superscript"/>
          <w:lang w:val="en-GB"/>
        </w:rPr>
        <w:t>2</w:t>
      </w:r>
      <w:r w:rsidRPr="00EB5287"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Gonneke</w:t>
      </w:r>
      <w:proofErr w:type="spellEnd"/>
      <w:r w:rsidRPr="00EB5287">
        <w:rPr>
          <w:rFonts w:cstheme="minorHAnsi"/>
          <w:lang w:val="en-GB"/>
        </w:rPr>
        <w:t xml:space="preserve"> A.</w:t>
      </w:r>
      <w:r>
        <w:rPr>
          <w:rFonts w:cstheme="minorHAnsi"/>
          <w:lang w:val="en-GB"/>
        </w:rPr>
        <w:t xml:space="preserve"> </w:t>
      </w:r>
      <w:r w:rsidRPr="00EB5287">
        <w:rPr>
          <w:rFonts w:cstheme="minorHAnsi"/>
          <w:lang w:val="en-GB"/>
        </w:rPr>
        <w:t>H.</w:t>
      </w:r>
      <w:r>
        <w:rPr>
          <w:rFonts w:cstheme="minorHAnsi"/>
          <w:lang w:val="en-GB"/>
        </w:rPr>
        <w:t xml:space="preserve"> </w:t>
      </w:r>
      <w:r w:rsidRPr="00EB5287">
        <w:rPr>
          <w:rFonts w:cstheme="minorHAnsi"/>
          <w:lang w:val="en-GB"/>
        </w:rPr>
        <w:t>M. Willemsen</w:t>
      </w:r>
      <w:r>
        <w:rPr>
          <w:rFonts w:cstheme="minorHAnsi"/>
          <w:vertAlign w:val="superscript"/>
          <w:lang w:val="en-GB"/>
        </w:rPr>
        <w:t>2,3</w:t>
      </w:r>
      <w:r w:rsidRPr="00EB5287">
        <w:rPr>
          <w:rFonts w:cstheme="minorHAnsi"/>
          <w:lang w:val="en-GB"/>
        </w:rPr>
        <w:t xml:space="preserve">, </w:t>
      </w:r>
      <w:r>
        <w:rPr>
          <w:rFonts w:cstheme="minorHAnsi"/>
          <w:lang w:val="en-GB"/>
        </w:rPr>
        <w:t>Pearl A. Dykstra</w:t>
      </w:r>
      <w:r>
        <w:rPr>
          <w:rFonts w:cstheme="minorHAnsi"/>
          <w:vertAlign w:val="superscript"/>
          <w:lang w:val="en-GB"/>
        </w:rPr>
        <w:t>7</w:t>
      </w:r>
      <w:r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Narges</w:t>
      </w:r>
      <w:proofErr w:type="spellEnd"/>
      <w:r w:rsidRPr="00EB5287">
        <w:rPr>
          <w:rFonts w:cstheme="minorHAnsi"/>
          <w:lang w:val="en-GB"/>
        </w:rPr>
        <w:t xml:space="preserve"> Zarrabi</w:t>
      </w:r>
      <w:r>
        <w:rPr>
          <w:rFonts w:cstheme="minorHAnsi"/>
          <w:vertAlign w:val="superscript"/>
          <w:lang w:val="en-GB"/>
        </w:rPr>
        <w:t>4</w:t>
      </w:r>
      <w:r w:rsidRPr="00EB5287">
        <w:rPr>
          <w:rFonts w:cstheme="minorHAnsi"/>
          <w:lang w:val="en-GB"/>
        </w:rPr>
        <w:t>, John D. Kartopawiro</w:t>
      </w:r>
      <w:r>
        <w:rPr>
          <w:rFonts w:cstheme="minorHAnsi"/>
          <w:vertAlign w:val="superscript"/>
          <w:lang w:val="en-GB"/>
        </w:rPr>
        <w:t>5</w:t>
      </w:r>
      <w:r w:rsidRPr="00EB5287">
        <w:rPr>
          <w:rFonts w:cstheme="minorHAnsi"/>
          <w:lang w:val="en-GB"/>
        </w:rPr>
        <w:t xml:space="preserve">, </w:t>
      </w:r>
      <w:proofErr w:type="spellStart"/>
      <w:r w:rsidRPr="00EB5287">
        <w:rPr>
          <w:rFonts w:cstheme="minorHAnsi"/>
          <w:lang w:val="en-GB"/>
        </w:rPr>
        <w:t>Dorret</w:t>
      </w:r>
      <w:proofErr w:type="spellEnd"/>
      <w:r w:rsidRPr="00EB5287">
        <w:rPr>
          <w:rFonts w:cstheme="minorHAnsi"/>
          <w:lang w:val="en-GB"/>
        </w:rPr>
        <w:t xml:space="preserve"> I. Boomsma</w:t>
      </w:r>
      <w:r>
        <w:rPr>
          <w:rFonts w:cstheme="minorHAnsi"/>
          <w:vertAlign w:val="superscript"/>
          <w:lang w:val="en-GB"/>
        </w:rPr>
        <w:t>2,3,8</w:t>
      </w:r>
    </w:p>
    <w:p w:rsidR="00AE272C" w:rsidRDefault="00AE272C">
      <w:pPr>
        <w:rPr>
          <w:lang w:val="en-US"/>
        </w:rPr>
      </w:pPr>
      <w:r>
        <w:rPr>
          <w:lang w:val="en-US"/>
        </w:rPr>
        <w:br w:type="page"/>
      </w:r>
      <w:bookmarkStart w:id="0" w:name="_GoBack"/>
      <w:bookmarkEnd w:id="0"/>
    </w:p>
    <w:p w:rsidR="00AE272C" w:rsidRPr="00EB5287" w:rsidRDefault="00AE272C" w:rsidP="00AE272C">
      <w:pPr>
        <w:rPr>
          <w:b/>
          <w:lang w:val="en-GB"/>
        </w:rPr>
      </w:pPr>
      <w:r>
        <w:rPr>
          <w:b/>
          <w:lang w:val="en-GB"/>
        </w:rPr>
        <w:lastRenderedPageBreak/>
        <w:t>Fig</w:t>
      </w:r>
      <w:r>
        <w:rPr>
          <w:b/>
          <w:lang w:val="en-GB"/>
        </w:rPr>
        <w:t>ure S</w:t>
      </w:r>
      <w:r w:rsidRPr="00EB5287">
        <w:rPr>
          <w:b/>
          <w:lang w:val="en-GB"/>
        </w:rPr>
        <w:t>1</w:t>
      </w:r>
      <w:r>
        <w:rPr>
          <w:b/>
          <w:lang w:val="en-GB"/>
        </w:rPr>
        <w:t>.</w:t>
      </w:r>
      <w:r w:rsidRPr="00EB5287">
        <w:rPr>
          <w:b/>
          <w:lang w:val="en-GB"/>
        </w:rPr>
        <w:t xml:space="preserve"> </w:t>
      </w:r>
      <w:r w:rsidRPr="00E80B11">
        <w:rPr>
          <w:lang w:val="en-GB"/>
        </w:rPr>
        <w:t>Architecture of the ODISSEI Secure Supercomputer (OSSC)</w:t>
      </w:r>
    </w:p>
    <w:p w:rsidR="00AE272C" w:rsidRDefault="00AE272C" w:rsidP="00AE272C">
      <w:pPr>
        <w:spacing w:after="0" w:line="480" w:lineRule="auto"/>
        <w:jc w:val="both"/>
        <w:rPr>
          <w:b/>
          <w:lang w:val="en-GB"/>
        </w:rPr>
      </w:pPr>
      <w:r>
        <w:rPr>
          <w:b/>
          <w:noProof/>
          <w:lang w:eastAsia="en-AU"/>
        </w:rPr>
        <w:drawing>
          <wp:inline distT="0" distB="0" distL="0" distR="0" wp14:anchorId="0ED40EB3" wp14:editId="7844977B">
            <wp:extent cx="5731510" cy="405257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72C" w:rsidRDefault="00AE272C">
      <w:pPr>
        <w:rPr>
          <w:lang w:val="en-US"/>
        </w:rPr>
      </w:pPr>
    </w:p>
    <w:p w:rsidR="00AE272C" w:rsidRDefault="00AE272C">
      <w:pPr>
        <w:rPr>
          <w:lang w:val="en-US"/>
        </w:rPr>
      </w:pPr>
    </w:p>
    <w:p w:rsidR="00584CE6" w:rsidRDefault="00584CE6">
      <w:pPr>
        <w:rPr>
          <w:lang w:val="en-US"/>
        </w:rPr>
      </w:pPr>
      <w:r>
        <w:rPr>
          <w:lang w:val="en-US"/>
        </w:rPr>
        <w:br w:type="page"/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>
        <w:rPr>
          <w:b/>
          <w:lang w:val="en-US"/>
        </w:rPr>
        <w:t>Figure S</w:t>
      </w:r>
      <w:r w:rsidR="00AE272C">
        <w:rPr>
          <w:b/>
          <w:lang w:val="en-US"/>
        </w:rPr>
        <w:t>2.</w:t>
      </w:r>
      <w:r>
        <w:rPr>
          <w:b/>
          <w:lang w:val="en-US"/>
        </w:rPr>
        <w:t xml:space="preserve"> </w:t>
      </w:r>
      <w:r w:rsidRPr="00AE272C">
        <w:rPr>
          <w:lang w:val="en-US"/>
        </w:rPr>
        <w:t>Histogram of health care expenditure for (A) mental health care, (B) medication, (C) primary care and (D) hospital care</w:t>
      </w:r>
    </w:p>
    <w:p w:rsidR="00584CE6" w:rsidRDefault="00584CE6" w:rsidP="00584CE6">
      <w:pPr>
        <w:spacing w:after="0" w:line="480" w:lineRule="auto"/>
        <w:rPr>
          <w:b/>
          <w:i/>
          <w:lang w:val="en-US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71AEBDA3" wp14:editId="57ADFAD8">
            <wp:simplePos x="0" y="0"/>
            <wp:positionH relativeFrom="column">
              <wp:posOffset>3295650</wp:posOffset>
            </wp:positionH>
            <wp:positionV relativeFrom="paragraph">
              <wp:posOffset>165735</wp:posOffset>
            </wp:positionV>
            <wp:extent cx="2743200" cy="2743200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526_0500_20200525 Histogram plot - Medication costs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487D0836" wp14:editId="7FB0CDFD">
            <wp:simplePos x="0" y="0"/>
            <wp:positionH relativeFrom="column">
              <wp:posOffset>47625</wp:posOffset>
            </wp:positionH>
            <wp:positionV relativeFrom="paragraph">
              <wp:posOffset>165735</wp:posOffset>
            </wp:positionV>
            <wp:extent cx="2743200" cy="27432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526_0500_20200525 Histogram plot - Mental health care costs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lang w:val="en-US"/>
        </w:rPr>
        <w:t>A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 xml:space="preserve">B 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CDB62F7" wp14:editId="4770618A">
            <wp:simplePos x="0" y="0"/>
            <wp:positionH relativeFrom="column">
              <wp:posOffset>3343275</wp:posOffset>
            </wp:positionH>
            <wp:positionV relativeFrom="paragraph">
              <wp:posOffset>180340</wp:posOffset>
            </wp:positionV>
            <wp:extent cx="2743200" cy="2743200"/>
            <wp:effectExtent l="0" t="0" r="0" b="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526_0500_20200525 Histogram plot - Hospital care cost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3D5AD3BC" wp14:editId="60799CA6">
            <wp:simplePos x="0" y="0"/>
            <wp:positionH relativeFrom="column">
              <wp:posOffset>47625</wp:posOffset>
            </wp:positionH>
            <wp:positionV relativeFrom="paragraph">
              <wp:posOffset>180340</wp:posOffset>
            </wp:positionV>
            <wp:extent cx="2743200" cy="2743200"/>
            <wp:effectExtent l="0" t="0" r="0" b="0"/>
            <wp:wrapNone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526_0500_20200525 Histogram plot - Primary care costs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E6" w:rsidRPr="00DA56F0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lang w:val="en-US"/>
        </w:rPr>
        <w:t>C</w:t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  <w:lang w:val="en-US"/>
        </w:rPr>
        <w:tab/>
        <w:t>D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EF74D2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AE272C">
        <w:rPr>
          <w:b/>
          <w:lang w:val="en-US"/>
        </w:rPr>
        <w:t>3.</w:t>
      </w:r>
      <w:r w:rsidRPr="00EF74D2">
        <w:rPr>
          <w:b/>
          <w:lang w:val="en-US"/>
        </w:rPr>
        <w:t xml:space="preserve"> </w:t>
      </w:r>
      <w:r w:rsidRPr="00AE272C">
        <w:rPr>
          <w:lang w:val="en-US"/>
        </w:rPr>
        <w:t>(A) Q-Q plot and (B) Manhattan plot of P-values of the genome-wide association analysis for mental health care expenditure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 w:rsidRPr="009D5022">
        <w:rPr>
          <w:b/>
          <w:lang w:val="en-US"/>
        </w:rPr>
        <w:t>A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noProof/>
          <w:lang w:eastAsia="en-AU"/>
        </w:rPr>
        <w:drawing>
          <wp:inline distT="0" distB="0" distL="0" distR="0" wp14:anchorId="347B85D7" wp14:editId="01CA546A">
            <wp:extent cx="2286000" cy="2286000"/>
            <wp:effectExtent l="0" t="0" r="0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6 QQ plot - Mental health care costs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9D5022" w:rsidRDefault="00584CE6" w:rsidP="00584CE6">
      <w:pPr>
        <w:spacing w:after="0" w:line="480" w:lineRule="auto"/>
        <w:rPr>
          <w:b/>
          <w:noProof/>
          <w:lang w:val="en-US"/>
        </w:rPr>
      </w:pPr>
      <w:r w:rsidRPr="009D5022">
        <w:rPr>
          <w:b/>
          <w:noProof/>
          <w:lang w:val="en-US"/>
        </w:rPr>
        <w:t>B</w:t>
      </w:r>
    </w:p>
    <w:p w:rsidR="00584CE6" w:rsidRPr="004C2FFA" w:rsidRDefault="00584CE6" w:rsidP="00584CE6">
      <w:pPr>
        <w:spacing w:after="0" w:line="480" w:lineRule="auto"/>
        <w:rPr>
          <w:b/>
          <w:i/>
          <w:lang w:val="en-US"/>
        </w:rPr>
      </w:pPr>
      <w:r>
        <w:rPr>
          <w:b/>
          <w:noProof/>
          <w:lang w:eastAsia="en-AU"/>
        </w:rPr>
        <w:drawing>
          <wp:inline distT="0" distB="0" distL="0" distR="0" wp14:anchorId="4A1508AD" wp14:editId="23FAA819">
            <wp:extent cx="5943600" cy="3566160"/>
            <wp:effectExtent l="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6 Manhattan plot - Mental health care costs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FFA">
        <w:rPr>
          <w:b/>
          <w:sz w:val="16"/>
          <w:szCs w:val="16"/>
          <w:lang w:val="en-US"/>
        </w:rPr>
        <w:t>Note</w:t>
      </w:r>
      <w:r w:rsidR="00AE272C">
        <w:rPr>
          <w:b/>
          <w:sz w:val="16"/>
          <w:szCs w:val="16"/>
          <w:lang w:val="en-US"/>
        </w:rPr>
        <w:t>.</w:t>
      </w:r>
      <w:r w:rsidRPr="009D5022">
        <w:rPr>
          <w:sz w:val="16"/>
          <w:szCs w:val="16"/>
          <w:lang w:val="en-US"/>
        </w:rPr>
        <w:t xml:space="preserve"> The top line is the genome-wide significance threshold (p &lt; 5x10</w:t>
      </w:r>
      <w:r w:rsidRPr="009D5022">
        <w:rPr>
          <w:sz w:val="16"/>
          <w:szCs w:val="16"/>
          <w:vertAlign w:val="superscript"/>
          <w:lang w:val="en-US"/>
        </w:rPr>
        <w:t>-8</w:t>
      </w:r>
      <w:r w:rsidRPr="009D5022">
        <w:rPr>
          <w:sz w:val="16"/>
          <w:szCs w:val="16"/>
          <w:lang w:val="en-US"/>
        </w:rPr>
        <w:t>) and the bottom line indicates the threshold for suggestive significance (p &lt; 1x10</w:t>
      </w:r>
      <w:r w:rsidRPr="009D5022">
        <w:rPr>
          <w:sz w:val="16"/>
          <w:szCs w:val="16"/>
          <w:vertAlign w:val="superscript"/>
          <w:lang w:val="en-US"/>
        </w:rPr>
        <w:t>-5</w:t>
      </w:r>
      <w:r w:rsidRPr="009D5022">
        <w:rPr>
          <w:sz w:val="16"/>
          <w:szCs w:val="16"/>
          <w:lang w:val="en-US"/>
        </w:rPr>
        <w:t>)</w:t>
      </w:r>
    </w:p>
    <w:p w:rsidR="00584CE6" w:rsidRDefault="00584CE6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EF74D2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AE272C">
        <w:rPr>
          <w:b/>
          <w:lang w:val="en-US"/>
        </w:rPr>
        <w:t>4.</w:t>
      </w:r>
      <w:r w:rsidRPr="00EF74D2">
        <w:rPr>
          <w:b/>
          <w:lang w:val="en-US"/>
        </w:rPr>
        <w:t xml:space="preserve"> </w:t>
      </w:r>
      <w:r w:rsidRPr="00AE272C">
        <w:rPr>
          <w:lang w:val="en-US"/>
        </w:rPr>
        <w:t>(A) Q-Q plot and (B) Manhattan plot of P-values of the genome-wide association analysis for medication expenditure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 w:rsidRPr="009D5022">
        <w:rPr>
          <w:b/>
          <w:lang w:val="en-US"/>
        </w:rPr>
        <w:t>A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noProof/>
          <w:lang w:eastAsia="en-AU"/>
        </w:rPr>
        <w:drawing>
          <wp:inline distT="0" distB="0" distL="0" distR="0" wp14:anchorId="620F89FE" wp14:editId="092DB6FC">
            <wp:extent cx="2286000" cy="2286000"/>
            <wp:effectExtent l="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26 QQ plot - Medication costs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9D5022" w:rsidRDefault="00584CE6" w:rsidP="00584CE6">
      <w:pPr>
        <w:spacing w:after="0" w:line="480" w:lineRule="auto"/>
        <w:rPr>
          <w:b/>
          <w:noProof/>
          <w:lang w:val="en-US"/>
        </w:rPr>
      </w:pPr>
      <w:r w:rsidRPr="009D5022">
        <w:rPr>
          <w:b/>
          <w:noProof/>
          <w:lang w:val="en-US"/>
        </w:rPr>
        <w:t>B</w:t>
      </w:r>
    </w:p>
    <w:p w:rsidR="00584CE6" w:rsidRDefault="00584CE6" w:rsidP="00584CE6">
      <w:pPr>
        <w:spacing w:after="0" w:line="480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39D18FA1" wp14:editId="377FE22A">
            <wp:extent cx="5943600" cy="3566160"/>
            <wp:effectExtent l="0" t="0" r="0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26 Manhattan plot - Medication costs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Default="00584CE6" w:rsidP="00584CE6">
      <w:pPr>
        <w:spacing w:after="0" w:line="480" w:lineRule="auto"/>
        <w:rPr>
          <w:sz w:val="16"/>
          <w:szCs w:val="16"/>
          <w:lang w:val="en-US"/>
        </w:rPr>
      </w:pPr>
      <w:r w:rsidRPr="004C2FFA">
        <w:rPr>
          <w:b/>
          <w:sz w:val="16"/>
          <w:szCs w:val="16"/>
          <w:lang w:val="en-US"/>
        </w:rPr>
        <w:t>Note</w:t>
      </w:r>
      <w:r w:rsidR="00AE272C">
        <w:rPr>
          <w:b/>
          <w:sz w:val="16"/>
          <w:szCs w:val="16"/>
          <w:lang w:val="en-US"/>
        </w:rPr>
        <w:t>.</w:t>
      </w:r>
      <w:r w:rsidRPr="009D5022">
        <w:rPr>
          <w:sz w:val="16"/>
          <w:szCs w:val="16"/>
          <w:lang w:val="en-US"/>
        </w:rPr>
        <w:t xml:space="preserve"> The top line is the genome-wide significance threshold (p &lt; 5x10</w:t>
      </w:r>
      <w:r w:rsidRPr="009D5022">
        <w:rPr>
          <w:sz w:val="16"/>
          <w:szCs w:val="16"/>
          <w:vertAlign w:val="superscript"/>
          <w:lang w:val="en-US"/>
        </w:rPr>
        <w:t>-8</w:t>
      </w:r>
      <w:r w:rsidRPr="009D5022">
        <w:rPr>
          <w:sz w:val="16"/>
          <w:szCs w:val="16"/>
          <w:lang w:val="en-US"/>
        </w:rPr>
        <w:t>) and the bottom line indicates the threshold for suggestive significance (p &lt; 1x10</w:t>
      </w:r>
      <w:r w:rsidRPr="009D5022">
        <w:rPr>
          <w:sz w:val="16"/>
          <w:szCs w:val="16"/>
          <w:vertAlign w:val="superscript"/>
          <w:lang w:val="en-US"/>
        </w:rPr>
        <w:t>-5</w:t>
      </w:r>
      <w:r w:rsidRPr="009D5022">
        <w:rPr>
          <w:sz w:val="16"/>
          <w:szCs w:val="16"/>
          <w:lang w:val="en-US"/>
        </w:rPr>
        <w:t>)</w:t>
      </w:r>
    </w:p>
    <w:p w:rsidR="00584CE6" w:rsidRDefault="00584CE6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br w:type="page"/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EF74D2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AE272C">
        <w:rPr>
          <w:b/>
          <w:lang w:val="en-US"/>
        </w:rPr>
        <w:t>5.</w:t>
      </w:r>
      <w:r w:rsidRPr="00EF74D2">
        <w:rPr>
          <w:b/>
          <w:lang w:val="en-US"/>
        </w:rPr>
        <w:t xml:space="preserve"> </w:t>
      </w:r>
      <w:r w:rsidRPr="00AE272C">
        <w:rPr>
          <w:lang w:val="en-US"/>
        </w:rPr>
        <w:t>(A) Q-Q plot and (B) Manhattan plot of P-values of the genome-wide association analysis for primary care expenditure</w:t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AE272C">
        <w:rPr>
          <w:lang w:val="en-US"/>
        </w:rPr>
        <w:t>A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noProof/>
          <w:lang w:eastAsia="en-AU"/>
        </w:rPr>
        <w:drawing>
          <wp:inline distT="0" distB="0" distL="0" distR="0" wp14:anchorId="40143475" wp14:editId="622D461E">
            <wp:extent cx="2286000" cy="2286000"/>
            <wp:effectExtent l="0" t="0" r="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26 QQ plot - Primary care costs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9D5022" w:rsidRDefault="00584CE6" w:rsidP="00584CE6">
      <w:pPr>
        <w:spacing w:after="0" w:line="480" w:lineRule="auto"/>
        <w:rPr>
          <w:b/>
          <w:noProof/>
          <w:lang w:val="en-US"/>
        </w:rPr>
      </w:pPr>
      <w:r w:rsidRPr="009D5022">
        <w:rPr>
          <w:b/>
          <w:noProof/>
          <w:lang w:val="en-US"/>
        </w:rPr>
        <w:t>B</w:t>
      </w:r>
    </w:p>
    <w:p w:rsidR="00584CE6" w:rsidRDefault="00584CE6" w:rsidP="00584CE6">
      <w:pPr>
        <w:spacing w:after="0" w:line="480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7DE7D006" wp14:editId="4124824C">
            <wp:extent cx="5943600" cy="3566160"/>
            <wp:effectExtent l="0" t="0" r="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26 Manhattan plot - Primary care costs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4C2FFA" w:rsidRDefault="00584CE6" w:rsidP="00584CE6">
      <w:pPr>
        <w:spacing w:after="0" w:line="480" w:lineRule="auto"/>
        <w:rPr>
          <w:lang w:val="en-US"/>
        </w:rPr>
      </w:pPr>
      <w:r w:rsidRPr="004C2FFA">
        <w:rPr>
          <w:b/>
          <w:sz w:val="16"/>
          <w:szCs w:val="16"/>
          <w:lang w:val="en-US"/>
        </w:rPr>
        <w:t>Note</w:t>
      </w:r>
      <w:r w:rsidR="00AE272C">
        <w:rPr>
          <w:b/>
          <w:sz w:val="16"/>
          <w:szCs w:val="16"/>
          <w:lang w:val="en-US"/>
        </w:rPr>
        <w:t>.</w:t>
      </w:r>
      <w:r w:rsidRPr="009D5022">
        <w:rPr>
          <w:sz w:val="16"/>
          <w:szCs w:val="16"/>
          <w:lang w:val="en-US"/>
        </w:rPr>
        <w:t xml:space="preserve"> The top line is the genome-wide significance threshold (p &lt; 5x10</w:t>
      </w:r>
      <w:r w:rsidRPr="009D5022">
        <w:rPr>
          <w:sz w:val="16"/>
          <w:szCs w:val="16"/>
          <w:vertAlign w:val="superscript"/>
          <w:lang w:val="en-US"/>
        </w:rPr>
        <w:t>-8</w:t>
      </w:r>
      <w:r w:rsidRPr="009D5022">
        <w:rPr>
          <w:sz w:val="16"/>
          <w:szCs w:val="16"/>
          <w:lang w:val="en-US"/>
        </w:rPr>
        <w:t>) and the bottom line indicates the threshold for suggestive significance (p &lt; 1x10</w:t>
      </w:r>
      <w:r w:rsidRPr="009D5022">
        <w:rPr>
          <w:sz w:val="16"/>
          <w:szCs w:val="16"/>
          <w:vertAlign w:val="superscript"/>
          <w:lang w:val="en-US"/>
        </w:rPr>
        <w:t>-5</w:t>
      </w:r>
      <w:r w:rsidRPr="009D5022">
        <w:rPr>
          <w:sz w:val="16"/>
          <w:szCs w:val="16"/>
          <w:lang w:val="en-US"/>
        </w:rPr>
        <w:t>)</w:t>
      </w:r>
    </w:p>
    <w:p w:rsidR="00584CE6" w:rsidRDefault="00584CE6">
      <w:pPr>
        <w:rPr>
          <w:lang w:val="en-US"/>
        </w:rPr>
      </w:pPr>
      <w:r>
        <w:rPr>
          <w:lang w:val="en-US"/>
        </w:rPr>
        <w:br w:type="page"/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EF74D2">
        <w:rPr>
          <w:b/>
          <w:lang w:val="en-US"/>
        </w:rPr>
        <w:t xml:space="preserve">Figure </w:t>
      </w:r>
      <w:r>
        <w:rPr>
          <w:b/>
          <w:lang w:val="en-US"/>
        </w:rPr>
        <w:t>S</w:t>
      </w:r>
      <w:r w:rsidR="00AE272C">
        <w:rPr>
          <w:b/>
          <w:lang w:val="en-US"/>
        </w:rPr>
        <w:t>6.</w:t>
      </w:r>
      <w:r w:rsidRPr="00EF74D2">
        <w:rPr>
          <w:b/>
          <w:lang w:val="en-US"/>
        </w:rPr>
        <w:t xml:space="preserve"> </w:t>
      </w:r>
      <w:r w:rsidRPr="00AE272C">
        <w:rPr>
          <w:lang w:val="en-US"/>
        </w:rPr>
        <w:t>(A) Q-Q plot and (B) Manhattan plot of P-values of the genome-wide association analysis for hospital care expenditure</w:t>
      </w:r>
    </w:p>
    <w:p w:rsidR="00584CE6" w:rsidRPr="00AE272C" w:rsidRDefault="00584CE6" w:rsidP="00584CE6">
      <w:pPr>
        <w:spacing w:after="0" w:line="480" w:lineRule="auto"/>
        <w:rPr>
          <w:lang w:val="en-US"/>
        </w:rPr>
      </w:pPr>
      <w:r w:rsidRPr="00AE272C">
        <w:rPr>
          <w:lang w:val="en-US"/>
        </w:rPr>
        <w:t>A</w:t>
      </w:r>
    </w:p>
    <w:p w:rsidR="00584CE6" w:rsidRDefault="00584CE6" w:rsidP="00584CE6">
      <w:pPr>
        <w:spacing w:after="0" w:line="480" w:lineRule="auto"/>
        <w:rPr>
          <w:b/>
          <w:lang w:val="en-US"/>
        </w:rPr>
      </w:pPr>
      <w:r>
        <w:rPr>
          <w:b/>
          <w:noProof/>
          <w:lang w:eastAsia="en-AU"/>
        </w:rPr>
        <w:drawing>
          <wp:inline distT="0" distB="0" distL="0" distR="0" wp14:anchorId="30A76ADD" wp14:editId="21BB5E2E">
            <wp:extent cx="2286000" cy="2286000"/>
            <wp:effectExtent l="0" t="0" r="0" b="0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26 QQ plot - Hospital care costs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9D5022" w:rsidRDefault="00584CE6" w:rsidP="00584CE6">
      <w:pPr>
        <w:spacing w:after="0" w:line="480" w:lineRule="auto"/>
        <w:rPr>
          <w:b/>
          <w:noProof/>
          <w:lang w:val="en-US"/>
        </w:rPr>
      </w:pPr>
      <w:r w:rsidRPr="009D5022">
        <w:rPr>
          <w:b/>
          <w:noProof/>
          <w:lang w:val="en-US"/>
        </w:rPr>
        <w:t>B</w:t>
      </w:r>
    </w:p>
    <w:p w:rsidR="00584CE6" w:rsidRDefault="00584CE6" w:rsidP="00584CE6">
      <w:pPr>
        <w:spacing w:after="0" w:line="480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2C18BF89" wp14:editId="4C78C6C8">
            <wp:extent cx="5943600" cy="3566160"/>
            <wp:effectExtent l="0" t="0" r="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26 Manhattan plot - Hospital care costs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E6" w:rsidRPr="004C2FFA" w:rsidRDefault="00584CE6" w:rsidP="00584CE6">
      <w:pPr>
        <w:spacing w:after="0" w:line="480" w:lineRule="auto"/>
        <w:rPr>
          <w:lang w:val="en-US"/>
        </w:rPr>
      </w:pPr>
      <w:r w:rsidRPr="004C2FFA">
        <w:rPr>
          <w:b/>
          <w:sz w:val="16"/>
          <w:szCs w:val="16"/>
          <w:lang w:val="en-US"/>
        </w:rPr>
        <w:t>Note</w:t>
      </w:r>
      <w:r w:rsidR="00AE272C">
        <w:rPr>
          <w:b/>
          <w:sz w:val="16"/>
          <w:szCs w:val="16"/>
          <w:lang w:val="en-US"/>
        </w:rPr>
        <w:t>.</w:t>
      </w:r>
      <w:r w:rsidRPr="009D5022">
        <w:rPr>
          <w:sz w:val="16"/>
          <w:szCs w:val="16"/>
          <w:lang w:val="en-US"/>
        </w:rPr>
        <w:t xml:space="preserve"> The top line is the genome-wide significance threshold (p &lt; 5x10</w:t>
      </w:r>
      <w:r w:rsidRPr="009D5022">
        <w:rPr>
          <w:sz w:val="16"/>
          <w:szCs w:val="16"/>
          <w:vertAlign w:val="superscript"/>
          <w:lang w:val="en-US"/>
        </w:rPr>
        <w:t>-8</w:t>
      </w:r>
      <w:r w:rsidRPr="009D5022">
        <w:rPr>
          <w:sz w:val="16"/>
          <w:szCs w:val="16"/>
          <w:lang w:val="en-US"/>
        </w:rPr>
        <w:t>) and the bottom line indicates the threshold for suggestive significance (p &lt; 1x10</w:t>
      </w:r>
      <w:r w:rsidRPr="009D5022">
        <w:rPr>
          <w:sz w:val="16"/>
          <w:szCs w:val="16"/>
          <w:vertAlign w:val="superscript"/>
          <w:lang w:val="en-US"/>
        </w:rPr>
        <w:t>-5</w:t>
      </w:r>
      <w:r w:rsidRPr="009D5022">
        <w:rPr>
          <w:sz w:val="16"/>
          <w:szCs w:val="16"/>
          <w:lang w:val="en-US"/>
        </w:rPr>
        <w:t>)</w:t>
      </w:r>
    </w:p>
    <w:p w:rsidR="00584CE6" w:rsidRPr="004C2FFA" w:rsidRDefault="00584CE6" w:rsidP="00584CE6">
      <w:pPr>
        <w:spacing w:after="0" w:line="480" w:lineRule="auto"/>
        <w:rPr>
          <w:lang w:val="en-US"/>
        </w:rPr>
      </w:pPr>
    </w:p>
    <w:p w:rsidR="00900F05" w:rsidRPr="00900F05" w:rsidRDefault="00900F05">
      <w:pPr>
        <w:rPr>
          <w:lang w:val="en-US"/>
        </w:rPr>
      </w:pPr>
    </w:p>
    <w:sectPr w:rsidR="00900F05" w:rsidRPr="00900F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F05"/>
    <w:rsid w:val="00584CE6"/>
    <w:rsid w:val="00900F05"/>
    <w:rsid w:val="00AE272C"/>
    <w:rsid w:val="00DF2CAF"/>
    <w:rsid w:val="00F3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F4E37"/>
  <w15:chartTrackingRefBased/>
  <w15:docId w15:val="{0B494E71-4251-405F-A72A-C3DA9E1D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QIMR Berghofer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Martin</dc:creator>
  <cp:keywords/>
  <dc:description/>
  <cp:lastModifiedBy>N Martin</cp:lastModifiedBy>
  <cp:revision>3</cp:revision>
  <dcterms:created xsi:type="dcterms:W3CDTF">2021-03-31T00:32:00Z</dcterms:created>
  <dcterms:modified xsi:type="dcterms:W3CDTF">2021-04-13T01:38:00Z</dcterms:modified>
</cp:coreProperties>
</file>