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DF" w:rsidRPr="00981686" w:rsidRDefault="00842ADF" w:rsidP="00842ADF">
      <w:pPr>
        <w:widowControl w:val="0"/>
        <w:spacing w:after="200"/>
        <w:jc w:val="both"/>
      </w:pPr>
      <w:r>
        <w:t>Twin Research and Human Genetics</w:t>
      </w:r>
    </w:p>
    <w:p w:rsidR="00842ADF" w:rsidRDefault="00842ADF" w:rsidP="00842ADF">
      <w:pPr>
        <w:spacing w:after="200"/>
        <w:jc w:val="both"/>
      </w:pPr>
      <w:r w:rsidRPr="00981686">
        <w:t>SUPPLEMENTARY MATERIALS</w:t>
      </w:r>
    </w:p>
    <w:p w:rsidR="00842ADF" w:rsidRDefault="00842ADF" w:rsidP="00842ADF">
      <w:pPr>
        <w:spacing w:after="200"/>
        <w:jc w:val="both"/>
      </w:pPr>
    </w:p>
    <w:p w:rsidR="00842ADF" w:rsidRPr="00842ADF" w:rsidRDefault="00842ADF" w:rsidP="00842ADF">
      <w:pPr>
        <w:spacing w:after="200"/>
        <w:rPr>
          <w:b/>
          <w:sz w:val="24"/>
          <w:szCs w:val="24"/>
          <w:highlight w:val="yellow"/>
        </w:rPr>
      </w:pPr>
      <w:r w:rsidRPr="00842ADF">
        <w:rPr>
          <w:b/>
          <w:sz w:val="24"/>
          <w:szCs w:val="24"/>
        </w:rPr>
        <w:t>Genetic Susceptibility to Pneumonia: A GWAS Meta-Analysis Between the UK Biobank and FinnGen</w:t>
      </w:r>
    </w:p>
    <w:p w:rsidR="00842ADF" w:rsidRDefault="00842ADF" w:rsidP="00842ADF">
      <w:pPr>
        <w:spacing w:after="200"/>
      </w:pPr>
      <w:r w:rsidRPr="00981686">
        <w:t>Adrian I. Campos, Pik Fang Kho, Karla X. Vazquez-Prada, Luis M. García-Marín, Nicholas G. Martin, Gabriel Cuéllar-Partida, Miguel E. Rentería</w:t>
      </w:r>
    </w:p>
    <w:p w:rsidR="00842ADF" w:rsidRPr="00981686" w:rsidRDefault="00842ADF" w:rsidP="00842ADF">
      <w:pPr>
        <w:spacing w:after="160" w:line="259" w:lineRule="auto"/>
      </w:pPr>
      <w:r>
        <w:br w:type="page"/>
      </w:r>
    </w:p>
    <w:tbl>
      <w:tblPr>
        <w:tblW w:w="8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140"/>
      </w:tblGrid>
      <w:tr w:rsidR="00842ADF" w:rsidRPr="00981686" w:rsidTr="00D04D52">
        <w:tc>
          <w:tcPr>
            <w:tcW w:w="8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lastRenderedPageBreak/>
              <w:t>Supplementary Table 1. ICD-10 codes for pneumonia in UK Biobank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Code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Description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B012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Varicella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J100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Influenza with pneumonia, influenza virus identified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J111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Influenza with pneumonia, virus not identified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Adenoviral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Respiratory syncytial virus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J122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Parainfluenza virus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J123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Human metapneumovirus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J128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Other viral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J129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Viral pneumonia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J13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Streptococcus pneumoniae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J14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Haemophilus influenzae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Klebsiella pneumoniae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Pseudomonas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J152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staphylococcus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J153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streptococcus, group B01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J154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other streptococci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J155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Escherichia coli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J156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other aerobic Gram-negative bacteria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J157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Mycoplasma pneumoniae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J158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Other bacterial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J159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Bacterial pneumonia,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J16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other infectious organisms, not elsewhere classified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J160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Chlamydial pneumonia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J168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due to other specified infectious organisms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J170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in bacterial diseases classified elsewhere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J171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in viral diseases classified elsewhere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J172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in mycoses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J173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in parasitic diseases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J178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 in other diseases classified elsewhere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J180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Bronchopneumonia,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J181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Lobar pneumonia,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J182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Hypostatic pneumonia,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J188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Other pneumonia, organism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J189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Pneumonia, unspecified</w:t>
            </w:r>
          </w:p>
        </w:tc>
      </w:tr>
      <w:tr w:rsidR="00842ADF" w:rsidRPr="00981686" w:rsidTr="00D04D52"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J851</w:t>
            </w:r>
          </w:p>
        </w:tc>
        <w:tc>
          <w:tcPr>
            <w:tcW w:w="7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2ADF" w:rsidRPr="00981686" w:rsidRDefault="00842ADF" w:rsidP="00842ADF">
            <w:pPr>
              <w:widowControl w:val="0"/>
              <w:spacing w:after="200" w:line="240" w:lineRule="auto"/>
            </w:pPr>
            <w:r w:rsidRPr="00981686">
              <w:t>Abscess of lung with pneumonia</w:t>
            </w:r>
          </w:p>
        </w:tc>
      </w:tr>
    </w:tbl>
    <w:p w:rsidR="00842ADF" w:rsidRPr="00981686" w:rsidRDefault="00842ADF" w:rsidP="00842ADF">
      <w:pPr>
        <w:widowControl w:val="0"/>
        <w:spacing w:after="200"/>
        <w:jc w:val="both"/>
      </w:pPr>
      <w:r w:rsidRPr="00981686">
        <w:br w:type="page"/>
      </w:r>
    </w:p>
    <w:p w:rsidR="00842ADF" w:rsidRPr="00981686" w:rsidRDefault="00842ADF" w:rsidP="00842ADF">
      <w:pPr>
        <w:widowControl w:val="0"/>
        <w:spacing w:after="200"/>
        <w:jc w:val="both"/>
      </w:pPr>
    </w:p>
    <w:tbl>
      <w:tblPr>
        <w:tblW w:w="8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675"/>
        <w:gridCol w:w="1305"/>
        <w:gridCol w:w="1170"/>
        <w:gridCol w:w="1125"/>
        <w:gridCol w:w="1275"/>
        <w:gridCol w:w="1455"/>
      </w:tblGrid>
      <w:tr w:rsidR="00842ADF" w:rsidRPr="00981686" w:rsidTr="00D04D52">
        <w:trPr>
          <w:trHeight w:val="300"/>
        </w:trPr>
        <w:tc>
          <w:tcPr>
            <w:tcW w:w="82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B727CD">
            <w:pPr>
              <w:widowControl w:val="0"/>
            </w:pPr>
            <w:r w:rsidRPr="00981686">
              <w:t xml:space="preserve">Supplementary Table </w:t>
            </w:r>
            <w:r w:rsidR="00B727CD">
              <w:t>2</w:t>
            </w:r>
            <w:r w:rsidRPr="00981686">
              <w:t>. Genes identified by fastBAT analysis</w:t>
            </w:r>
          </w:p>
        </w:tc>
      </w:tr>
      <w:tr w:rsidR="00842ADF" w:rsidRPr="00981686" w:rsidTr="00D04D52">
        <w:trPr>
          <w:trHeight w:val="855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Gene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CHR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Start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End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No_SNPs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Pvalue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 adj smoking phenotypes*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MAPKAP1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9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128199672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128469513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185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2.56E-05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0.0024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PBX3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9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128509616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128729655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147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2.20E-05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0.00032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ADAMTS7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79051544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79103773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1.62E-05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0.68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CHRNA3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78885394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78913637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84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4.00E-09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0.5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CHRNA5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78857861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78887611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3.41E-09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0.57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CHRNB4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78916635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78933587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83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6.94E-09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0.43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HYKK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78799905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78829715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1.68E-09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0.43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IREB2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78730517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78793798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97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9.80E-09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0.53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LOC646938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79044378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79045734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117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9.49E-06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0.43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PSMA4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78832746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78841563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58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4.57E-10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0.33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APOBR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28505969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28510291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45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1.82E-05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0.00038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CLN3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28477973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28503623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43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1.56E-05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0.0003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EIF3C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28390902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28437775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3.54E-06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0.000045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EIF3CL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28390899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28415162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8.09E-06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0.00011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IL27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28510682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28518155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51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2.59E-05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0.00052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MIR6862-1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28402302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28402372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6.76E-06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0.00011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MIR6862-2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28402302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28402372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6.76E-06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0.00011</w:t>
            </w:r>
          </w:p>
        </w:tc>
      </w:tr>
      <w:tr w:rsidR="00842ADF" w:rsidRPr="00981686" w:rsidTr="00D04D52">
        <w:trPr>
          <w:trHeight w:val="300"/>
        </w:trPr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NPIPB6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16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28353838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28374181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40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2.60E-05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0.00075</w:t>
            </w:r>
          </w:p>
        </w:tc>
      </w:tr>
      <w:tr w:rsidR="00842ADF" w:rsidRPr="00981686" w:rsidTr="00D04D52">
        <w:trPr>
          <w:trHeight w:val="540"/>
        </w:trPr>
        <w:tc>
          <w:tcPr>
            <w:tcW w:w="8280" w:type="dxa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Showing significant (FDR&lt;0.05) results for fastBAST gene-based association analysis for pneumonia meta-analysis. *P values for sensitivity gene based test on the pneumonia gwas conditioned on smoking history and cigarettes per day adjusted for multiple testing (bonferroni correction for 18 comparisons)</w:t>
            </w:r>
          </w:p>
        </w:tc>
      </w:tr>
    </w:tbl>
    <w:p w:rsidR="00842ADF" w:rsidRPr="00981686" w:rsidRDefault="00842ADF" w:rsidP="00842ADF">
      <w:pPr>
        <w:widowControl w:val="0"/>
        <w:spacing w:after="200"/>
        <w:jc w:val="both"/>
      </w:pPr>
      <w:r w:rsidRPr="00981686">
        <w:br w:type="page"/>
      </w:r>
    </w:p>
    <w:p w:rsidR="00842ADF" w:rsidRPr="00981686" w:rsidRDefault="00842ADF" w:rsidP="00842ADF">
      <w:pPr>
        <w:widowControl w:val="0"/>
        <w:spacing w:after="200"/>
        <w:jc w:val="both"/>
      </w:pPr>
    </w:p>
    <w:tbl>
      <w:tblPr>
        <w:tblW w:w="102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860"/>
      </w:tblGrid>
      <w:tr w:rsidR="00842ADF" w:rsidRPr="00981686" w:rsidTr="00D04D52">
        <w:trPr>
          <w:trHeight w:val="300"/>
        </w:trPr>
        <w:tc>
          <w:tcPr>
            <w:tcW w:w="102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Supplementary Table 3. Colocalization of blood eQTLs with pneumonia GWASMA loci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Gene</w:t>
            </w:r>
          </w:p>
        </w:tc>
        <w:tc>
          <w:tcPr>
            <w:tcW w:w="906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COLOC Posterior Probability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</w:pP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PP0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PP1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PP2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PP3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</w:pPr>
            <w:r w:rsidRPr="00981686">
              <w:t>PP4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PP3+PP4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PP4/(PP3+PP4)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EIF3C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0.026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0.031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0.102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0.123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0.718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0.841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0.854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APOBR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0.431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0.523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0.020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0.029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0.325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EIF3CL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0.414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0.503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0.036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0.044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0.047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0.066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NPIPB6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0.187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0.227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0.123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0.149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0.314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0.463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0.678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IL27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0.446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0.541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0.545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0.007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CLN3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0.008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0.430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0.522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0.033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0.555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0.059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PSMA4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2.43E-09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9.75E-07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0.989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0.009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0.998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0.009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CHRNA5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0.210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0.774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0.787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0.017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IREB2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9.19E-24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3.69E-21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2.49E-03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9.97E-01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1.28E-05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0.997511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1.29E-05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HYKK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0.842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3.40E-04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0.136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0.020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0.156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0.126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PBX3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0.805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0.099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0.085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0.011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0.071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ADAMTS7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0.835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3.43E-04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0.138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0.025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0.163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0.156</w:t>
            </w:r>
          </w:p>
        </w:tc>
      </w:tr>
      <w:tr w:rsidR="00842ADF" w:rsidRPr="00981686" w:rsidTr="00D04D52">
        <w:trPr>
          <w:trHeight w:val="300"/>
        </w:trPr>
        <w:tc>
          <w:tcPr>
            <w:tcW w:w="12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MAPKAP1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0.851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0.104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0.040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0.005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3.86E-04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0.005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0.073</w:t>
            </w:r>
          </w:p>
        </w:tc>
      </w:tr>
      <w:tr w:rsidR="00842ADF" w:rsidRPr="00981686" w:rsidTr="00D04D52">
        <w:trPr>
          <w:trHeight w:val="735"/>
        </w:trPr>
        <w:tc>
          <w:tcPr>
            <w:tcW w:w="10260" w:type="dxa"/>
            <w:gridSpan w:val="8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42ADF" w:rsidRPr="00981686" w:rsidRDefault="00842ADF" w:rsidP="00D04D52">
            <w:pPr>
              <w:widowControl w:val="0"/>
              <w:jc w:val="both"/>
            </w:pPr>
            <w:r w:rsidRPr="00981686">
              <w:t>PP0 - no association with gene expression and pneumonia risk; PP1- association with pneumonia GWAS only; PP2 - association with gene expression only; PP3 - association with gene expression and pneumonia GWAS, but two distinct SNP; PP4 - association with gene expression and pneumonia GWAS, shared SNP; Genes not shown could not be assessed due to lack of expression in the relevant tissue or lack of eQTL data. Genes showed evidence of colocalization are in bold.</w:t>
            </w:r>
          </w:p>
        </w:tc>
      </w:tr>
    </w:tbl>
    <w:p w:rsidR="00842ADF" w:rsidRPr="00981686" w:rsidRDefault="00842ADF" w:rsidP="00842ADF">
      <w:pPr>
        <w:widowControl w:val="0"/>
        <w:spacing w:after="200"/>
        <w:jc w:val="both"/>
      </w:pPr>
    </w:p>
    <w:p w:rsidR="00842ADF" w:rsidRPr="00981686" w:rsidRDefault="00842ADF" w:rsidP="00842ADF">
      <w:pPr>
        <w:widowControl w:val="0"/>
        <w:spacing w:after="200"/>
        <w:jc w:val="both"/>
      </w:pPr>
    </w:p>
    <w:tbl>
      <w:tblPr>
        <w:tblW w:w="9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2"/>
        <w:gridCol w:w="4803"/>
      </w:tblGrid>
      <w:tr w:rsidR="00842ADF" w:rsidRPr="00981686" w:rsidTr="00D04D52">
        <w:trPr>
          <w:trHeight w:val="420"/>
        </w:trPr>
        <w:tc>
          <w:tcPr>
            <w:tcW w:w="96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Supplementary Table 4. Conditional analysis results for smoking associated variants</w:t>
            </w:r>
          </w:p>
        </w:tc>
      </w:tr>
      <w:tr w:rsidR="00842ADF" w:rsidRPr="00981686" w:rsidTr="00D04D52"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SNP (Conditioned on)</w:t>
            </w:r>
          </w:p>
        </w:tc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P-value</w:t>
            </w:r>
          </w:p>
        </w:tc>
      </w:tr>
      <w:tr w:rsidR="00842ADF" w:rsidRPr="00981686" w:rsidTr="00D04D52"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rs16969968(rs2009746;rs588765;rs578776)</w:t>
            </w:r>
          </w:p>
        </w:tc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0.20477</w:t>
            </w:r>
          </w:p>
        </w:tc>
      </w:tr>
      <w:tr w:rsidR="00842ADF" w:rsidRPr="00981686" w:rsidTr="00D04D52"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spacing w:line="240" w:lineRule="auto"/>
            </w:pPr>
            <w:r w:rsidRPr="00981686">
              <w:t>rs588765(rs2009746;rs16969968;rs578776)</w:t>
            </w:r>
          </w:p>
        </w:tc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0.0698019</w:t>
            </w:r>
          </w:p>
        </w:tc>
      </w:tr>
      <w:tr w:rsidR="00842ADF" w:rsidRPr="00981686" w:rsidTr="00D04D52"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spacing w:line="240" w:lineRule="auto"/>
            </w:pPr>
            <w:r w:rsidRPr="00981686">
              <w:t>rs578776(rs2009746;rs588765;rs16969968)</w:t>
            </w:r>
          </w:p>
        </w:tc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0.588421</w:t>
            </w:r>
          </w:p>
        </w:tc>
      </w:tr>
      <w:tr w:rsidR="00842ADF" w:rsidRPr="00981686" w:rsidTr="00D04D52"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spacing w:line="240" w:lineRule="auto"/>
            </w:pPr>
            <w:r w:rsidRPr="00981686">
              <w:t>rs2009746(rs16969968;rs588765;rs578776)</w:t>
            </w:r>
          </w:p>
        </w:tc>
        <w:tc>
          <w:tcPr>
            <w:tcW w:w="4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0.00232078</w:t>
            </w:r>
          </w:p>
        </w:tc>
      </w:tr>
      <w:tr w:rsidR="00842ADF" w:rsidRPr="00981686" w:rsidTr="00D04D52">
        <w:trPr>
          <w:trHeight w:val="420"/>
        </w:trPr>
        <w:tc>
          <w:tcPr>
            <w:tcW w:w="96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2ADF" w:rsidRPr="00981686" w:rsidRDefault="00842ADF" w:rsidP="00D04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81686">
              <w:t>Logistic regression was performed by adjusting for all relevant covariates plus the relevant SNPs shown in parenthesis. UK Biobank data only</w:t>
            </w:r>
          </w:p>
        </w:tc>
      </w:tr>
    </w:tbl>
    <w:p w:rsidR="00842ADF" w:rsidRPr="00981686" w:rsidRDefault="00842ADF" w:rsidP="00842ADF">
      <w:pPr>
        <w:widowControl w:val="0"/>
        <w:spacing w:after="200"/>
        <w:jc w:val="both"/>
      </w:pPr>
    </w:p>
    <w:p w:rsidR="00842ADF" w:rsidRPr="00981686" w:rsidRDefault="00842ADF" w:rsidP="00842ADF">
      <w:pPr>
        <w:widowControl w:val="0"/>
        <w:spacing w:after="200"/>
        <w:jc w:val="both"/>
      </w:pPr>
      <w:r w:rsidRPr="00981686">
        <w:br w:type="page"/>
      </w:r>
    </w:p>
    <w:p w:rsidR="00842ADF" w:rsidRPr="00981686" w:rsidRDefault="00842ADF" w:rsidP="00842ADF">
      <w:pPr>
        <w:widowControl w:val="0"/>
        <w:spacing w:after="200"/>
        <w:jc w:val="both"/>
      </w:pPr>
    </w:p>
    <w:tbl>
      <w:tblPr>
        <w:tblW w:w="9795" w:type="dxa"/>
        <w:tblInd w:w="-2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260"/>
        <w:gridCol w:w="1365"/>
        <w:gridCol w:w="1365"/>
        <w:gridCol w:w="1365"/>
        <w:gridCol w:w="1365"/>
        <w:gridCol w:w="1365"/>
      </w:tblGrid>
      <w:tr w:rsidR="00842ADF" w:rsidRPr="00981686" w:rsidTr="00D04D52">
        <w:trPr>
          <w:trHeight w:val="330"/>
        </w:trPr>
        <w:tc>
          <w:tcPr>
            <w:tcW w:w="9795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 xml:space="preserve">Supplementary Table 5. Results of a multivariate logistic regression for pneumonia 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</w:p>
        </w:tc>
        <w:tc>
          <w:tcPr>
            <w:tcW w:w="399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Before adjusting for smoking history</w:t>
            </w:r>
          </w:p>
        </w:tc>
        <w:tc>
          <w:tcPr>
            <w:tcW w:w="409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After adjusting for smoking history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OR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std err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P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OR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std err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P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Male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0.67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0.08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2.8e-7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0.67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0.079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2.9e-7</w:t>
            </w:r>
          </w:p>
        </w:tc>
      </w:tr>
      <w:tr w:rsidR="00842ADF" w:rsidRPr="00981686" w:rsidTr="00D04D52">
        <w:trPr>
          <w:trHeight w:val="480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Smoking history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NA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NA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NA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1.23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0.084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0.012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Age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0.002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1.5e-38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0.002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9.5e-31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>Pneumonia PRS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1.11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1.11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0.002</w:t>
            </w:r>
          </w:p>
        </w:tc>
      </w:tr>
      <w:tr w:rsidR="00842ADF" w:rsidRPr="00981686" w:rsidTr="00D04D52">
        <w:trPr>
          <w:trHeight w:val="315"/>
        </w:trPr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right"/>
            </w:pPr>
            <w:r w:rsidRPr="00981686">
              <w:t xml:space="preserve">Pneumonia PRS adjusted for smoking 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1.11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1.11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0.03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  <w:jc w:val="center"/>
            </w:pPr>
            <w:r w:rsidRPr="00981686">
              <w:t>0.002</w:t>
            </w:r>
          </w:p>
        </w:tc>
      </w:tr>
      <w:tr w:rsidR="00842ADF" w:rsidRPr="00981686" w:rsidTr="00D04D52">
        <w:trPr>
          <w:trHeight w:val="315"/>
        </w:trPr>
        <w:tc>
          <w:tcPr>
            <w:tcW w:w="9795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42ADF" w:rsidRPr="00981686" w:rsidRDefault="00842ADF" w:rsidP="00D04D52">
            <w:pPr>
              <w:widowControl w:val="0"/>
            </w:pPr>
            <w:r w:rsidRPr="00981686">
              <w:t>Total sample size with available data N</w:t>
            </w:r>
            <w:r w:rsidR="00D62741">
              <w:t xml:space="preserve"> </w:t>
            </w:r>
            <w:bookmarkStart w:id="0" w:name="_GoBack"/>
            <w:bookmarkEnd w:id="0"/>
            <w:r w:rsidRPr="00981686">
              <w:t>= 5595. Std err - standard error on the logistic scale</w:t>
            </w:r>
          </w:p>
        </w:tc>
      </w:tr>
    </w:tbl>
    <w:p w:rsidR="00842ADF" w:rsidRPr="00981686" w:rsidRDefault="00842ADF" w:rsidP="00842ADF">
      <w:pPr>
        <w:widowControl w:val="0"/>
        <w:spacing w:after="200"/>
        <w:jc w:val="both"/>
      </w:pPr>
      <w:r w:rsidRPr="00981686">
        <w:br w:type="page"/>
      </w:r>
    </w:p>
    <w:p w:rsidR="00842ADF" w:rsidRPr="00981686" w:rsidRDefault="00842ADF" w:rsidP="00842ADF">
      <w:pPr>
        <w:spacing w:after="200"/>
        <w:jc w:val="both"/>
      </w:pPr>
    </w:p>
    <w:p w:rsidR="00842ADF" w:rsidRPr="00981686" w:rsidRDefault="00842ADF" w:rsidP="00842ADF">
      <w:pPr>
        <w:spacing w:after="200"/>
        <w:jc w:val="both"/>
      </w:pPr>
      <w:r w:rsidRPr="00981686">
        <w:rPr>
          <w:noProof/>
        </w:rPr>
        <w:drawing>
          <wp:inline distT="114300" distB="114300" distL="114300" distR="114300" wp14:anchorId="4B88330E" wp14:editId="431B78F3">
            <wp:extent cx="5950268" cy="8032861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268" cy="8032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ADF" w:rsidRPr="00981686" w:rsidRDefault="00842ADF" w:rsidP="00842ADF">
      <w:pPr>
        <w:spacing w:after="200"/>
        <w:jc w:val="both"/>
      </w:pPr>
      <w:r w:rsidRPr="00981686">
        <w:t>Supplementary Figure 1. Locus Zoom plot of the genome-wide significant hits.</w:t>
      </w:r>
      <w:r w:rsidRPr="00981686">
        <w:br w:type="page"/>
      </w:r>
    </w:p>
    <w:p w:rsidR="00842ADF" w:rsidRPr="00981686" w:rsidRDefault="00842ADF" w:rsidP="00842ADF">
      <w:pPr>
        <w:spacing w:after="200"/>
        <w:jc w:val="both"/>
      </w:pPr>
      <w:r w:rsidRPr="00981686">
        <w:rPr>
          <w:noProof/>
        </w:rPr>
        <w:drawing>
          <wp:inline distT="114300" distB="114300" distL="114300" distR="114300" wp14:anchorId="0FFBEC74" wp14:editId="4EAAE060">
            <wp:extent cx="6096960" cy="56642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960" cy="566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ADF" w:rsidRPr="00981686" w:rsidRDefault="00842ADF" w:rsidP="00842ADF">
      <w:pPr>
        <w:jc w:val="both"/>
      </w:pPr>
      <w:r w:rsidRPr="00981686">
        <w:t>Supplementary Figure 2. GSMR analysis of selected LCV significant traits</w:t>
      </w:r>
    </w:p>
    <w:p w:rsidR="00842ADF" w:rsidRPr="00981686" w:rsidRDefault="00842ADF" w:rsidP="00842ADF">
      <w:pPr>
        <w:jc w:val="both"/>
      </w:pPr>
      <w:r w:rsidRPr="00981686">
        <w:t>Pickrell plots show the results of a GSMR analysis to further assess evidence for causality from the LCV results. The x-axis depicts the effect sizes for SNPs associated with an exposure of interest, the y axis shows those SNP’s effect sizes on pneumonia. A significant slope (positive or negative) could be considered evidence for causality.</w:t>
      </w:r>
    </w:p>
    <w:p w:rsidR="00842ADF" w:rsidRPr="00981686" w:rsidRDefault="00842ADF" w:rsidP="00842ADF">
      <w:pPr>
        <w:spacing w:after="200"/>
        <w:jc w:val="both"/>
      </w:pPr>
      <w:r w:rsidRPr="00981686">
        <w:br w:type="page"/>
      </w:r>
    </w:p>
    <w:p w:rsidR="00842ADF" w:rsidRPr="00981686" w:rsidRDefault="00842ADF" w:rsidP="00842ADF">
      <w:pPr>
        <w:spacing w:after="200"/>
        <w:jc w:val="both"/>
      </w:pPr>
      <w:r w:rsidRPr="00981686">
        <w:t>SUPPLEMENTARY SOFTWARE REFERENCES</w:t>
      </w:r>
    </w:p>
    <w:p w:rsidR="00842ADF" w:rsidRPr="00981686" w:rsidRDefault="00842ADF" w:rsidP="00842ADF">
      <w:pPr>
        <w:spacing w:after="200"/>
        <w:jc w:val="both"/>
      </w:pPr>
      <w:r w:rsidRPr="00981686">
        <w:t>1. Loh, Po-Ru, et al. "Efficient Bayesian mixed-model analysis increases association power in large cohorts." Nature genetics 47.3 (2015): 284.</w:t>
      </w:r>
    </w:p>
    <w:p w:rsidR="00842ADF" w:rsidRPr="00981686" w:rsidRDefault="00842ADF" w:rsidP="00842ADF">
      <w:pPr>
        <w:spacing w:after="200"/>
        <w:jc w:val="both"/>
      </w:pPr>
      <w:r w:rsidRPr="00981686">
        <w:t>2. Loh, Po-Ru, et al. "Mixed-model association for biobank-scale datasets." Nature genetics 50.7 (2018): 906-908.</w:t>
      </w:r>
    </w:p>
    <w:p w:rsidR="00842ADF" w:rsidRPr="00981686" w:rsidRDefault="00842ADF" w:rsidP="00842ADF">
      <w:pPr>
        <w:spacing w:after="200"/>
        <w:jc w:val="both"/>
      </w:pPr>
      <w:r w:rsidRPr="00981686">
        <w:t>3. Willer, Cristen J., Yun Li, and Gonçalo R. Abecasis. "METAL: fast and efficient meta-analysis of genomewide association scans." Bioinformatics 26.17 (2010): 2190-2191.</w:t>
      </w:r>
    </w:p>
    <w:p w:rsidR="00842ADF" w:rsidRPr="00981686" w:rsidRDefault="00842ADF" w:rsidP="00842ADF">
      <w:pPr>
        <w:spacing w:after="200"/>
        <w:jc w:val="both"/>
      </w:pPr>
      <w:r w:rsidRPr="00981686">
        <w:t>4.Yang, J., Lee, S. H., Goddard, M. E., &amp; Visscher, P. M. (2011). GCTA: a tool for genome-wide complex trait analysis. The American Journal of Human Genetics, 88(1), 76-82.</w:t>
      </w:r>
    </w:p>
    <w:p w:rsidR="00842ADF" w:rsidRPr="00981686" w:rsidRDefault="00842ADF" w:rsidP="00842ADF">
      <w:pPr>
        <w:spacing w:after="200"/>
        <w:jc w:val="both"/>
      </w:pPr>
      <w:r w:rsidRPr="00981686">
        <w:t>5.Yang, Jian, et al. "Genome-wide complex trait analysis (GCTA): methods, data analyses, and interpretations." Genome-wide association studies and genomic prediction. Humana Press, Totowa, NJ, 2013. 215-236.</w:t>
      </w:r>
    </w:p>
    <w:p w:rsidR="00842ADF" w:rsidRPr="00981686" w:rsidRDefault="00842ADF" w:rsidP="00842ADF">
      <w:pPr>
        <w:spacing w:after="200"/>
        <w:jc w:val="both"/>
      </w:pPr>
      <w:r w:rsidRPr="00981686">
        <w:t>6. Lloyd-Jones, Luke R., et al. "Improved polygenic prediction by Bayesian multiple regression on summary statistics." Nature communications 10.1 (2019): 1-11.</w:t>
      </w:r>
    </w:p>
    <w:p w:rsidR="00842ADF" w:rsidRPr="00981686" w:rsidRDefault="00842ADF" w:rsidP="00842ADF">
      <w:pPr>
        <w:spacing w:after="200"/>
        <w:jc w:val="both"/>
      </w:pPr>
      <w:r w:rsidRPr="00981686">
        <w:t>7. Purcell, Shaun, et al. "PLINK: a tool set for whole-genome association and population-based linkage analyses." The American journal of human genetics 81.3 (2007): 559-575.</w:t>
      </w:r>
    </w:p>
    <w:p w:rsidR="00842ADF" w:rsidRPr="00981686" w:rsidRDefault="00842ADF" w:rsidP="00842ADF">
      <w:pPr>
        <w:spacing w:after="200"/>
        <w:jc w:val="both"/>
      </w:pPr>
      <w:r w:rsidRPr="00981686">
        <w:t>8.Chang, Christopher C., et al. "Second-generation PLINK: rising to the challenge of larger and richer datasets." Gigascience 4.1 (2015): s13742-015.</w:t>
      </w:r>
    </w:p>
    <w:p w:rsidR="00842ADF" w:rsidRPr="00981686" w:rsidRDefault="00842ADF" w:rsidP="00842ADF">
      <w:pPr>
        <w:spacing w:after="200"/>
        <w:jc w:val="both"/>
      </w:pPr>
      <w:r w:rsidRPr="00981686">
        <w:t>9. Zhu, Z. et al. (2018) Causal associations between risk factors and common diseases inferred from GWAS summary data. Nat. Commun. 9, 224.</w:t>
      </w:r>
    </w:p>
    <w:p w:rsidR="00842ADF" w:rsidRPr="00981686" w:rsidRDefault="00842ADF" w:rsidP="00842ADF">
      <w:pPr>
        <w:spacing w:after="200"/>
        <w:jc w:val="both"/>
      </w:pPr>
      <w:r w:rsidRPr="00981686">
        <w:t>10. Grotzinger, Andrew D., et al. "Genomic SEM provides insights into the multivariate genetic architecture of complex traits." BioRxiv (2018): 305029.</w:t>
      </w:r>
    </w:p>
    <w:p w:rsidR="00EB0FE0" w:rsidRDefault="00D62741"/>
    <w:sectPr w:rsidR="00EB0FE0">
      <w:footerReference w:type="default" r:id="rId8"/>
      <w:footerReference w:type="first" r:id="rId9"/>
      <w:pgSz w:w="11909" w:h="16834"/>
      <w:pgMar w:top="1152" w:right="1152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435" w:rsidRDefault="00B727CD">
      <w:pPr>
        <w:spacing w:line="240" w:lineRule="auto"/>
      </w:pPr>
      <w:r>
        <w:separator/>
      </w:r>
    </w:p>
  </w:endnote>
  <w:endnote w:type="continuationSeparator" w:id="0">
    <w:p w:rsidR="00536435" w:rsidRDefault="00B72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D0" w:rsidRDefault="00842ADF">
    <w:pPr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D62741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D0" w:rsidRDefault="00D627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435" w:rsidRDefault="00B727CD">
      <w:pPr>
        <w:spacing w:line="240" w:lineRule="auto"/>
      </w:pPr>
      <w:r>
        <w:separator/>
      </w:r>
    </w:p>
  </w:footnote>
  <w:footnote w:type="continuationSeparator" w:id="0">
    <w:p w:rsidR="00536435" w:rsidRDefault="00B727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DF"/>
    <w:rsid w:val="00536435"/>
    <w:rsid w:val="00842ADF"/>
    <w:rsid w:val="00B727CD"/>
    <w:rsid w:val="00D62741"/>
    <w:rsid w:val="00DF2CAF"/>
    <w:rsid w:val="00F3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D891"/>
  <w15:chartTrackingRefBased/>
  <w15:docId w15:val="{C0F3857C-2417-4A46-8CE8-B213450B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42ADF"/>
    <w:pPr>
      <w:spacing w:after="0" w:line="276" w:lineRule="auto"/>
    </w:pPr>
    <w:rPr>
      <w:rFonts w:ascii="Arial" w:eastAsia="Arial" w:hAnsi="Arial" w:cs="Arial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QIMR Berghofer</Company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Martin</dc:creator>
  <cp:keywords/>
  <dc:description/>
  <cp:lastModifiedBy>N Martin</cp:lastModifiedBy>
  <cp:revision>3</cp:revision>
  <dcterms:created xsi:type="dcterms:W3CDTF">2021-06-14T01:11:00Z</dcterms:created>
  <dcterms:modified xsi:type="dcterms:W3CDTF">2021-06-15T00:20:00Z</dcterms:modified>
</cp:coreProperties>
</file>