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ED" w:rsidRPr="00DF690F" w:rsidRDefault="003979ED" w:rsidP="003979ED">
      <w:pPr>
        <w:rPr>
          <w:b/>
          <w:sz w:val="20"/>
          <w:szCs w:val="20"/>
        </w:rPr>
      </w:pPr>
      <w:bookmarkStart w:id="0" w:name="_GoBack"/>
      <w:bookmarkEnd w:id="0"/>
      <w:r w:rsidRPr="00DF690F">
        <w:rPr>
          <w:b/>
          <w:sz w:val="20"/>
          <w:szCs w:val="20"/>
        </w:rPr>
        <w:t>Online Supplement: GEE Parameter Estimates and Associated p Values for All Models Tested.*</w:t>
      </w:r>
    </w:p>
    <w:p w:rsidR="00B22D4B" w:rsidRPr="00DF690F" w:rsidRDefault="00B22D4B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2155"/>
        <w:gridCol w:w="1350"/>
        <w:gridCol w:w="990"/>
        <w:gridCol w:w="1080"/>
        <w:gridCol w:w="1011"/>
        <w:gridCol w:w="1239"/>
        <w:gridCol w:w="979"/>
      </w:tblGrid>
      <w:tr w:rsidR="00B22D4B" w:rsidRPr="00DF690F" w:rsidTr="00924BD2">
        <w:trPr>
          <w:trHeight w:val="300"/>
          <w:tblHeader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noWrap/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Immediate Effect Period</w:t>
            </w:r>
          </w:p>
        </w:tc>
        <w:tc>
          <w:tcPr>
            <w:tcW w:w="2091" w:type="dxa"/>
            <w:gridSpan w:val="2"/>
            <w:noWrap/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3 Month Effect Period</w:t>
            </w:r>
          </w:p>
        </w:tc>
        <w:tc>
          <w:tcPr>
            <w:tcW w:w="2218" w:type="dxa"/>
            <w:gridSpan w:val="2"/>
            <w:noWrap/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1 Year Effect Period</w:t>
            </w:r>
          </w:p>
        </w:tc>
      </w:tr>
      <w:tr w:rsidR="00B22D4B" w:rsidRPr="00DF690F" w:rsidTr="00924BD2">
        <w:trPr>
          <w:trHeight w:val="243"/>
          <w:tblHeader/>
        </w:trPr>
        <w:tc>
          <w:tcPr>
            <w:tcW w:w="1643" w:type="dxa"/>
            <w:tcBorders>
              <w:bottom w:val="single" w:sz="4" w:space="0" w:color="auto"/>
            </w:tcBorders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Covariate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noWrap/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noWrap/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hideMark/>
          </w:tcPr>
          <w:p w:rsidR="00B22D4B" w:rsidRPr="00DF690F" w:rsidRDefault="00B22D4B">
            <w:pPr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p value</w:t>
            </w:r>
          </w:p>
        </w:tc>
      </w:tr>
      <w:tr w:rsidR="005B66CE" w:rsidRPr="00DF690F" w:rsidTr="00924BD2">
        <w:trPr>
          <w:trHeight w:val="244"/>
        </w:trPr>
        <w:tc>
          <w:tcPr>
            <w:tcW w:w="10447" w:type="dxa"/>
            <w:gridSpan w:val="8"/>
            <w:tcBorders>
              <w:top w:val="single" w:sz="4" w:space="0" w:color="auto"/>
            </w:tcBorders>
            <w:vAlign w:val="bottom"/>
          </w:tcPr>
          <w:p w:rsidR="005B66CE" w:rsidRPr="00DF690F" w:rsidRDefault="005B66CE" w:rsidP="005B66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66CE" w:rsidRPr="00DF690F" w:rsidTr="00924BD2">
        <w:trPr>
          <w:trHeight w:val="244"/>
        </w:trPr>
        <w:tc>
          <w:tcPr>
            <w:tcW w:w="10447" w:type="dxa"/>
            <w:gridSpan w:val="8"/>
            <w:vAlign w:val="bottom"/>
            <w:hideMark/>
          </w:tcPr>
          <w:p w:rsidR="005B66CE" w:rsidRPr="00DF690F" w:rsidRDefault="005B66CE" w:rsidP="005B66CE">
            <w:pPr>
              <w:jc w:val="center"/>
              <w:rPr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Inpatient Services Models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All Visits</w:t>
            </w: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150.1823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0.0030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118.8449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EC7026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74.1506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-0.0097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0.7311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-0.0273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0.0223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-0.0076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0.1464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-0.0804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0.0833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-0.0519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-0.0518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0.0173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0.7040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0.0315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0.0798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0.0309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F367A" w:rsidRPr="00DF690F" w:rsidTr="007F367A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0.0522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0.1502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0.0871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0.0725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0.0620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0.1036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0.0629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0.0470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0.0707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0.0635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0.0400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0.0068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0.0228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0.0003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-0.3547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-0.3378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-0.3541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-0.3379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-0.3659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-0.4007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0.0671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0.0639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0.0625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0.0568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-0.0784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0.0019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-0.0628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-0.0405</w:t>
            </w:r>
          </w:p>
        </w:tc>
        <w:tc>
          <w:tcPr>
            <w:tcW w:w="979" w:type="dxa"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Diabetes</w:t>
            </w: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-64.6608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0.7219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-17.7808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0.7695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-43.6386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0.1522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0.1832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0.0487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0.1054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0.1582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-0.1593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0.3341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-0.0488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0.3718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-0.0681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0.0129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0.0261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0.8769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0.0731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0.1946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0.0281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0.3239</w:t>
            </w:r>
          </w:p>
        </w:tc>
      </w:tr>
      <w:tr w:rsidR="007F367A" w:rsidRPr="00DF690F" w:rsidTr="007F367A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0.0919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0.4909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0.0799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0.0735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0.0964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0.1286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0.3544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0.0427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0.3429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0.0496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0.0284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0.2125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0.1203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0.0348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0.4371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0.0185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0.4148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-0.0770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0.5967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-0.2004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-0.2083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-0.0808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0.5595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-0.2264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-0.2387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0.1388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0.2936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0.1273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0.1000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0.0263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0.7709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0.9207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0.0159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0.2953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Mental illness</w:t>
            </w: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137.5812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0.3475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-31.3659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0.4095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2.0139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0.9143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0.1086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0.1626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0.2054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0.2093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-0.1648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0.2227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-0.1765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-0.1004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0.1231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0.3466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0.0171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0.6167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0.0138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0.4092</w:t>
            </w:r>
          </w:p>
        </w:tc>
      </w:tr>
      <w:tr w:rsidR="007F367A" w:rsidRPr="00DF690F" w:rsidTr="007F367A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0.1238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0.2331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0.1369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0.0709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0.1051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0.3366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0.1188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0.0705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0.2795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0.0093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0.0712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0.6728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-0.5326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-0.3715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-0.4150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-0.6134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-0.5715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-0.6121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0.0824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0.4294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0.7031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-0.0562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-0.0733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0.3140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0.5688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-0.0058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0.5328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Substance abuse</w:t>
            </w: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119.1835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0.1764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89.9467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0.0344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106.4234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0.0343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0.4708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0.0288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0.2689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0.0552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-0.2461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0.0026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-0.1606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-0.0928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0.0563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0.4900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0.0575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0.1404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0.0446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0.0053</w:t>
            </w:r>
          </w:p>
        </w:tc>
      </w:tr>
      <w:tr w:rsidR="007F367A" w:rsidRPr="00DF690F" w:rsidTr="007F367A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-0.0017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0.9786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0.0606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0.0523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0.0528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-0.0189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0.7732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0.0049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0.8757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-0.0017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0.8969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0.0090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0.8903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0.8996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-0.0225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0.0792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-0.6818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-0.5539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-0.5522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-0.6984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-0.7068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-0.7016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0.0804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0.1919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0.0697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0.0244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0.0809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F367A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F367A" w:rsidRPr="00DF690F" w:rsidRDefault="007F367A" w:rsidP="007F367A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-0.0639</w:t>
            </w:r>
          </w:p>
        </w:tc>
        <w:tc>
          <w:tcPr>
            <w:tcW w:w="99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0.1449</w:t>
            </w:r>
          </w:p>
        </w:tc>
        <w:tc>
          <w:tcPr>
            <w:tcW w:w="1080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-0.0495</w:t>
            </w:r>
          </w:p>
        </w:tc>
        <w:tc>
          <w:tcPr>
            <w:tcW w:w="1011" w:type="dxa"/>
            <w:noWrap/>
            <w:vAlign w:val="bottom"/>
            <w:hideMark/>
          </w:tcPr>
          <w:p w:rsidR="007F367A" w:rsidRPr="00DF690F" w:rsidRDefault="007F367A" w:rsidP="007F367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0.0193</w:t>
            </w:r>
          </w:p>
        </w:tc>
        <w:tc>
          <w:tcPr>
            <w:tcW w:w="123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-0.0577</w:t>
            </w:r>
          </w:p>
        </w:tc>
        <w:tc>
          <w:tcPr>
            <w:tcW w:w="979" w:type="dxa"/>
            <w:noWrap/>
            <w:vAlign w:val="bottom"/>
            <w:hideMark/>
          </w:tcPr>
          <w:p w:rsidR="007F367A" w:rsidRPr="009F4047" w:rsidRDefault="007F367A" w:rsidP="007F367A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F4047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Female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185.6528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112.6955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72.0185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-0.0399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0.1914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-0.0433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-0.0207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-0.0191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0.6982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-0.0427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-0.0486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0.0341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0.4806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0.0292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0.0408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0.1679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0.0949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0.0825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0.0626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0.1214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0.0680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0.0495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0.0786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0.0514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0.0372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-0.3867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-0.3489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-0.3633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-0.3425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-0.3601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-0.3944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0.1012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0.0616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0.0614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-0.0960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-0.0597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-0.0395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Male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69.3845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0.2175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80.5049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41.6372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0.3668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0.6410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0.0336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-0.1565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-0.0785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-0.0659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0.7038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0.0352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0.0716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0.0246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0.0030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0.4049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0.0769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0.0648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0.0460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0.2767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0.0586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0.0455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0.0642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0.1286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0.0202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0.2079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0.0062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0.3680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-0.3352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-0.3150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-0.3285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-0.3563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-0.3682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-0.3992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0.0617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0.1245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0.0569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0.0465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-0.0382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0.1725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-0.0437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-0.0244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&lt; 19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47.0855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0.3928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24.5009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0.2712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29.8767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0.0078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-0.0432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0.1577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-0.0805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-0.0657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-0.0431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0.3871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-0.0601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-0.0564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-0.0550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0.2817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-0.0002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0.9912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0.0963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0.0186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0.6357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0.0618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0.0476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0.0694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0.0664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0.1053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0.0262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0.1123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0.0118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0.1554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-0.2479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-0.2261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-0.2563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-0.2359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-0.2562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-0.3068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0.0210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0.5936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0.0149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0.3671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-0.0022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0.7967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-0.0274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0.3182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-0.0161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0.1459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-0.0188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0.0008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19 - 44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242.6505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128.3897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63.1434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-0.0378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0.3159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-0.0262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0.0603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-0.0065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0.2850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-0.0371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0.5412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-0.0453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-0.0544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0.0353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0.5550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0.1844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0.0373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0.4313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0.0914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0.0802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0.0745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0.1342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0.0497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0.0757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0.1280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0.0445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0.0086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0.0322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-0.4117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-0.3634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-0.3712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-0.3396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-0.3522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-0.3814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0.1026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0.0296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0.0829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-0.1243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-0.0674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-0.0350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45 - 64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84.7129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0.2007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122.6801</w:t>
            </w:r>
          </w:p>
        </w:tc>
        <w:tc>
          <w:tcPr>
            <w:tcW w:w="1011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62.4737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0.0372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0.3187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0.0542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0.0851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-0.1473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0.0154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-0.0552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0.0140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-0.0586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0.1154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0.0491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0.0782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0.0566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0.2280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0.1077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0.0941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0.5015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0.0640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0.0463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0.3829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0.0370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0.0406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0.0225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0.0027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-0.3988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-0.3742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-0.3871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-0.4671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-0.4594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-0.4774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B22D4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0.2497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0.0853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0.0755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-0.0455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0.1666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-0.0645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-0.0345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&gt; 65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21.8500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0.8487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121.2115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26.0611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0.2115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0.1016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0.1182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0.0567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0.0321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0.0884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-0.0751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0.4628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0.0492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0.2153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-0.0159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0.3912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-0.2180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-0.0469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0.2689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-0.0085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0.6666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-0.0201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0.8008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0.0881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0.0839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-0.0220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0.7926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0.1595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0.0508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0.5384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0.0363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0.2564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0.8309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-0.3465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-0.3230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-0.3209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-0.4598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-0.3975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-0.4096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-0.0529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0.5100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-0.0012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0.9712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0.1381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0.8021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-0.0637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-0.0164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0.1140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White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147.4369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0.1047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158.7816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94.1464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-0.0815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0.1091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-0.0545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-0.0596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-0.0942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0.2608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-0.0212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0.4294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-0.0240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0.0696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0.5770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-0.0093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0.7208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0.6899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0.0655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0.0897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0.0589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0.3917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0.0792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0.1321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0.0552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0.0105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0.0299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-0.3538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-0.3743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-0.3981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-0.3144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-0.3785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-0.4196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0.0973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0.1352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0.0947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-0.0769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0.0887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-0.0826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-0.0504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Black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118.9100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43.2274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0.1823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23.2524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0.0904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-0.0864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0.0244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-0.1440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-0.1341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-0.0678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0.2899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-0.0815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-0.0723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-0.0212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0.7355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0.1246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0.0280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0.0242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0.6872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0.0942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0.0774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0.0656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0.2078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0.0900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0.0595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0.2989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0.0394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0.1017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-0.4150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-0.3299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-0.3613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-0.3842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-0.4029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-0.4403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0.0831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0.0926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0.0681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0.0046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-0.0627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0.0697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-0.0252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0.1181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-0.0152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0.0257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Hispanic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112.8200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0.0717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120.3203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76.0850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-0.0268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0.4246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-0.0524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-0.0165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0.0170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-0.1235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-0.0574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0.0134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-0.0579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0.0381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0.5133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0.0399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0.0401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0.3703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0.0784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0.0723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0.0502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0.2858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0.0460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0.0154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0.0457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0.0291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0.5366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0.0311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0.1000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0.0245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0.0024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-0.3239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-0.3139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-0.3353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-0.3391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-0.3323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-0.3732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0.0467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0.2965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0.0472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0.0123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0.0573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-0.0598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0.0550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-0.0635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-0.0415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Other Race/Ethnicity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54.1326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0.4596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-29.2645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0.2215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-39.2185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0.0597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0.1227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0.0733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0.0978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0.7648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-0.0645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-0.0688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-0.0027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0.9663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0.2876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0.0211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-0.0286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0.5810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0.0581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0.0708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0.0140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0.7966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0.0504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0.0043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0.1103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0.0247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0.0183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0.0205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-0.4018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-0.3190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-0.3010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-0.3676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-0.3523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-0.3679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-0.0018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0.9720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0.2577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0.0245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0.0019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-0.0308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0.3979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0.0108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0.3665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0.0157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5B66CE" w:rsidRPr="00DF690F" w:rsidTr="00924BD2">
        <w:trPr>
          <w:trHeight w:val="300"/>
        </w:trPr>
        <w:tc>
          <w:tcPr>
            <w:tcW w:w="10447" w:type="dxa"/>
            <w:gridSpan w:val="8"/>
            <w:noWrap/>
            <w:vAlign w:val="bottom"/>
            <w:hideMark/>
          </w:tcPr>
          <w:p w:rsidR="005B66CE" w:rsidRPr="00DF690F" w:rsidRDefault="005B66CE" w:rsidP="005B66CE">
            <w:pPr>
              <w:jc w:val="center"/>
              <w:rPr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Outpatient Services Models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All Visit</w:t>
            </w:r>
            <w:r w:rsidR="00044CE1">
              <w:rPr>
                <w:sz w:val="20"/>
                <w:szCs w:val="20"/>
              </w:rPr>
              <w:t>**</w:t>
            </w: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101.0065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0.1446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0.7850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0.9754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2461C8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461C8">
              <w:rPr>
                <w:rFonts w:ascii="Calibri" w:hAnsi="Calibri"/>
                <w:color w:val="000000"/>
                <w:sz w:val="20"/>
                <w:szCs w:val="20"/>
              </w:rPr>
              <w:t>-63.8753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2461C8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0.0642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0.0604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0.0479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2461C8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461C8">
              <w:rPr>
                <w:rFonts w:ascii="Calibri" w:hAnsi="Calibri"/>
                <w:color w:val="000000"/>
                <w:sz w:val="20"/>
                <w:szCs w:val="20"/>
              </w:rPr>
              <w:t>0.1025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461C8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-0.2933</w:t>
            </w:r>
          </w:p>
        </w:tc>
        <w:tc>
          <w:tcPr>
            <w:tcW w:w="99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-0.0482</w:t>
            </w:r>
          </w:p>
        </w:tc>
        <w:tc>
          <w:tcPr>
            <w:tcW w:w="1011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0.0488</w:t>
            </w:r>
          </w:p>
        </w:tc>
        <w:tc>
          <w:tcPr>
            <w:tcW w:w="1239" w:type="dxa"/>
            <w:noWrap/>
            <w:vAlign w:val="bottom"/>
            <w:hideMark/>
          </w:tcPr>
          <w:p w:rsidR="002461C8" w:rsidRDefault="002461C8" w:rsidP="002461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-0.0476</w:t>
            </w:r>
          </w:p>
        </w:tc>
        <w:tc>
          <w:tcPr>
            <w:tcW w:w="979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461C8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-0.0919</w:t>
            </w:r>
          </w:p>
        </w:tc>
        <w:tc>
          <w:tcPr>
            <w:tcW w:w="99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0.1210</w:t>
            </w:r>
          </w:p>
        </w:tc>
        <w:tc>
          <w:tcPr>
            <w:tcW w:w="108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-0.0212</w:t>
            </w:r>
          </w:p>
        </w:tc>
        <w:tc>
          <w:tcPr>
            <w:tcW w:w="1011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0.3330</w:t>
            </w:r>
          </w:p>
        </w:tc>
        <w:tc>
          <w:tcPr>
            <w:tcW w:w="1239" w:type="dxa"/>
            <w:noWrap/>
            <w:vAlign w:val="bottom"/>
            <w:hideMark/>
          </w:tcPr>
          <w:p w:rsidR="002461C8" w:rsidRDefault="002461C8" w:rsidP="002461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-0.0153</w:t>
            </w:r>
          </w:p>
        </w:tc>
        <w:tc>
          <w:tcPr>
            <w:tcW w:w="979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461C8">
              <w:rPr>
                <w:rFonts w:ascii="Calibri" w:hAnsi="Calibri"/>
                <w:color w:val="000000"/>
                <w:sz w:val="20"/>
                <w:szCs w:val="20"/>
              </w:rPr>
              <w:t>0.0490</w:t>
            </w:r>
          </w:p>
        </w:tc>
      </w:tr>
      <w:tr w:rsidR="009A1159" w:rsidRPr="00DF690F" w:rsidTr="009A1159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61C8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461C8" w:rsidRPr="00DF690F" w:rsidRDefault="002461C8" w:rsidP="002461C8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0.0360</w:t>
            </w:r>
          </w:p>
        </w:tc>
        <w:tc>
          <w:tcPr>
            <w:tcW w:w="99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0.4727</w:t>
            </w:r>
          </w:p>
        </w:tc>
        <w:tc>
          <w:tcPr>
            <w:tcW w:w="108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0.1931</w:t>
            </w:r>
          </w:p>
        </w:tc>
        <w:tc>
          <w:tcPr>
            <w:tcW w:w="1011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461C8" w:rsidRDefault="002461C8" w:rsidP="002461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0.1675</w:t>
            </w:r>
          </w:p>
        </w:tc>
        <w:tc>
          <w:tcPr>
            <w:tcW w:w="979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461C8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461C8" w:rsidRPr="00DF690F" w:rsidRDefault="002461C8" w:rsidP="002461C8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0.0436</w:t>
            </w:r>
          </w:p>
        </w:tc>
        <w:tc>
          <w:tcPr>
            <w:tcW w:w="99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0.4082</w:t>
            </w:r>
          </w:p>
        </w:tc>
        <w:tc>
          <w:tcPr>
            <w:tcW w:w="108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0.1887</w:t>
            </w:r>
          </w:p>
        </w:tc>
        <w:tc>
          <w:tcPr>
            <w:tcW w:w="1011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461C8" w:rsidRDefault="002461C8" w:rsidP="002461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0.1499</w:t>
            </w:r>
          </w:p>
        </w:tc>
        <w:tc>
          <w:tcPr>
            <w:tcW w:w="979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461C8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461C8" w:rsidRPr="00DF690F" w:rsidRDefault="002461C8" w:rsidP="002461C8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0.1418</w:t>
            </w:r>
          </w:p>
        </w:tc>
        <w:tc>
          <w:tcPr>
            <w:tcW w:w="99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0.0072</w:t>
            </w:r>
          </w:p>
        </w:tc>
        <w:tc>
          <w:tcPr>
            <w:tcW w:w="108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0.1297</w:t>
            </w:r>
          </w:p>
        </w:tc>
        <w:tc>
          <w:tcPr>
            <w:tcW w:w="1011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461C8" w:rsidRDefault="002461C8" w:rsidP="002461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0.1129</w:t>
            </w:r>
          </w:p>
        </w:tc>
        <w:tc>
          <w:tcPr>
            <w:tcW w:w="979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461C8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461C8" w:rsidRPr="00DF690F" w:rsidRDefault="002461C8" w:rsidP="002461C8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-0.9949</w:t>
            </w:r>
          </w:p>
        </w:tc>
        <w:tc>
          <w:tcPr>
            <w:tcW w:w="99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-0.8510</w:t>
            </w:r>
          </w:p>
        </w:tc>
        <w:tc>
          <w:tcPr>
            <w:tcW w:w="1011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461C8" w:rsidRDefault="002461C8" w:rsidP="002461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-0.7843</w:t>
            </w:r>
          </w:p>
        </w:tc>
        <w:tc>
          <w:tcPr>
            <w:tcW w:w="979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461C8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461C8" w:rsidRPr="00DF690F" w:rsidRDefault="002461C8" w:rsidP="002461C8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-1.4331</w:t>
            </w:r>
          </w:p>
        </w:tc>
        <w:tc>
          <w:tcPr>
            <w:tcW w:w="99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-1.3869</w:t>
            </w:r>
          </w:p>
        </w:tc>
        <w:tc>
          <w:tcPr>
            <w:tcW w:w="1011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461C8" w:rsidRDefault="002461C8" w:rsidP="002461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-1.2752</w:t>
            </w:r>
          </w:p>
        </w:tc>
        <w:tc>
          <w:tcPr>
            <w:tcW w:w="979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461C8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461C8" w:rsidRPr="00DF690F" w:rsidRDefault="002461C8" w:rsidP="002461C8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0.0852</w:t>
            </w:r>
          </w:p>
        </w:tc>
        <w:tc>
          <w:tcPr>
            <w:tcW w:w="99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0.0895</w:t>
            </w:r>
          </w:p>
        </w:tc>
        <w:tc>
          <w:tcPr>
            <w:tcW w:w="108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0.1816</w:t>
            </w:r>
          </w:p>
        </w:tc>
        <w:tc>
          <w:tcPr>
            <w:tcW w:w="1011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461C8" w:rsidRDefault="002461C8" w:rsidP="002461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0.1440</w:t>
            </w:r>
          </w:p>
        </w:tc>
        <w:tc>
          <w:tcPr>
            <w:tcW w:w="979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461C8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461C8" w:rsidRPr="00DF690F" w:rsidRDefault="002461C8" w:rsidP="002461C8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-0.0516</w:t>
            </w:r>
          </w:p>
        </w:tc>
        <w:tc>
          <w:tcPr>
            <w:tcW w:w="99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0.1344</w:t>
            </w:r>
          </w:p>
        </w:tc>
        <w:tc>
          <w:tcPr>
            <w:tcW w:w="1080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-0.0018</w:t>
            </w:r>
          </w:p>
        </w:tc>
        <w:tc>
          <w:tcPr>
            <w:tcW w:w="1011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0.8893</w:t>
            </w:r>
          </w:p>
        </w:tc>
        <w:tc>
          <w:tcPr>
            <w:tcW w:w="1239" w:type="dxa"/>
            <w:noWrap/>
            <w:vAlign w:val="bottom"/>
            <w:hideMark/>
          </w:tcPr>
          <w:p w:rsidR="002461C8" w:rsidRDefault="002461C8" w:rsidP="002461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0.0304</w:t>
            </w:r>
          </w:p>
        </w:tc>
        <w:tc>
          <w:tcPr>
            <w:tcW w:w="979" w:type="dxa"/>
            <w:noWrap/>
            <w:vAlign w:val="bottom"/>
            <w:hideMark/>
          </w:tcPr>
          <w:p w:rsidR="002461C8" w:rsidRPr="00DF690F" w:rsidRDefault="002461C8" w:rsidP="002461C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Diabetes</w:t>
            </w: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-51.2382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0.4082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-145.8540</w:t>
            </w:r>
          </w:p>
        </w:tc>
        <w:tc>
          <w:tcPr>
            <w:tcW w:w="1011" w:type="dxa"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4.3504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0.6376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0.1431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0.1614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0.1439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-0.3876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-0.1424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-0.0571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-0.0645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0.2287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-0.0468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0.0025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0.6418</w:t>
            </w:r>
          </w:p>
        </w:tc>
      </w:tr>
      <w:tr w:rsidR="009A1159" w:rsidRPr="00DF690F" w:rsidTr="009A1159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0.0275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0.5348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0.1812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0.1832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0.0275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0.5553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0.1295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0.1093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0.0339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0.4666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0.0639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0.1046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-0.8973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-0.7975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-0.8173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-1.5552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-1.5286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-1.6022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0.0076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0.8639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0.1591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0.1514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0.0224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0.4665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0.0695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-0.0053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0.2503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Mental illness</w:t>
            </w: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-51.7182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0.5994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-153.8970</w:t>
            </w:r>
          </w:p>
        </w:tc>
        <w:tc>
          <w:tcPr>
            <w:tcW w:w="1011" w:type="dxa"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77.3068</w:t>
            </w:r>
          </w:p>
        </w:tc>
        <w:tc>
          <w:tcPr>
            <w:tcW w:w="979" w:type="dxa"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0.2477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0.2787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0.2599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-0.5654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-0.3257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-0.1250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-0.0967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0.2544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-0.0580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-0.0357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DF690F">
              <w:rPr>
                <w:b/>
                <w:bCs/>
                <w:sz w:val="20"/>
                <w:szCs w:val="20"/>
              </w:rPr>
              <w:t>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0.2263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0.0014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0.3903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0.3712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0.1644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0.0270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0.3601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0.3459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0.3587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0.3323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0.3321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-1.2334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-0.9578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-1.0364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-2.0189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-1.8102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-1.8475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0.2041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0.0039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0.2679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0.2287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491F7C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491F7C" w:rsidRPr="00DF690F" w:rsidRDefault="00491F7C" w:rsidP="00491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491F7C" w:rsidRPr="00DF690F" w:rsidRDefault="00491F7C" w:rsidP="00491F7C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0.0231</w:t>
            </w:r>
          </w:p>
        </w:tc>
        <w:tc>
          <w:tcPr>
            <w:tcW w:w="99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0.6373</w:t>
            </w:r>
          </w:p>
        </w:tc>
        <w:tc>
          <w:tcPr>
            <w:tcW w:w="1080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0.0745</w:t>
            </w:r>
          </w:p>
        </w:tc>
        <w:tc>
          <w:tcPr>
            <w:tcW w:w="1011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491F7C" w:rsidRPr="00491F7C" w:rsidRDefault="00491F7C" w:rsidP="00491F7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91F7C">
              <w:rPr>
                <w:rFonts w:ascii="Calibri" w:hAnsi="Calibri"/>
                <w:b/>
                <w:sz w:val="20"/>
                <w:szCs w:val="20"/>
              </w:rPr>
              <w:t>-0.0408</w:t>
            </w:r>
          </w:p>
        </w:tc>
        <w:tc>
          <w:tcPr>
            <w:tcW w:w="979" w:type="dxa"/>
            <w:noWrap/>
            <w:vAlign w:val="bottom"/>
            <w:hideMark/>
          </w:tcPr>
          <w:p w:rsidR="00491F7C" w:rsidRPr="00DF690F" w:rsidRDefault="00491F7C" w:rsidP="00491F7C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Substance abuse</w:t>
            </w:r>
            <w:r w:rsidR="00044CE1" w:rsidRPr="00044CE1">
              <w:rPr>
                <w:sz w:val="20"/>
                <w:szCs w:val="20"/>
                <w:vertAlign w:val="superscript"/>
              </w:rPr>
              <w:t>ᵻ</w:t>
            </w: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90.2197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0.5137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281C74" w:rsidRDefault="00281C74" w:rsidP="009A115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81C74">
              <w:rPr>
                <w:rFonts w:ascii="Calibri" w:hAnsi="Calibri"/>
                <w:sz w:val="20"/>
                <w:szCs w:val="20"/>
              </w:rPr>
              <w:t>-628.6660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281C74" w:rsidRDefault="00281C74" w:rsidP="009A1159">
            <w:pPr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-66.9374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0.0423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0.5358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281C74" w:rsidRDefault="00281C74" w:rsidP="009A1159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81C74">
              <w:rPr>
                <w:rFonts w:ascii="Calibri" w:hAnsi="Calibri"/>
                <w:sz w:val="20"/>
                <w:szCs w:val="20"/>
              </w:rPr>
              <w:t>0.1508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281C74" w:rsidRDefault="00281C74" w:rsidP="009A1159">
            <w:pPr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0.0635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81C74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-0.2129</w:t>
            </w:r>
          </w:p>
        </w:tc>
        <w:tc>
          <w:tcPr>
            <w:tcW w:w="99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0.1068</w:t>
            </w:r>
          </w:p>
        </w:tc>
        <w:tc>
          <w:tcPr>
            <w:tcW w:w="1080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-0.3221</w:t>
            </w:r>
          </w:p>
        </w:tc>
        <w:tc>
          <w:tcPr>
            <w:tcW w:w="1011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-0.0606</w:t>
            </w:r>
          </w:p>
        </w:tc>
        <w:tc>
          <w:tcPr>
            <w:tcW w:w="97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81C74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-0.1160</w:t>
            </w:r>
          </w:p>
        </w:tc>
        <w:tc>
          <w:tcPr>
            <w:tcW w:w="99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0.3268</w:t>
            </w:r>
          </w:p>
        </w:tc>
        <w:tc>
          <w:tcPr>
            <w:tcW w:w="1080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0.0014</w:t>
            </w:r>
          </w:p>
        </w:tc>
        <w:tc>
          <w:tcPr>
            <w:tcW w:w="1011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0.9752</w:t>
            </w:r>
          </w:p>
        </w:tc>
        <w:tc>
          <w:tcPr>
            <w:tcW w:w="123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-0.0030</w:t>
            </w:r>
          </w:p>
        </w:tc>
        <w:tc>
          <w:tcPr>
            <w:tcW w:w="97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0.6713</w:t>
            </w:r>
          </w:p>
        </w:tc>
      </w:tr>
      <w:tr w:rsidR="009A1159" w:rsidRPr="00DF690F" w:rsidTr="009A1159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9A1159" w:rsidRPr="00281C74" w:rsidRDefault="009A1159" w:rsidP="009A1159">
            <w:pPr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9A1159" w:rsidRPr="00281C74" w:rsidRDefault="009A1159" w:rsidP="009A1159">
            <w:pPr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81C74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81C74" w:rsidRPr="00DF690F" w:rsidRDefault="00281C74" w:rsidP="00281C74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-0.1566</w:t>
            </w:r>
          </w:p>
        </w:tc>
        <w:tc>
          <w:tcPr>
            <w:tcW w:w="99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0.1172</w:t>
            </w:r>
          </w:p>
        </w:tc>
        <w:tc>
          <w:tcPr>
            <w:tcW w:w="1080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-0.0088</w:t>
            </w:r>
          </w:p>
        </w:tc>
        <w:tc>
          <w:tcPr>
            <w:tcW w:w="1011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0.7937</w:t>
            </w:r>
          </w:p>
        </w:tc>
        <w:tc>
          <w:tcPr>
            <w:tcW w:w="123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0.0948</w:t>
            </w:r>
          </w:p>
        </w:tc>
        <w:tc>
          <w:tcPr>
            <w:tcW w:w="97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81C74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81C74" w:rsidRPr="00DF690F" w:rsidRDefault="00281C74" w:rsidP="00281C74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0.0627</w:t>
            </w:r>
          </w:p>
        </w:tc>
        <w:tc>
          <w:tcPr>
            <w:tcW w:w="99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0.5502</w:t>
            </w:r>
          </w:p>
        </w:tc>
        <w:tc>
          <w:tcPr>
            <w:tcW w:w="1080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0.0742</w:t>
            </w:r>
          </w:p>
        </w:tc>
        <w:tc>
          <w:tcPr>
            <w:tcW w:w="1011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0.0247</w:t>
            </w:r>
          </w:p>
        </w:tc>
        <w:tc>
          <w:tcPr>
            <w:tcW w:w="123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0.1226</w:t>
            </w:r>
          </w:p>
        </w:tc>
        <w:tc>
          <w:tcPr>
            <w:tcW w:w="97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81C74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81C74" w:rsidRPr="00DF690F" w:rsidRDefault="00281C74" w:rsidP="00281C74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-0.0189</w:t>
            </w:r>
          </w:p>
        </w:tc>
        <w:tc>
          <w:tcPr>
            <w:tcW w:w="99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0.8570</w:t>
            </w:r>
          </w:p>
        </w:tc>
        <w:tc>
          <w:tcPr>
            <w:tcW w:w="1080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-0.0410</w:t>
            </w:r>
          </w:p>
        </w:tc>
        <w:tc>
          <w:tcPr>
            <w:tcW w:w="1011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0.2248</w:t>
            </w:r>
          </w:p>
        </w:tc>
        <w:tc>
          <w:tcPr>
            <w:tcW w:w="123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0.0673</w:t>
            </w:r>
          </w:p>
        </w:tc>
        <w:tc>
          <w:tcPr>
            <w:tcW w:w="97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81C74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81C74" w:rsidRPr="00DF690F" w:rsidRDefault="00281C74" w:rsidP="00281C74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-1.2542</w:t>
            </w:r>
          </w:p>
        </w:tc>
        <w:tc>
          <w:tcPr>
            <w:tcW w:w="99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-0.8990</w:t>
            </w:r>
          </w:p>
        </w:tc>
        <w:tc>
          <w:tcPr>
            <w:tcW w:w="1011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-1.0218</w:t>
            </w:r>
          </w:p>
        </w:tc>
        <w:tc>
          <w:tcPr>
            <w:tcW w:w="97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81C74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81C74" w:rsidRPr="00DF690F" w:rsidRDefault="00281C74" w:rsidP="00281C74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-0.8568</w:t>
            </w:r>
          </w:p>
        </w:tc>
        <w:tc>
          <w:tcPr>
            <w:tcW w:w="99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-0.7196</w:t>
            </w:r>
          </w:p>
        </w:tc>
        <w:tc>
          <w:tcPr>
            <w:tcW w:w="1011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-1.3663</w:t>
            </w:r>
          </w:p>
        </w:tc>
        <w:tc>
          <w:tcPr>
            <w:tcW w:w="97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81C74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81C74" w:rsidRPr="00DF690F" w:rsidRDefault="00281C74" w:rsidP="00281C74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0.0790</w:t>
            </w:r>
          </w:p>
        </w:tc>
        <w:tc>
          <w:tcPr>
            <w:tcW w:w="99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0.4289</w:t>
            </w:r>
          </w:p>
        </w:tc>
        <w:tc>
          <w:tcPr>
            <w:tcW w:w="1080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0.0864</w:t>
            </w:r>
          </w:p>
        </w:tc>
        <w:tc>
          <w:tcPr>
            <w:tcW w:w="1011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0.0082</w:t>
            </w:r>
          </w:p>
        </w:tc>
        <w:tc>
          <w:tcPr>
            <w:tcW w:w="123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0.1842</w:t>
            </w:r>
          </w:p>
        </w:tc>
        <w:tc>
          <w:tcPr>
            <w:tcW w:w="97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281C74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281C74" w:rsidRPr="00DF690F" w:rsidRDefault="00281C74" w:rsidP="00281C74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-0.0474</w:t>
            </w:r>
          </w:p>
        </w:tc>
        <w:tc>
          <w:tcPr>
            <w:tcW w:w="990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0.4906</w:t>
            </w:r>
          </w:p>
        </w:tc>
        <w:tc>
          <w:tcPr>
            <w:tcW w:w="1080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0.3101</w:t>
            </w:r>
          </w:p>
        </w:tc>
        <w:tc>
          <w:tcPr>
            <w:tcW w:w="1011" w:type="dxa"/>
            <w:noWrap/>
            <w:vAlign w:val="bottom"/>
            <w:hideMark/>
          </w:tcPr>
          <w:p w:rsidR="00281C74" w:rsidRDefault="00281C74" w:rsidP="00281C7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0.0312</w:t>
            </w:r>
          </w:p>
        </w:tc>
        <w:tc>
          <w:tcPr>
            <w:tcW w:w="979" w:type="dxa"/>
            <w:noWrap/>
            <w:vAlign w:val="bottom"/>
            <w:hideMark/>
          </w:tcPr>
          <w:p w:rsidR="00281C74" w:rsidRPr="00DF690F" w:rsidRDefault="00281C74" w:rsidP="00281C7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Females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81.9789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0.2432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-25.7195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0.3115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-26.7577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0.0597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0.0853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0.0678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-0.3036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-0.0569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-0.0568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-0.0676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0.2610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-0.0088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0.6865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0.0118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0.6472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0.1922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0.1908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0.1888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0.1626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0.1263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0.0181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0.1290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0.1362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-1.0152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-0.8738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-0.9043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-1.5253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-1.4796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-1.5498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0.0553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0.2764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0.1696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0.1597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-0.0421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0.2285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0.0114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0.3661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0.0125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Males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114.2931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0.1069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30.2736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0.2459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30.2397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0.0708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0.0828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-0.2881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-0.0396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0.1131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-0.0275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-0.1224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0.0440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-0.0359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0.2916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0.1944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0.1858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0.0598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0.2673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0.1887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0.1662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0.1643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0.1310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0.1344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-0.9611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-0.8174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-0.8444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-1.3143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-1.2718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-1.3443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0.1244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0.0153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0.1968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0.1880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-0.0582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0.0990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-0.0164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0.2055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-0.0158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&lt; 19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26.4291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0.7386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0.1270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0.9962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76.7205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0.1070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0.0732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0.0872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-0.4334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-0.0670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0.0091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-0.0044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0.3694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-0.1150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0.0903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-0.0266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0.2489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0.0082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0.0618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0.0418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0.4652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0.2311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0.2346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0.0375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0.5336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0.2113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0.1982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0.1291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0.0321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0.1550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0.1706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-0.9547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-0.8448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-0.8635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-1.5124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EC7026" w:rsidP="00B22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-1.4635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-1.4940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0.0713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0.2130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0.2146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0.2110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0.7109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-0.0016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0.9063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-0.0393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19 - 44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137.8200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-3.9861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0.8802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-55.2781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0.0582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0.1045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0.0318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0.0161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0.0399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-0.2166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-0.0290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0.2524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-0.0662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-0.1313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0.0346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-0.0175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0.4420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0.2734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0.0472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0.3684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0.1972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0.1880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0.0590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0.2849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0.2017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0.1704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0.1695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0.1403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0.1400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-1.0515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-0.8853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-0.9230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-1.4536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-1.4038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-1.4936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0.0689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0.1885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0.1449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0.1390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-0.0699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0.9631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0.0263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45 - 64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149.7133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0.0555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29.3681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-33.0946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0.8387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0.0498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0.0740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-0.2135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0.0043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-0.0189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-0.0587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-0.0444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0.5072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-0.0133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-0.0091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9320E5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0.0063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0.0290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0.6082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0.1542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0.1539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0.0418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0.4812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0.1539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0.1300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0.1277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0.0315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0.0935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0.1031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-0.9902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-0.8286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-0.8679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-1.3211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-1.2648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-1.3913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0.1141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0.1842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0.1701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-0.0755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0.0162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&gt; 65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70.9580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0.4180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-21.7875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0.4962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-34.6060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0.5522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0.3447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-0.2572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-0.0573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-0.0199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0.1861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0.0742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0.3341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0.0504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-0.0155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0.2789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-0.0177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0.7775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0.0960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0.0859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-0.0116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0.8606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0.0833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0.0608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0.1262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0.0550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-0.7003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-0.5909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-0.6402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-1.2824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-1.1810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-1.2591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0.1246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0.0464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0.1947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0.1715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-0.0364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0.4036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0.0097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0.5445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0.0160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0.0478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White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79.3962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0.2926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-27.6286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0.1277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-41.2532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0.0219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0.5572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0.0387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-0.2920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EC7026" w:rsidP="00B22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-0.0720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-0.0757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-0.0865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0.1814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-0.0085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0.5850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-0.0081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0.3021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0.0919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0.0920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0.2235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0.2029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0.0893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0.2089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0.1727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0.1915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0.1545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0.1512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-1.0276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-0.8800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-0.9448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-1.1817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-1.1409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-1.2616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0.1268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0.0200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0.2198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0.2016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-0.0407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0.2785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0.0127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0.1585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Black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102.9162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0.1728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12.3081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0.6701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-8.2792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0.5070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0.0511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0.1728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0.0320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0.0283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-0.2697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-0.0361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0.1910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-0.0480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-0.1313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-0.0116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0.6406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0.1844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0.5732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0.1755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0.1675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0.5995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0.1756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0.1473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0.0100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0.1260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0.1298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-1.0772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-0.9093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-0.9582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-1.4985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-1.4228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-1.5355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0.0790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0.1464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0.1444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0.1355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-0.0525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0.1620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-0.0075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0.6013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0.6567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Hispanic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106.4614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0.1586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24.5908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0.3499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32.0884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0.0843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0.0818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-0.3067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-0.0329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0.1922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-0.0209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-0.0877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0.1752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-0.0170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0.4534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-0.0015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0.5801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-0.0111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0.8389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0.1894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0.1910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0.6933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0.1891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0.1659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0.1111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0.1324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-1.0387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-0.8941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-0.9094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-1.6730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-1.6191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-1.6975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0.3168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0.1713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0.1659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-0.0543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0.1483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-0.0136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0.2979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-0.0167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Other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65.3323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0.3969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-58.1608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0.0390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-42.6476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0.0386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0.3131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0.0557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-0.3194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-0.0818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-0.0587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-0.0963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0.1462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-0.0313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0.1972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0.4963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0.0983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0.0768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0.1859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0.1921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0.0835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0.1529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0.1733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0.1415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0.0154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0.1268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-0.7582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-0.6518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-0.6770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-1.2766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-1.2556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-1.3013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0.0319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0.1874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0.1796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-0.0339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0.3765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5B66CE" w:rsidRPr="00DF690F" w:rsidTr="00924BD2">
        <w:trPr>
          <w:trHeight w:val="300"/>
        </w:trPr>
        <w:tc>
          <w:tcPr>
            <w:tcW w:w="10447" w:type="dxa"/>
            <w:gridSpan w:val="8"/>
            <w:noWrap/>
            <w:vAlign w:val="bottom"/>
            <w:hideMark/>
          </w:tcPr>
          <w:p w:rsidR="005B66CE" w:rsidRPr="00DF690F" w:rsidRDefault="005B66CE" w:rsidP="005B66CE">
            <w:pPr>
              <w:jc w:val="center"/>
              <w:rPr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Emergency Department Services Models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All Visits</w:t>
            </w: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32.7295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0.4020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44.9275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34.2907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0.0223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0.3229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-0.0001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0.9923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0.0187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-0.0571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0.1118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0.0453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-0.0101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0.0502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-0.0467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0.1735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-0.0052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0.6477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0.6606</w:t>
            </w:r>
          </w:p>
        </w:tc>
      </w:tr>
      <w:tr w:rsidR="009A1159" w:rsidRPr="00DF690F" w:rsidTr="009A1159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0.0388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0.1694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0.0765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0.0765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0.0630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0.0336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0.0538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0.0595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0.0393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0.1863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-0.0001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0.9927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0.0215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-0.1044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0.0005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-0.0548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-0.0512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-0.0546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0.0545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-0.0248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0.0117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-0.0255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0.0170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0.5473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0.1129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0.1249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-0.0195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0.3160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-0.0255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-0.0202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Diabetes</w:t>
            </w: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40.5294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0.7938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3.8378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0.9484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31.9914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0.2854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0.2839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0.0006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0.3031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0.2754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0.2209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0.1097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0.0087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0.8707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-0.0271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0.3202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0.0161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0.9019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-0.0264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0.6233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0.0461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0.0937</w:t>
            </w:r>
          </w:p>
        </w:tc>
      </w:tr>
      <w:tr w:rsidR="009A1159" w:rsidRPr="00DF690F" w:rsidTr="009A1159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-0.0501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0.6315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0.0504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0.2429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0.0666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0.0025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0.0020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0.9850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0.0528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0.2213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0.0732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0.0009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0.0049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0.9639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0.0462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0.2820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0.0530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0.0164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-0.3236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0.0068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-0.2874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-0.2134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-0.4426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-0.3337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-0.3345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0.0234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0.8194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0.0784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0.0661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0.0749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0.0007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-0.0260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0.7356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-0.0078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0.7917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-0.0218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0.1441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Mental illness</w:t>
            </w: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213.0836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0.0303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16.4376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0.6233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91.9567</w:t>
            </w:r>
          </w:p>
        </w:tc>
        <w:tc>
          <w:tcPr>
            <w:tcW w:w="979" w:type="dxa"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474A42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0.0770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0.1422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0.1420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0.1487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0.0622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0.4898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0.0191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0.5308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0.0316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0.0175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0.0343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0.6996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0.7469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0.0617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9A1159" w:rsidRPr="00DF690F" w:rsidTr="009A1159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0.0467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0.5058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0.0637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0.0597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0.0923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0.2076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0.0935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0.0804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0.1086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0.1362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0.0532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0.0307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0.0464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-0.3433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-0.2596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-0.2457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-0.2104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0.0041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-0.2753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-0.2790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0.0656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0.3485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0.0889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0.0635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9A1159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9A1159" w:rsidRPr="00DF690F" w:rsidRDefault="009A1159" w:rsidP="009A1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9A1159" w:rsidRPr="00DF690F" w:rsidRDefault="009A1159" w:rsidP="009A1159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-0.1110</w:t>
            </w:r>
          </w:p>
        </w:tc>
        <w:tc>
          <w:tcPr>
            <w:tcW w:w="99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0.0233</w:t>
            </w:r>
          </w:p>
        </w:tc>
        <w:tc>
          <w:tcPr>
            <w:tcW w:w="1080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-0.0132</w:t>
            </w:r>
          </w:p>
        </w:tc>
        <w:tc>
          <w:tcPr>
            <w:tcW w:w="1011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0.4295</w:t>
            </w:r>
          </w:p>
        </w:tc>
        <w:tc>
          <w:tcPr>
            <w:tcW w:w="123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-0.0507</w:t>
            </w:r>
          </w:p>
        </w:tc>
        <w:tc>
          <w:tcPr>
            <w:tcW w:w="979" w:type="dxa"/>
            <w:noWrap/>
            <w:vAlign w:val="bottom"/>
            <w:hideMark/>
          </w:tcPr>
          <w:p w:rsidR="009A1159" w:rsidRPr="00DF690F" w:rsidRDefault="009A1159" w:rsidP="009A1159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Substance abuse</w:t>
            </w: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12.9060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0.8619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-29.1412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0.3209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-2.7341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0.8303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0.1138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0.0058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0.1040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0.1102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0.0895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0.1811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-0.0092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0.7302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0.0241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0.0364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-0.0476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0.4685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-0.0595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0.0249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-0.0308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0.0074</w:t>
            </w:r>
          </w:p>
        </w:tc>
      </w:tr>
      <w:tr w:rsidR="007A1AEB" w:rsidRPr="00DF690F" w:rsidTr="007A1AEB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0.0496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0.3426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0.0211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0.3312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-0.0216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0.0226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0.0333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0.5446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-0.0141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0.5188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-0.0294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0.0019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-0.0288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0.6047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-0.0494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-0.0345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0.0003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-0.0453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0.4189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-0.0723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-0.0694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-0.1653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0.0023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-0.1699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-0.1589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-0.0453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0.3934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-0.0390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0.0734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-0.0440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-0.0112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0.7609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0.0097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0.5064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-0.0034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0.5930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Females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58.5041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49.3335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28.2226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0.3501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0.0133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0.1423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0.0246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-0.0390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0.3269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0.0563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-0.0093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0.0990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-0.0333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0.3862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-0.0047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0.7168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0.0092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0.0943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0.0519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0.0970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0.0766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0.0794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0.1367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0.0602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0.0492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0.1354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0.8343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-0.1283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-0.0715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-0.0702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-0.0645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0.0410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-0.0413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-0.0508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462CC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0.0269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0.3910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0.1173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0.1275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-0.0323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0.1347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-0.0276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-0.0171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Males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-33.2736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0.4561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31.2078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0.0395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25.7751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0.4816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0.5159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0.0283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-0.1115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0.0256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0.0641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-0.0173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-0.0247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0.5342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-0.0041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0.7607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0.0094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0.1213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0.0363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0.2592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0.0817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0.0747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0.0803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0.3212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0.8325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0.0212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-0.0890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0.0095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-0.0379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-0.0358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-0.0576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0.0763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-0.0099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0.3839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-0.0077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0.1398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0.0118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0.7157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0.1092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0.1214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0.0133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0.5496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-0.0187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0.0131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-0.0160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&lt; 19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-103.3790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0.0755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66.0765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67.3860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-0.0591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-0.0748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-0.0466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-0.2781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0.0261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0.8197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-0.0223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0.6711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-0.0068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0.7134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-0.0054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0.5355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0.2992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0.1070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0.0834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0.0842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0.0671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0.0689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0.0479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0.2816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0.2683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0.0287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-0.0763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0.0892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0.0218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0.1653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0.0554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0.0601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0.1546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0.0984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0.0928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0.0140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0.7404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0.1552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0.1496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0.0963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-0.0361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-0.0368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19 - 44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118.1439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0.0109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23.2855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0.1135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-0.8123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0.8997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0.0548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0.2108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0.0360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-0.0307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-0.0895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0.0296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-0.0054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0.6799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0.0138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0.0159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0.0563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0.0931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0.0799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0.0845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0.0398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0.2594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0.0412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0.2424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0.8285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0.0258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-0.1160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-0.0937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-0.0850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-0.0919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-0.0797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-0.0765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0.3240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0.0970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-0.0619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-0.0026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0.4125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45 - 64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70.7647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0.0998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18.1394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0.2773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0.2934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0.9700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0.1401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0.0960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0.0944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0.0812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0.0381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0.0656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0.7148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0.9384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0.9628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0.0137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0.0456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0.4352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0.0245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0.0515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0.0658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0.0397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0.0251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0.0340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0.0408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0.2040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-0.0265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0.0326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0.4851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-0.1573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-0.1393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-0.1173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-0.2223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-0.1922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-0.1757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0.0131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0.6696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0.0758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0.0934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-0.0383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0.0732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-0.0122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0.1433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-0.0033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0.4014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&gt; 65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33.1129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0.8084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77.7006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0.1592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-41.7444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0.1058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0.1201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0.0214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0.5671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0.9477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0.7074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0.1682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0.0522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-0.0066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0.9576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-0.0125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0.8031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0.0094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0.6929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-0.1806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0.0519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0.0440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0.2654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0.0157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0.3925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-0.0518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0.5859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0.4376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-0.0372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0.0459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-0.2173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-0.0426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0.2863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-0.0283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0.1276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-0.4659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-0.2060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-0.1736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-0.4372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-0.3001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-0.3351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-0.2348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0.0125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0.0460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0.2410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0.0587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0.7685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-0.0423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0.1238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0.1804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White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-16.4784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0.8281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6.0772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0.8019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42.3067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-0.0279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0.5044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-0.1030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-0.0907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-0.0064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0.9267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0.7979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-0.0221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0.0339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-0.0833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0.2057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-0.0344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0.1046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0.1343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0.2930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0.0164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0.1355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0.0182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0.0242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0.1849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0.0447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0.0719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0.2125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-0.0199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0.2737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0.0115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0.1775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-0.0675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0.2459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-0.0662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-0.0444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-0.0432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0.4331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-0.0480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0.0085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-0.0165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0.0180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0.7428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0.0590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0.0868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0.0049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0.8962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-0.0062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0.6064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-0.0242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Black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75.4097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0.1586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22.6109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0.2781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4.1050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0.6240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-0.0321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0.2724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-0.0540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-0.0599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-0.0316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0.5174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0.0395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0.0371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-0.0104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0.1750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-0.0186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0.6999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0.0118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0.5304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0.0615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0.0371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0.3350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0.1119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0.2984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0.0803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0.0885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0.0683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0.0909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0.2157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0.0355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-0.1912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-0.1114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-0.1072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-0.1557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-0.0812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-0.0956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0.0235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0.5423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0.1362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0.1454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-0.0406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0.1269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0.1667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-0.0051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0.2177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Hispanic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22.0076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0.6854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70.3697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23.3010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0.0043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0.4700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0.0116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0.3270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-0.0851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0.0870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0.0794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-0.0053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0.4762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-0.0592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0.2199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-0.0117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0.4837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0.3597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0.2200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0.0792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0.0753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0.1989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0.0556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0.0511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0.0172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0.6780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0.6560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0.0214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-0.0841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-0.0348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0.0144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-0.0407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-0.0402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0.3092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0.9578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-0.0106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0.0863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0.0291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0.4589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0.1306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0.1382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-0.0382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Other Race/Ethnicity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-62.5491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0.2618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-13.3313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0.4831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-33.9018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0.1159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0.1352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0.1498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-0.1348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0.0081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0.7019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-0.0359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0.9735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0.0143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0.3888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0.0225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0.0010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0.0258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0.5195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0.0679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0.0655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0.0401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0.3392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0.0473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0.0497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0.0183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0.6644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-0.0075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0.5997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0.0207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-0.1328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-0.0379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-0.0515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-0.0497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0.2176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-0.0228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0.1090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-0.0450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-0.0245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0.5417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0.1018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0.1062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0.3165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0.7213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0.0136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5B66CE" w:rsidRPr="00DF690F" w:rsidTr="00924BD2">
        <w:trPr>
          <w:trHeight w:val="300"/>
        </w:trPr>
        <w:tc>
          <w:tcPr>
            <w:tcW w:w="10447" w:type="dxa"/>
            <w:gridSpan w:val="8"/>
            <w:noWrap/>
            <w:vAlign w:val="bottom"/>
            <w:hideMark/>
          </w:tcPr>
          <w:p w:rsidR="005B66CE" w:rsidRPr="00DF690F" w:rsidRDefault="005B66CE" w:rsidP="005B66CE">
            <w:pPr>
              <w:jc w:val="center"/>
              <w:rPr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 xml:space="preserve">Pharmacy </w:t>
            </w:r>
            <w:r w:rsidR="00F95CF4" w:rsidRPr="00DF690F">
              <w:rPr>
                <w:b/>
                <w:bCs/>
                <w:sz w:val="20"/>
                <w:szCs w:val="20"/>
              </w:rPr>
              <w:t xml:space="preserve">Services </w:t>
            </w:r>
            <w:r w:rsidRPr="00DF690F">
              <w:rPr>
                <w:b/>
                <w:bCs/>
                <w:sz w:val="20"/>
                <w:szCs w:val="20"/>
              </w:rPr>
              <w:t>Models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All Prescription Fills</w:t>
            </w: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-105.5040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0.1068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-133.7350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-125.6700</w:t>
            </w:r>
          </w:p>
        </w:tc>
        <w:tc>
          <w:tcPr>
            <w:tcW w:w="979" w:type="dxa"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0.0430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0.1833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0.0385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0.0456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-0.1643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0.0088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-0.0457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0.0283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-0.0618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-0.0701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0.2097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-0.0368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0.0486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-0.0279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7A1AEB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-0.0128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0.7874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0.1152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0.1494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0.0270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0.5885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0.1118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0.0967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0.0271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0.5862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0.0217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0.1841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0.0550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-0.5511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-0.5273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-0.5193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-1.0953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-1.1299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-1.1256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0.0679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0.1518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0.1653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0.1752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0.0509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0.1179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0.0649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0.0612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Diabetes</w:t>
            </w: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-246.2680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0.0010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-305.3600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-359.5330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0.0324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0.4157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0.0402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0.0210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0.0359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-0.0474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0.4976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-0.0715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0.0124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-0.1425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-0.0431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0.5014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-0.0452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0.0881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-0.0312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0.0066</w:t>
            </w:r>
          </w:p>
        </w:tc>
      </w:tr>
      <w:tr w:rsidR="007A1AEB" w:rsidRPr="00DF690F" w:rsidTr="007A1AEB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-0.0252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0.6371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0.0630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0.1233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0.0450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0.4225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0.0882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0.0733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-0.0158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0.7789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-0.0273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0.2297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0.0199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0.0437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-0.3985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-0.4246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-0.3960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-1.0188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-1.0505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-1.0385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0.0464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0.3845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0.1611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0.1859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0.1191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0.0014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0.1484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0.1754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E77860" w:rsidRDefault="007A1AEB" w:rsidP="007A1AEB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7860">
              <w:rPr>
                <w:rFonts w:ascii="Calibri" w:hAnsi="Calibri"/>
                <w:b/>
                <w:color w:val="000000"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Mental illness</w:t>
            </w: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-13.5048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0.8585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-47.0846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0.0648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-0.2070</w:t>
            </w:r>
          </w:p>
        </w:tc>
        <w:tc>
          <w:tcPr>
            <w:tcW w:w="979" w:type="dxa"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0.9850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0.1919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0.1817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0.1696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-0.1209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0.0930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-0.0459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0.0588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-0.0243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0.0199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-0.0997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0.1239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-0.0527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0.0165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-0.0341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0.0003</w:t>
            </w:r>
          </w:p>
        </w:tc>
      </w:tr>
      <w:tr w:rsidR="007A1AEB" w:rsidRPr="00DF690F" w:rsidTr="007A1AEB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-0.0339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0.5349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0.1139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0.1478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0.0101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0.8605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0.1148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0.1045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0.0299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0.6021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0.0361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0.0584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0.0691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-0.6840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-0.6463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-0.6440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-1.0861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-1.1271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-1.1429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-0.0019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0.9719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0.1269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0.1362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7A1AE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7A1AEB" w:rsidRPr="00DF690F" w:rsidRDefault="007A1AEB" w:rsidP="007A1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7A1AEB" w:rsidRPr="00DF690F" w:rsidRDefault="007A1AEB" w:rsidP="007A1AE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0.0041</w:t>
            </w:r>
          </w:p>
        </w:tc>
        <w:tc>
          <w:tcPr>
            <w:tcW w:w="99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0.9131</w:t>
            </w:r>
          </w:p>
        </w:tc>
        <w:tc>
          <w:tcPr>
            <w:tcW w:w="1080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0.0208</w:t>
            </w:r>
          </w:p>
        </w:tc>
        <w:tc>
          <w:tcPr>
            <w:tcW w:w="1011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690F">
              <w:rPr>
                <w:rFonts w:ascii="Calibri" w:hAnsi="Calibri"/>
                <w:color w:val="000000"/>
                <w:sz w:val="20"/>
                <w:szCs w:val="20"/>
              </w:rPr>
              <w:t>0.1013</w:t>
            </w:r>
          </w:p>
        </w:tc>
        <w:tc>
          <w:tcPr>
            <w:tcW w:w="123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-0.0026</w:t>
            </w:r>
          </w:p>
        </w:tc>
        <w:tc>
          <w:tcPr>
            <w:tcW w:w="979" w:type="dxa"/>
            <w:noWrap/>
            <w:vAlign w:val="bottom"/>
            <w:hideMark/>
          </w:tcPr>
          <w:p w:rsidR="007A1AEB" w:rsidRPr="00DF690F" w:rsidRDefault="007A1AEB" w:rsidP="007A1AE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0.6387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Females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-90.4401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0.1784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-133.7730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-128.4720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0.2050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0.0402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0.0474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-0.1548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0.0160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-0.0426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0.0468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-0.0621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-0.0771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0.1794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-0.0322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0.0941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-0.0252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-0.0271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0.5773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0.1124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0.1424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0.0186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0.7155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0.1065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0.0892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0.0120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0.8146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0.1735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0.0527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-0.5513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-0.5106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-0.5074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-1.1090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-1.1266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-1.1358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0.0386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0.4273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0.1548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0.1629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0.1939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0.0650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0.0625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Males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-123.7160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0.0680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-131.7300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-126.1020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0.1169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0.0376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-0.1737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-0.0472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-0.0627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-0.0645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0.2654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-0.0455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0.0185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-0.0291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0.0101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0.8373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0.1187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0.1600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0.0386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0.4531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0.1185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0.1075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0.0505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0.3270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0.2469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0.0583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-0.5447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-0.5501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-0.5377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-1.0662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-1.1308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-1.1151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0.1085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0.0266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0.1796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0.1937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0.0599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0.0758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0.0611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&lt; 19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-87.9943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0.2633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30.2180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0.2781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32.6807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0.0252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0.0071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0.8554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0.3153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-0.0320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-0.3516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0.0279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0.2926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0.0254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0.0663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-0.0986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0.1437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-0.0081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0.7361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-0.0054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0.6688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0.0254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0.6554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0.1565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0.1901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0.0367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0.5385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0.1365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0.1232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0.0865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0.1478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0.0491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0.0184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0.0775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-0.5611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-0.5483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-0.5695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-1.0802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-1.1833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-1.2119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0.0863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0.1284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0.2145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0.2303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0.0418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0.2858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-0.0171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0.2184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-0.0184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0.0112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19 - 44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-48.4287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0.4969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-86.1611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-89.9855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0.0535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0.1297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0.0370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0.0260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-0.1445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0.0334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-0.0253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0.2746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-0.0563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-0.0832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0.1728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-0.0338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0.1056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0.0946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0.9886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0.1210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0.1496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0.5747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0.1006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0.0283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0.6015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0.0365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0.0449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-0.6191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-0.5810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-0.5823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-1.0579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-1.0885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-1.1129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0.4079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0.1459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0.1537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0.0224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0.5275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0.0411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45 - 64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-66.0828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0.3387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-154.9060</w:t>
            </w:r>
          </w:p>
        </w:tc>
        <w:tc>
          <w:tcPr>
            <w:tcW w:w="1011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-197.3710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0.0261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0.4448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0.0554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0.0581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-0.0518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0.4328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-0.0329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0.0026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-0.0899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-0.0384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0.5154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-0.0341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0.0005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-0.0266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-0.0470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0.3468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0.0969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0.1349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0.9214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0.0984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0.0841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-0.0050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0.9240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0.0064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0.4558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0.0452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-0.5489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-0.5092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-0.4939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-1.1502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-1.1348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-1.1263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0.0632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0.2050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0.1569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0.1662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0.0317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0.3559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0.0763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0.0973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Age &gt; 65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-309.1900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-397.6000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EC7026" w:rsidP="00B22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-376.9540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EC7026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0.0138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0.8124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-0.0036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0.8776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-0.0173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0.1416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-0.1595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0.1249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-0.1409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-0.1547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-0.0749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0.4355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-0.0462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0.2056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-0.0479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0.0065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0.0248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0.7572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0.0667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0.0345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0.1222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0.0673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0.4242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0.0559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0.0763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0.0677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0.0787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0.3504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-0.0339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0.2802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0.0124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0.4120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-0.2451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-0.3152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-0.2980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-0.8367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-0.9865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-0.9727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0.1244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0.1387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0.1757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0.1526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0.1966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0.1863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E77860" w:rsidRDefault="00B22D4B" w:rsidP="00B22D4B">
            <w:pPr>
              <w:jc w:val="right"/>
              <w:rPr>
                <w:b/>
                <w:sz w:val="20"/>
                <w:szCs w:val="20"/>
              </w:rPr>
            </w:pPr>
            <w:r w:rsidRPr="00E77860">
              <w:rPr>
                <w:b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White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-62.9244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0.3816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-147.5810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-125.1770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0.0768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0.0312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0.0751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-0.1194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0.0807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-0.0785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0.0018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-0.0831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-0.0744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0.2266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-0.0463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0.0422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-0.0205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0.0466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-0.0410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0.4301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0.1148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0.1474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0.9672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0.1019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0.0927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0.0192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0.7258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0.0306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0.1224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0.0579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-0.6839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-0.6346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-0.6366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-0.9348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-0.9498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-0.9649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0.0717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0.1673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0.1723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0.1778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0.0298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0.4045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0.0719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0.0607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Black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-150.8300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0.0737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-142.1750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0.0023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-138.9130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0.0596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0.1549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-0.0017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0.9491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-0.0111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0.2470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-0.1921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0.0165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-0.0499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0.2587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-0.0701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EC7026" w:rsidP="00B22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-0.0845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0.2418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-0.0210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0.6007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-0.0137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0.3484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-0.0526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0.3864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0.0950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0.1364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-0.0205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0.7482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0.0916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0.0087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0.0863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-0.0036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0.9545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0.9531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0.0526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-0.6497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-0.6280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-0.6107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-1.3296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-1.4019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-1.4073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0.0355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0.5588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0.1214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0.1500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0.0734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0.0802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0.0688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0.0030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0.0673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Hispanic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-103.2430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0.2028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-75.6690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0.0055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-76.2414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0.0594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0.1392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0.0414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0.0027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0.0437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-0.2118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0.0064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-0.0209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0.4248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-0.0398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-0.0713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0.3034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-0.0212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0.3670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-0.0165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0.0923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-0.0036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0.9506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0.1304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0.1595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0.0446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0.4700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0.1327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0.1098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0.0564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0.3606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0.0354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0.0831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0.0625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-0.5397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-0.5283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-0.5319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-1.3933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-1.4157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-1.4271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0.0665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0.2568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0.1838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0.1893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0.0497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0.2178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0.0360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0.0080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0.0362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Other Race/Ethnicity</w:t>
            </w: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Intercept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-100.7440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0.1501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-191.5780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-217.7910</w:t>
            </w:r>
          </w:p>
        </w:tc>
        <w:tc>
          <w:tcPr>
            <w:tcW w:w="979" w:type="dxa"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Designation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-0.0719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0.0424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-0.0445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0.0004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-0.0497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462CC3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Year vs. Previous Two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-0.1200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0.0698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-0.0462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0.0376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-0.0834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Storm Zone by Year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-0.0716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0.2309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-0.0509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0.0114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-0.0286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0.0011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Monday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0.0452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0.3713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0.1208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0.1623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Tuesday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0.1190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0.0248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0.1250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0.1004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Wednesday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0.0490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0.3567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0.0112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0.5238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0.0474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Friday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-0.3026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-0.3194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-0.3143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Saturday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-0.7457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-0.8440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-0.8328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 w:rsidP="003A3733">
            <w:pPr>
              <w:jc w:val="center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Sunday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0.0995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0.0485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0.1753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0.1918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  <w:tr w:rsidR="00B22D4B" w:rsidRPr="00DF690F" w:rsidTr="00924BD2">
        <w:trPr>
          <w:trHeight w:val="300"/>
        </w:trPr>
        <w:tc>
          <w:tcPr>
            <w:tcW w:w="1643" w:type="dxa"/>
            <w:noWrap/>
            <w:hideMark/>
          </w:tcPr>
          <w:p w:rsidR="00B22D4B" w:rsidRPr="00DF690F" w:rsidRDefault="00B22D4B" w:rsidP="00B22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hideMark/>
          </w:tcPr>
          <w:p w:rsidR="00B22D4B" w:rsidRPr="00DF690F" w:rsidRDefault="00B22D4B">
            <w:pPr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Year Trend</w:t>
            </w:r>
          </w:p>
        </w:tc>
        <w:tc>
          <w:tcPr>
            <w:tcW w:w="135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0.0485</w:t>
            </w:r>
          </w:p>
        </w:tc>
        <w:tc>
          <w:tcPr>
            <w:tcW w:w="99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0.1637</w:t>
            </w:r>
          </w:p>
        </w:tc>
        <w:tc>
          <w:tcPr>
            <w:tcW w:w="1080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0.0937</w:t>
            </w:r>
          </w:p>
        </w:tc>
        <w:tc>
          <w:tcPr>
            <w:tcW w:w="1011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sz w:val="20"/>
                <w:szCs w:val="20"/>
              </w:rPr>
            </w:pPr>
            <w:r w:rsidRPr="00DF690F">
              <w:rPr>
                <w:sz w:val="20"/>
                <w:szCs w:val="20"/>
              </w:rPr>
              <w:t>&lt;.0001</w:t>
            </w:r>
          </w:p>
        </w:tc>
        <w:tc>
          <w:tcPr>
            <w:tcW w:w="123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0.1067</w:t>
            </w:r>
          </w:p>
        </w:tc>
        <w:tc>
          <w:tcPr>
            <w:tcW w:w="979" w:type="dxa"/>
            <w:noWrap/>
            <w:vAlign w:val="bottom"/>
            <w:hideMark/>
          </w:tcPr>
          <w:p w:rsidR="00B22D4B" w:rsidRPr="00DF690F" w:rsidRDefault="00B22D4B" w:rsidP="00B22D4B">
            <w:pPr>
              <w:jc w:val="right"/>
              <w:rPr>
                <w:b/>
                <w:bCs/>
                <w:sz w:val="20"/>
                <w:szCs w:val="20"/>
              </w:rPr>
            </w:pPr>
            <w:r w:rsidRPr="00DF690F">
              <w:rPr>
                <w:b/>
                <w:bCs/>
                <w:sz w:val="20"/>
                <w:szCs w:val="20"/>
              </w:rPr>
              <w:t>&lt;.0001</w:t>
            </w:r>
          </w:p>
        </w:tc>
      </w:tr>
    </w:tbl>
    <w:p w:rsidR="00B22D4B" w:rsidRDefault="003979ED">
      <w:pPr>
        <w:rPr>
          <w:sz w:val="20"/>
          <w:szCs w:val="20"/>
        </w:rPr>
      </w:pPr>
      <w:r w:rsidRPr="00DF690F">
        <w:rPr>
          <w:sz w:val="20"/>
          <w:szCs w:val="20"/>
        </w:rPr>
        <w:t>*Figures in bold are for models in which the storm zone by year interaction term was interpreted as significant after applying the Benjamini and Hochberg procedure, as described</w:t>
      </w:r>
      <w:r w:rsidR="00ED05B9" w:rsidRPr="00DF690F">
        <w:rPr>
          <w:sz w:val="20"/>
          <w:szCs w:val="20"/>
        </w:rPr>
        <w:t xml:space="preserve"> in the Methods section on page 6</w:t>
      </w:r>
      <w:r w:rsidRPr="00DF690F">
        <w:rPr>
          <w:sz w:val="20"/>
          <w:szCs w:val="20"/>
        </w:rPr>
        <w:t>, and thus also appear in Tables 2-4.</w:t>
      </w:r>
    </w:p>
    <w:p w:rsidR="00044CE1" w:rsidRDefault="00044CE1">
      <w:pPr>
        <w:rPr>
          <w:sz w:val="20"/>
          <w:szCs w:val="20"/>
        </w:rPr>
      </w:pPr>
      <w:r>
        <w:rPr>
          <w:sz w:val="20"/>
          <w:szCs w:val="20"/>
        </w:rPr>
        <w:t>**I-year effect period model derived from Poisson regression.</w:t>
      </w:r>
    </w:p>
    <w:p w:rsidR="00044CE1" w:rsidRPr="00DF690F" w:rsidRDefault="00044CE1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ᶧ</w:t>
      </w:r>
      <w:r w:rsidR="00F30283">
        <w:rPr>
          <w:sz w:val="20"/>
          <w:szCs w:val="20"/>
        </w:rPr>
        <w:t>3-month effect period model derived from Poisson regression.</w:t>
      </w:r>
    </w:p>
    <w:sectPr w:rsidR="00044CE1" w:rsidRPr="00DF690F" w:rsidSect="00B22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4B"/>
    <w:rsid w:val="00044CE1"/>
    <w:rsid w:val="000A3115"/>
    <w:rsid w:val="002461C8"/>
    <w:rsid w:val="00281C74"/>
    <w:rsid w:val="003979ED"/>
    <w:rsid w:val="003A3733"/>
    <w:rsid w:val="00462CC3"/>
    <w:rsid w:val="00474A42"/>
    <w:rsid w:val="00481E92"/>
    <w:rsid w:val="00491F7C"/>
    <w:rsid w:val="005B66CE"/>
    <w:rsid w:val="0065517B"/>
    <w:rsid w:val="00687D4F"/>
    <w:rsid w:val="007A1AEB"/>
    <w:rsid w:val="007F367A"/>
    <w:rsid w:val="00921228"/>
    <w:rsid w:val="00924BD2"/>
    <w:rsid w:val="009320E5"/>
    <w:rsid w:val="009A1159"/>
    <w:rsid w:val="009F4047"/>
    <w:rsid w:val="00B22D4B"/>
    <w:rsid w:val="00DB282D"/>
    <w:rsid w:val="00DF690F"/>
    <w:rsid w:val="00E77860"/>
    <w:rsid w:val="00EC7026"/>
    <w:rsid w:val="00ED05B9"/>
    <w:rsid w:val="00F30283"/>
    <w:rsid w:val="00F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598D5-03CB-4CF9-8650-07BE99DC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table" w:styleId="TableGrid">
    <w:name w:val="Table Grid"/>
    <w:basedOn w:val="TableNormal"/>
    <w:uiPriority w:val="59"/>
    <w:rsid w:val="00B2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5624</Words>
  <Characters>32061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Department of Health</Company>
  <LinksUpToDate>false</LinksUpToDate>
  <CharactersWithSpaces>37610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 Sharp</dc:creator>
  <cp:keywords/>
  <dc:description/>
  <cp:lastModifiedBy>Mary Ann Ricohermoso</cp:lastModifiedBy>
  <cp:revision>2</cp:revision>
  <dcterms:created xsi:type="dcterms:W3CDTF">2016-05-16T09:53:00Z</dcterms:created>
  <dcterms:modified xsi:type="dcterms:W3CDTF">2016-05-16T09:53:00Z</dcterms:modified>
</cp:coreProperties>
</file>