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73423" w14:textId="3330C84D" w:rsidR="008B4562" w:rsidRDefault="008B4562" w:rsidP="008B4562">
      <w:pPr>
        <w:pStyle w:val="Caption"/>
        <w:keepNext/>
        <w:spacing w:after="0"/>
        <w:contextualSpacing/>
        <w:rPr>
          <w:rFonts w:cs="Times New Roman"/>
          <w:b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i w:val="0"/>
          <w:color w:val="auto"/>
          <w:sz w:val="24"/>
          <w:szCs w:val="24"/>
        </w:rPr>
        <w:t>Supplementa</w:t>
      </w:r>
      <w:r w:rsidR="00411096">
        <w:rPr>
          <w:rFonts w:cs="Times New Roman"/>
          <w:b/>
          <w:i w:val="0"/>
          <w:color w:val="auto"/>
          <w:sz w:val="24"/>
          <w:szCs w:val="24"/>
        </w:rPr>
        <w:t>ry Tables</w:t>
      </w:r>
    </w:p>
    <w:p w14:paraId="6CFF152A" w14:textId="77777777" w:rsidR="008B4562" w:rsidRDefault="008B4562" w:rsidP="008B4562">
      <w:pPr>
        <w:pStyle w:val="Caption"/>
        <w:keepNext/>
        <w:spacing w:after="0"/>
        <w:contextualSpacing/>
        <w:rPr>
          <w:rFonts w:cs="Times New Roman"/>
          <w:b/>
          <w:i w:val="0"/>
          <w:color w:val="auto"/>
          <w:sz w:val="24"/>
          <w:szCs w:val="24"/>
        </w:rPr>
      </w:pPr>
    </w:p>
    <w:p w14:paraId="60DF6051" w14:textId="7B2864D7" w:rsidR="00455212" w:rsidRPr="00CF347F" w:rsidRDefault="00411096" w:rsidP="008B4562">
      <w:pPr>
        <w:spacing w:line="240" w:lineRule="auto"/>
        <w:contextualSpacing/>
        <w:rPr>
          <w:b/>
          <w:iCs/>
          <w:szCs w:val="24"/>
        </w:rPr>
      </w:pPr>
      <w:r>
        <w:rPr>
          <w:b/>
          <w:iCs/>
          <w:szCs w:val="24"/>
        </w:rPr>
        <w:t xml:space="preserve">Supplementary </w:t>
      </w:r>
      <w:r w:rsidR="004211AA" w:rsidRPr="00CF347F">
        <w:rPr>
          <w:b/>
          <w:iCs/>
          <w:szCs w:val="24"/>
        </w:rPr>
        <w:t xml:space="preserve">Table </w:t>
      </w:r>
      <w:r w:rsidR="00DA223A">
        <w:rPr>
          <w:b/>
          <w:iCs/>
          <w:szCs w:val="24"/>
        </w:rPr>
        <w:t>1</w:t>
      </w:r>
      <w:r w:rsidR="004211AA" w:rsidRPr="00CF347F">
        <w:rPr>
          <w:b/>
          <w:iCs/>
          <w:szCs w:val="24"/>
        </w:rPr>
        <w:t>.</w:t>
      </w:r>
      <w:r w:rsidR="005158E7">
        <w:rPr>
          <w:b/>
          <w:iCs/>
          <w:szCs w:val="24"/>
        </w:rPr>
        <w:t xml:space="preserve"> </w:t>
      </w:r>
      <w:r w:rsidR="00113186">
        <w:rPr>
          <w:b/>
          <w:iCs/>
          <w:szCs w:val="24"/>
        </w:rPr>
        <w:t xml:space="preserve">Numbers of </w:t>
      </w:r>
      <w:r w:rsidR="002D2475">
        <w:rPr>
          <w:b/>
          <w:iCs/>
          <w:szCs w:val="24"/>
        </w:rPr>
        <w:t xml:space="preserve">outpatient and inpatient </w:t>
      </w:r>
      <w:r w:rsidR="00113186">
        <w:rPr>
          <w:b/>
          <w:iCs/>
          <w:szCs w:val="24"/>
        </w:rPr>
        <w:t>cases by</w:t>
      </w:r>
      <w:r w:rsidR="004211AA" w:rsidRPr="00CF347F">
        <w:rPr>
          <w:b/>
          <w:iCs/>
          <w:szCs w:val="24"/>
        </w:rPr>
        <w:t xml:space="preserve"> International Classification of Diseases, 9</w:t>
      </w:r>
      <w:r w:rsidR="004211AA" w:rsidRPr="00CF347F">
        <w:rPr>
          <w:b/>
          <w:iCs/>
          <w:szCs w:val="24"/>
          <w:vertAlign w:val="superscript"/>
        </w:rPr>
        <w:t>th</w:t>
      </w:r>
      <w:r w:rsidR="004211AA" w:rsidRPr="00CF347F">
        <w:rPr>
          <w:b/>
          <w:iCs/>
          <w:szCs w:val="24"/>
        </w:rPr>
        <w:t xml:space="preserve"> Revision (ICD-9) discharge codes used to def</w:t>
      </w:r>
      <w:r w:rsidR="00113186">
        <w:rPr>
          <w:b/>
          <w:iCs/>
          <w:szCs w:val="24"/>
        </w:rPr>
        <w:t>ine food and waterborne disease.</w:t>
      </w:r>
    </w:p>
    <w:p w14:paraId="747EDADD" w14:textId="77777777" w:rsidR="004211AA" w:rsidRPr="004211AA" w:rsidRDefault="004211AA" w:rsidP="008B4562">
      <w:pPr>
        <w:spacing w:line="240" w:lineRule="auto"/>
        <w:contextualSpacing/>
        <w:rPr>
          <w:iCs/>
          <w:szCs w:val="24"/>
        </w:rPr>
      </w:pPr>
    </w:p>
    <w:tbl>
      <w:tblPr>
        <w:tblStyle w:val="TableGrid"/>
        <w:tblW w:w="93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4489"/>
        <w:gridCol w:w="1780"/>
        <w:gridCol w:w="1546"/>
      </w:tblGrid>
      <w:tr w:rsidR="00B62C2E" w:rsidRPr="002D3124" w14:paraId="04A66A18" w14:textId="69251A20" w:rsidTr="002D2475">
        <w:trPr>
          <w:jc w:val="center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81AD6" w14:textId="15DD38FD" w:rsidR="00B62C2E" w:rsidRPr="002D3124" w:rsidRDefault="00B62C2E" w:rsidP="00284B5C">
            <w:pPr>
              <w:contextualSpacing/>
              <w:rPr>
                <w:rFonts w:cs="Times New Roman"/>
                <w:b/>
                <w:szCs w:val="24"/>
              </w:rPr>
            </w:pPr>
            <w:r w:rsidRPr="002D3124">
              <w:rPr>
                <w:rFonts w:cs="Times New Roman"/>
                <w:b/>
                <w:szCs w:val="24"/>
              </w:rPr>
              <w:t xml:space="preserve">ICD-9 </w:t>
            </w:r>
            <w:r w:rsidR="00284B5C">
              <w:rPr>
                <w:rFonts w:cs="Times New Roman"/>
                <w:b/>
                <w:szCs w:val="24"/>
              </w:rPr>
              <w:t>c</w:t>
            </w:r>
            <w:r w:rsidRPr="002D3124">
              <w:rPr>
                <w:rFonts w:cs="Times New Roman"/>
                <w:b/>
                <w:szCs w:val="24"/>
              </w:rPr>
              <w:t>ode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A4DC5" w14:textId="54D6C493" w:rsidR="00B62C2E" w:rsidRPr="002D3124" w:rsidRDefault="00B62C2E" w:rsidP="008B4562">
            <w:pPr>
              <w:contextualSpacing/>
              <w:rPr>
                <w:rFonts w:cs="Times New Roman"/>
                <w:b/>
                <w:szCs w:val="24"/>
              </w:rPr>
            </w:pPr>
            <w:r w:rsidRPr="002D3124">
              <w:rPr>
                <w:rFonts w:cs="Times New Roman"/>
                <w:b/>
                <w:szCs w:val="24"/>
              </w:rPr>
              <w:t>Description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92712" w14:textId="77777777" w:rsidR="009F7BBE" w:rsidRDefault="009F7BBE" w:rsidP="008B4562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Outpatient</w:t>
            </w:r>
          </w:p>
          <w:p w14:paraId="45BD731F" w14:textId="288DC806" w:rsidR="00B62C2E" w:rsidRPr="002D3124" w:rsidRDefault="009F7BBE" w:rsidP="008B4562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n </w:t>
            </w:r>
            <w:r w:rsidR="003D7FD9">
              <w:rPr>
                <w:rFonts w:cs="Times New Roman"/>
                <w:b/>
                <w:szCs w:val="24"/>
              </w:rPr>
              <w:t>(%</w:t>
            </w:r>
            <w:r w:rsidR="00B62C2E" w:rsidRPr="002D3124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9FFF9" w14:textId="77777777" w:rsidR="009F7BBE" w:rsidRDefault="00B62C2E" w:rsidP="008B4562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2D3124">
              <w:rPr>
                <w:rFonts w:cs="Times New Roman"/>
                <w:b/>
                <w:szCs w:val="24"/>
              </w:rPr>
              <w:t>Inpatient</w:t>
            </w:r>
          </w:p>
          <w:p w14:paraId="4F68264D" w14:textId="6B5DB11F" w:rsidR="003D7FD9" w:rsidRPr="002D3124" w:rsidRDefault="003D7FD9" w:rsidP="008B4562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</w:t>
            </w:r>
            <w:r w:rsidR="009F7BBE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(%)</w:t>
            </w:r>
          </w:p>
        </w:tc>
      </w:tr>
      <w:tr w:rsidR="00B82052" w:rsidRPr="00B62C2E" w14:paraId="2A902590" w14:textId="69923F4C" w:rsidTr="002D2475">
        <w:trPr>
          <w:jc w:val="center"/>
        </w:trPr>
        <w:tc>
          <w:tcPr>
            <w:tcW w:w="1570" w:type="dxa"/>
          </w:tcPr>
          <w:p w14:paraId="7F40C0EE" w14:textId="4F0C9F67" w:rsidR="00B82052" w:rsidRPr="00B62C2E" w:rsidRDefault="00B82052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003</w:t>
            </w:r>
          </w:p>
        </w:tc>
        <w:tc>
          <w:tcPr>
            <w:tcW w:w="4489" w:type="dxa"/>
          </w:tcPr>
          <w:p w14:paraId="72365CB9" w14:textId="71A3C41F" w:rsidR="00B82052" w:rsidRPr="00B62C2E" w:rsidRDefault="005413EF" w:rsidP="008B4562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Other S</w:t>
            </w:r>
            <w:r w:rsidR="00B82052" w:rsidRPr="00B62C2E">
              <w:rPr>
                <w:rFonts w:cs="Times New Roman"/>
                <w:szCs w:val="24"/>
              </w:rPr>
              <w:t>almonella infections</w:t>
            </w:r>
          </w:p>
        </w:tc>
        <w:tc>
          <w:tcPr>
            <w:tcW w:w="1780" w:type="dxa"/>
            <w:vAlign w:val="center"/>
          </w:tcPr>
          <w:p w14:paraId="767EBE85" w14:textId="44F03007" w:rsidR="00B82052" w:rsidRPr="00B62C2E" w:rsidRDefault="00B82052" w:rsidP="00B66DA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4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(0.</w:t>
            </w:r>
            <w:r w:rsidR="00B66DA9">
              <w:rPr>
                <w:rFonts w:cs="Times New Roman"/>
                <w:color w:val="000000"/>
                <w:szCs w:val="24"/>
              </w:rPr>
              <w:t>2</w:t>
            </w:r>
            <w:r w:rsidR="003D7FD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546" w:type="dxa"/>
            <w:vAlign w:val="center"/>
          </w:tcPr>
          <w:p w14:paraId="2A9332F5" w14:textId="4D6F5ABA" w:rsidR="00B82052" w:rsidRPr="00B62C2E" w:rsidRDefault="00B82052" w:rsidP="008B4562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104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(1.4)</w:t>
            </w:r>
          </w:p>
        </w:tc>
      </w:tr>
      <w:tr w:rsidR="00B62C2E" w:rsidRPr="00B62C2E" w14:paraId="3AB20C7A" w14:textId="6DD117ED" w:rsidTr="002D2475">
        <w:trPr>
          <w:jc w:val="center"/>
        </w:trPr>
        <w:tc>
          <w:tcPr>
            <w:tcW w:w="1570" w:type="dxa"/>
          </w:tcPr>
          <w:p w14:paraId="293E1770" w14:textId="13680CA7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004</w:t>
            </w:r>
          </w:p>
        </w:tc>
        <w:tc>
          <w:tcPr>
            <w:tcW w:w="4489" w:type="dxa"/>
          </w:tcPr>
          <w:p w14:paraId="4E15F057" w14:textId="46F125D3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Shigellosis</w:t>
            </w:r>
          </w:p>
        </w:tc>
        <w:tc>
          <w:tcPr>
            <w:tcW w:w="1780" w:type="dxa"/>
            <w:vAlign w:val="bottom"/>
          </w:tcPr>
          <w:p w14:paraId="2BE4272D" w14:textId="43F877C6" w:rsidR="00B62C2E" w:rsidRPr="00B62C2E" w:rsidRDefault="006B33A6" w:rsidP="00B66DA9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(0.</w:t>
            </w:r>
            <w:r w:rsidR="00B66DA9">
              <w:rPr>
                <w:rFonts w:cs="Times New Roman"/>
                <w:color w:val="000000"/>
                <w:szCs w:val="24"/>
              </w:rPr>
              <w:t>3</w:t>
            </w:r>
            <w:r w:rsidR="003D7FD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546" w:type="dxa"/>
            <w:vAlign w:val="bottom"/>
          </w:tcPr>
          <w:p w14:paraId="098FDDBB" w14:textId="2E17B77B" w:rsidR="00B62C2E" w:rsidRPr="00B62C2E" w:rsidRDefault="00B62C2E" w:rsidP="008B4562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18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(0.2)</w:t>
            </w:r>
          </w:p>
        </w:tc>
      </w:tr>
      <w:tr w:rsidR="00B62C2E" w:rsidRPr="00B62C2E" w14:paraId="471589F8" w14:textId="6F3A0182" w:rsidTr="002D2475">
        <w:trPr>
          <w:jc w:val="center"/>
        </w:trPr>
        <w:tc>
          <w:tcPr>
            <w:tcW w:w="1570" w:type="dxa"/>
          </w:tcPr>
          <w:p w14:paraId="5B957A1D" w14:textId="19BA15D9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005</w:t>
            </w:r>
          </w:p>
        </w:tc>
        <w:tc>
          <w:tcPr>
            <w:tcW w:w="4489" w:type="dxa"/>
          </w:tcPr>
          <w:p w14:paraId="107A838E" w14:textId="1DF24A9B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Other food poisoning (bacterial)</w:t>
            </w:r>
          </w:p>
        </w:tc>
        <w:tc>
          <w:tcPr>
            <w:tcW w:w="1780" w:type="dxa"/>
            <w:vAlign w:val="bottom"/>
          </w:tcPr>
          <w:p w14:paraId="5731B6D2" w14:textId="5EE6A746" w:rsidR="00B62C2E" w:rsidRPr="00B62C2E" w:rsidRDefault="00B62C2E" w:rsidP="00B66DA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255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(10.</w:t>
            </w:r>
            <w:r w:rsidR="00B66DA9">
              <w:rPr>
                <w:rFonts w:cs="Times New Roman"/>
                <w:color w:val="000000"/>
                <w:szCs w:val="24"/>
              </w:rPr>
              <w:t>8</w:t>
            </w:r>
            <w:r w:rsidR="003D7FD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546" w:type="dxa"/>
            <w:vAlign w:val="bottom"/>
          </w:tcPr>
          <w:p w14:paraId="1F58C95F" w14:textId="51AC0E1B" w:rsidR="00B62C2E" w:rsidRPr="00B62C2E" w:rsidRDefault="00B62C2E" w:rsidP="00B66DA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150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(2.</w:t>
            </w:r>
            <w:r w:rsidR="00B66DA9">
              <w:rPr>
                <w:rFonts w:cs="Times New Roman"/>
                <w:color w:val="000000"/>
                <w:szCs w:val="24"/>
              </w:rPr>
              <w:t>1</w:t>
            </w:r>
            <w:r w:rsidR="003D7FD9">
              <w:rPr>
                <w:rFonts w:cs="Times New Roman"/>
                <w:color w:val="000000"/>
                <w:szCs w:val="24"/>
              </w:rPr>
              <w:t>)</w:t>
            </w:r>
          </w:p>
        </w:tc>
      </w:tr>
      <w:tr w:rsidR="00B62C2E" w:rsidRPr="00B62C2E" w14:paraId="52B3C003" w14:textId="2C31FFC7" w:rsidTr="002D2475">
        <w:trPr>
          <w:jc w:val="center"/>
        </w:trPr>
        <w:tc>
          <w:tcPr>
            <w:tcW w:w="1570" w:type="dxa"/>
          </w:tcPr>
          <w:p w14:paraId="205ACF74" w14:textId="12E4DBA2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006</w:t>
            </w:r>
          </w:p>
        </w:tc>
        <w:tc>
          <w:tcPr>
            <w:tcW w:w="4489" w:type="dxa"/>
          </w:tcPr>
          <w:p w14:paraId="56D55F3E" w14:textId="7324E4FC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Amebiasis</w:t>
            </w:r>
          </w:p>
        </w:tc>
        <w:tc>
          <w:tcPr>
            <w:tcW w:w="1780" w:type="dxa"/>
            <w:vAlign w:val="bottom"/>
          </w:tcPr>
          <w:p w14:paraId="00CBFE87" w14:textId="50A60E4E" w:rsidR="00B62C2E" w:rsidRPr="00B62C2E" w:rsidRDefault="00B62C2E" w:rsidP="00B66DA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2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(0.</w:t>
            </w:r>
            <w:r w:rsidR="00B66DA9">
              <w:rPr>
                <w:rFonts w:cs="Times New Roman"/>
                <w:color w:val="000000"/>
                <w:szCs w:val="24"/>
              </w:rPr>
              <w:t>1</w:t>
            </w:r>
            <w:r w:rsidR="003D7FD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546" w:type="dxa"/>
            <w:vAlign w:val="bottom"/>
          </w:tcPr>
          <w:p w14:paraId="152E4CF6" w14:textId="0D7FA0C7" w:rsidR="00B62C2E" w:rsidRPr="00B62C2E" w:rsidRDefault="00B62C2E" w:rsidP="008B4562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7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(0.1)</w:t>
            </w:r>
          </w:p>
        </w:tc>
      </w:tr>
      <w:tr w:rsidR="00B62C2E" w:rsidRPr="00B62C2E" w14:paraId="592A3B20" w14:textId="2C4B40C6" w:rsidTr="002D2475">
        <w:trPr>
          <w:jc w:val="center"/>
        </w:trPr>
        <w:tc>
          <w:tcPr>
            <w:tcW w:w="1570" w:type="dxa"/>
          </w:tcPr>
          <w:p w14:paraId="54DA21E8" w14:textId="70CA995C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007</w:t>
            </w:r>
          </w:p>
        </w:tc>
        <w:tc>
          <w:tcPr>
            <w:tcW w:w="4489" w:type="dxa"/>
          </w:tcPr>
          <w:p w14:paraId="4F53B3EC" w14:textId="68B0501C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Other protozoal intestinal diseases</w:t>
            </w:r>
          </w:p>
        </w:tc>
        <w:tc>
          <w:tcPr>
            <w:tcW w:w="1780" w:type="dxa"/>
            <w:vAlign w:val="bottom"/>
          </w:tcPr>
          <w:p w14:paraId="162CE337" w14:textId="7447AEFB" w:rsidR="00B62C2E" w:rsidRPr="00B62C2E" w:rsidRDefault="00B62C2E" w:rsidP="00B66DA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11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(0.</w:t>
            </w:r>
            <w:r w:rsidR="00B66DA9">
              <w:rPr>
                <w:rFonts w:cs="Times New Roman"/>
                <w:color w:val="000000"/>
                <w:szCs w:val="24"/>
              </w:rPr>
              <w:t>5</w:t>
            </w:r>
            <w:r w:rsidR="003D7FD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546" w:type="dxa"/>
            <w:vAlign w:val="bottom"/>
          </w:tcPr>
          <w:p w14:paraId="5E00C9BD" w14:textId="7D10D854" w:rsidR="00B62C2E" w:rsidRPr="00B62C2E" w:rsidRDefault="00B62C2E" w:rsidP="00B66DA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15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(0.2)</w:t>
            </w:r>
          </w:p>
        </w:tc>
      </w:tr>
      <w:tr w:rsidR="00B62C2E" w:rsidRPr="00B62C2E" w14:paraId="364AB5C0" w14:textId="5F484162" w:rsidTr="002D2475">
        <w:trPr>
          <w:jc w:val="center"/>
        </w:trPr>
        <w:tc>
          <w:tcPr>
            <w:tcW w:w="1570" w:type="dxa"/>
          </w:tcPr>
          <w:p w14:paraId="277295A2" w14:textId="15EBF040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008</w:t>
            </w:r>
          </w:p>
        </w:tc>
        <w:tc>
          <w:tcPr>
            <w:tcW w:w="4489" w:type="dxa"/>
          </w:tcPr>
          <w:p w14:paraId="71E3413D" w14:textId="7C95EEC8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Intestinal infections due to other organisms</w:t>
            </w:r>
          </w:p>
        </w:tc>
        <w:tc>
          <w:tcPr>
            <w:tcW w:w="1780" w:type="dxa"/>
            <w:vAlign w:val="bottom"/>
          </w:tcPr>
          <w:p w14:paraId="7B08478F" w14:textId="0A48062E" w:rsidR="00B62C2E" w:rsidRPr="00B62C2E" w:rsidRDefault="00B62C2E" w:rsidP="00B66DA9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1641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(69.</w:t>
            </w:r>
            <w:r w:rsidR="00B66DA9">
              <w:rPr>
                <w:rFonts w:cs="Times New Roman"/>
                <w:color w:val="000000"/>
                <w:szCs w:val="24"/>
              </w:rPr>
              <w:t>2</w:t>
            </w:r>
            <w:r w:rsidR="003D7FD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546" w:type="dxa"/>
            <w:vAlign w:val="bottom"/>
          </w:tcPr>
          <w:p w14:paraId="720131C1" w14:textId="2C8952E9" w:rsidR="00B62C2E" w:rsidRPr="00B62C2E" w:rsidRDefault="00B62C2E" w:rsidP="008B4562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6275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(86.8)</w:t>
            </w:r>
          </w:p>
        </w:tc>
      </w:tr>
      <w:tr w:rsidR="00B62C2E" w:rsidRPr="00B62C2E" w14:paraId="09261B24" w14:textId="32DE9B32" w:rsidTr="002D2475">
        <w:trPr>
          <w:trHeight w:val="288"/>
          <w:jc w:val="center"/>
        </w:trPr>
        <w:tc>
          <w:tcPr>
            <w:tcW w:w="1570" w:type="dxa"/>
            <w:tcBorders>
              <w:bottom w:val="single" w:sz="4" w:space="0" w:color="auto"/>
            </w:tcBorders>
          </w:tcPr>
          <w:p w14:paraId="6B2B5280" w14:textId="176C7542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009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14:paraId="7808EAD6" w14:textId="1EF65C34" w:rsidR="00B62C2E" w:rsidRPr="00B62C2E" w:rsidRDefault="00B62C2E" w:rsidP="008B4562">
            <w:pPr>
              <w:contextualSpacing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szCs w:val="24"/>
              </w:rPr>
              <w:t>Ill-defined intestinal infections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14:paraId="425A78E9" w14:textId="0821C956" w:rsidR="00B62C2E" w:rsidRPr="00B62C2E" w:rsidRDefault="00B62C2E" w:rsidP="008B4562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453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(19.1)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bottom"/>
          </w:tcPr>
          <w:p w14:paraId="20F49E2A" w14:textId="1335ABAE" w:rsidR="00B62C2E" w:rsidRPr="00B62C2E" w:rsidRDefault="00B62C2E" w:rsidP="008B4562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62C2E">
              <w:rPr>
                <w:rFonts w:cs="Times New Roman"/>
                <w:color w:val="000000"/>
                <w:szCs w:val="24"/>
              </w:rPr>
              <w:t>660</w:t>
            </w:r>
            <w:r w:rsidR="003D7FD9">
              <w:rPr>
                <w:rFonts w:cs="Times New Roman"/>
                <w:color w:val="000000"/>
                <w:szCs w:val="24"/>
              </w:rPr>
              <w:t xml:space="preserve"> (9.1)</w:t>
            </w:r>
          </w:p>
        </w:tc>
      </w:tr>
    </w:tbl>
    <w:p w14:paraId="5F0C672E" w14:textId="4ABFCC06" w:rsidR="004211AA" w:rsidRPr="004F6E8F" w:rsidRDefault="004211AA" w:rsidP="008B4562">
      <w:pPr>
        <w:spacing w:line="240" w:lineRule="auto"/>
        <w:contextualSpacing/>
        <w:rPr>
          <w:iCs/>
          <w:szCs w:val="24"/>
        </w:rPr>
      </w:pPr>
    </w:p>
    <w:p w14:paraId="4100BB8F" w14:textId="18C8EF1E" w:rsidR="00DA223A" w:rsidRDefault="00DA223A">
      <w:pPr>
        <w:rPr>
          <w:b/>
          <w:i/>
          <w:szCs w:val="24"/>
        </w:rPr>
      </w:pPr>
      <w:r>
        <w:rPr>
          <w:b/>
          <w:i/>
          <w:szCs w:val="24"/>
        </w:rPr>
        <w:br w:type="page"/>
      </w:r>
    </w:p>
    <w:p w14:paraId="5428215C" w14:textId="36B71354" w:rsidR="00DA223A" w:rsidRPr="00CF347F" w:rsidRDefault="00411096" w:rsidP="00DA223A">
      <w:pPr>
        <w:pStyle w:val="Caption"/>
        <w:keepNext/>
        <w:spacing w:after="0"/>
        <w:contextualSpacing/>
        <w:rPr>
          <w:rFonts w:cs="Times New Roman"/>
          <w:b/>
          <w:i w:val="0"/>
          <w:color w:val="auto"/>
          <w:sz w:val="24"/>
          <w:szCs w:val="24"/>
        </w:rPr>
      </w:pPr>
      <w:r w:rsidRPr="00411096">
        <w:rPr>
          <w:rFonts w:cs="Times New Roman"/>
          <w:b/>
          <w:i w:val="0"/>
          <w:color w:val="auto"/>
          <w:sz w:val="24"/>
          <w:szCs w:val="24"/>
        </w:rPr>
        <w:lastRenderedPageBreak/>
        <w:t xml:space="preserve">Supplementary </w:t>
      </w:r>
      <w:r w:rsidR="00DA223A" w:rsidRPr="00CF347F">
        <w:rPr>
          <w:rFonts w:cs="Times New Roman"/>
          <w:b/>
          <w:i w:val="0"/>
          <w:color w:val="auto"/>
          <w:sz w:val="24"/>
          <w:szCs w:val="24"/>
        </w:rPr>
        <w:t xml:space="preserve">Table </w:t>
      </w:r>
      <w:r w:rsidR="00DA223A">
        <w:rPr>
          <w:rFonts w:cs="Times New Roman"/>
          <w:b/>
          <w:i w:val="0"/>
          <w:color w:val="auto"/>
          <w:sz w:val="24"/>
          <w:szCs w:val="24"/>
        </w:rPr>
        <w:t>2</w:t>
      </w:r>
      <w:r w:rsidR="00DA223A" w:rsidRPr="00CF347F">
        <w:rPr>
          <w:rFonts w:cs="Times New Roman"/>
          <w:b/>
          <w:i w:val="0"/>
          <w:color w:val="auto"/>
          <w:sz w:val="24"/>
          <w:szCs w:val="24"/>
        </w:rPr>
        <w:t xml:space="preserve">. </w:t>
      </w:r>
      <w:r w:rsidR="00DA223A">
        <w:rPr>
          <w:rFonts w:cs="Times New Roman"/>
          <w:b/>
          <w:i w:val="0"/>
          <w:color w:val="auto"/>
          <w:sz w:val="24"/>
          <w:szCs w:val="24"/>
        </w:rPr>
        <w:t xml:space="preserve">Demographics </w:t>
      </w:r>
      <w:r w:rsidR="00DA223A" w:rsidRPr="00CF347F">
        <w:rPr>
          <w:rFonts w:cs="Times New Roman"/>
          <w:b/>
          <w:i w:val="0"/>
          <w:color w:val="auto"/>
          <w:sz w:val="24"/>
          <w:szCs w:val="24"/>
        </w:rPr>
        <w:t>to characterize incident food and waterborne disease</w:t>
      </w:r>
      <w:r w:rsidR="00DA223A">
        <w:rPr>
          <w:rFonts w:cs="Times New Roman"/>
          <w:b/>
          <w:i w:val="0"/>
          <w:color w:val="auto"/>
          <w:sz w:val="24"/>
          <w:szCs w:val="24"/>
        </w:rPr>
        <w:t xml:space="preserve"> in</w:t>
      </w:r>
      <w:r w:rsidR="00DA223A" w:rsidRPr="00CF347F">
        <w:rPr>
          <w:rFonts w:cs="Times New Roman"/>
          <w:b/>
          <w:i w:val="0"/>
          <w:color w:val="auto"/>
          <w:sz w:val="24"/>
          <w:szCs w:val="24"/>
        </w:rPr>
        <w:t>patient visits among residents of Hurricane Sandy storm and non-storm areas</w:t>
      </w:r>
      <w:r w:rsidR="00DA223A">
        <w:rPr>
          <w:rFonts w:cs="Times New Roman"/>
          <w:b/>
          <w:i w:val="0"/>
          <w:color w:val="auto"/>
          <w:sz w:val="24"/>
          <w:szCs w:val="24"/>
        </w:rPr>
        <w:t>,</w:t>
      </w:r>
      <w:r w:rsidR="00DA223A" w:rsidRPr="00CF347F">
        <w:rPr>
          <w:rFonts w:cs="Times New Roman"/>
          <w:b/>
          <w:i w:val="0"/>
          <w:color w:val="auto"/>
          <w:sz w:val="24"/>
          <w:szCs w:val="24"/>
        </w:rPr>
        <w:t xml:space="preserve"> from </w:t>
      </w:r>
      <w:r w:rsidR="0040768A" w:rsidRPr="00CF347F">
        <w:rPr>
          <w:rFonts w:cs="Times New Roman"/>
          <w:b/>
          <w:i w:val="0"/>
          <w:color w:val="auto"/>
          <w:sz w:val="24"/>
          <w:szCs w:val="24"/>
        </w:rPr>
        <w:t>200</w:t>
      </w:r>
      <w:r w:rsidR="0040768A">
        <w:rPr>
          <w:rFonts w:cs="Times New Roman"/>
          <w:b/>
          <w:i w:val="0"/>
          <w:color w:val="auto"/>
          <w:sz w:val="24"/>
          <w:szCs w:val="24"/>
        </w:rPr>
        <w:t>1</w:t>
      </w:r>
      <w:r w:rsidR="00DA223A" w:rsidRPr="00CF347F">
        <w:rPr>
          <w:rFonts w:cs="Times New Roman"/>
          <w:b/>
          <w:i w:val="0"/>
          <w:color w:val="auto"/>
          <w:sz w:val="24"/>
          <w:szCs w:val="24"/>
        </w:rPr>
        <w:t>-2012</w:t>
      </w:r>
      <w:r w:rsidR="00DA223A">
        <w:rPr>
          <w:rFonts w:cs="Times New Roman"/>
          <w:b/>
          <w:i w:val="0"/>
          <w:color w:val="auto"/>
          <w:sz w:val="24"/>
          <w:szCs w:val="24"/>
        </w:rPr>
        <w:t>.</w:t>
      </w:r>
      <w:r w:rsidR="00DA223A" w:rsidRPr="00CF347F">
        <w:rPr>
          <w:rFonts w:cs="Times New Roman"/>
          <w:b/>
          <w:i w:val="0"/>
          <w:color w:val="auto"/>
          <w:sz w:val="24"/>
          <w:szCs w:val="24"/>
        </w:rPr>
        <w:t xml:space="preserve"> </w:t>
      </w:r>
      <w:r w:rsidR="00DA223A" w:rsidRPr="00CF347F">
        <w:rPr>
          <w:rFonts w:cs="Times New Roman"/>
          <w:b/>
          <w:i w:val="0"/>
          <w:color w:val="auto"/>
          <w:sz w:val="24"/>
          <w:szCs w:val="24"/>
          <w:vertAlign w:val="superscript"/>
        </w:rPr>
        <w:t>a</w:t>
      </w:r>
    </w:p>
    <w:p w14:paraId="22949A0B" w14:textId="77777777" w:rsidR="00DA223A" w:rsidRDefault="00DA223A" w:rsidP="00DA223A">
      <w:pPr>
        <w:spacing w:line="240" w:lineRule="auto"/>
        <w:contextualSpacing/>
        <w:rPr>
          <w:i/>
          <w:szCs w:val="24"/>
        </w:rPr>
      </w:pPr>
    </w:p>
    <w:tbl>
      <w:tblPr>
        <w:tblStyle w:val="TableGrid"/>
        <w:tblW w:w="10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1843"/>
        <w:gridCol w:w="1493"/>
        <w:gridCol w:w="1966"/>
        <w:gridCol w:w="1442"/>
      </w:tblGrid>
      <w:tr w:rsidR="00DA223A" w:rsidRPr="00155172" w14:paraId="2148CC07" w14:textId="77777777" w:rsidTr="00DA223A">
        <w:trPr>
          <w:trHeight w:val="300"/>
          <w:jc w:val="center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E666BF" w14:textId="77777777" w:rsidR="00DA223A" w:rsidRPr="00155172" w:rsidRDefault="00DA223A" w:rsidP="00DA223A">
            <w:pPr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Demographic factor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00838E" w14:textId="77777777" w:rsidR="00DA223A" w:rsidRDefault="00DA223A" w:rsidP="00DA223A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55172">
              <w:rPr>
                <w:rFonts w:cs="Times New Roman"/>
                <w:b/>
                <w:bCs/>
                <w:szCs w:val="24"/>
              </w:rPr>
              <w:t>Overall</w:t>
            </w:r>
          </w:p>
          <w:p w14:paraId="49C3B414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55172">
              <w:rPr>
                <w:rFonts w:cs="Times New Roman"/>
                <w:b/>
                <w:bCs/>
                <w:szCs w:val="24"/>
              </w:rPr>
              <w:t>n (%)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E046C4" w14:textId="77777777" w:rsidR="00DA223A" w:rsidRDefault="00DA223A" w:rsidP="00DA223A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Storm area</w:t>
            </w:r>
            <w:r w:rsidRPr="00155172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7E07D5CB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55172">
              <w:rPr>
                <w:rFonts w:cs="Times New Roman"/>
                <w:b/>
                <w:bCs/>
                <w:szCs w:val="24"/>
              </w:rPr>
              <w:t>n (%)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A1D20C" w14:textId="77777777" w:rsidR="00DA223A" w:rsidRDefault="00DA223A" w:rsidP="00DA223A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Non-storm area</w:t>
            </w:r>
          </w:p>
          <w:p w14:paraId="1403CF3C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55172">
              <w:rPr>
                <w:rFonts w:cs="Times New Roman"/>
                <w:b/>
                <w:bCs/>
                <w:szCs w:val="24"/>
              </w:rPr>
              <w:t xml:space="preserve"> n (%)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7131DF1A" w14:textId="77777777" w:rsidR="00DA223A" w:rsidRPr="00227374" w:rsidRDefault="00DA223A" w:rsidP="00DA223A">
            <w:pPr>
              <w:contextualSpacing/>
              <w:jc w:val="center"/>
              <w:rPr>
                <w:rFonts w:cs="Times New Roman"/>
                <w:b/>
                <w:bCs/>
                <w:szCs w:val="24"/>
                <w:vertAlign w:val="superscript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P-value </w:t>
            </w:r>
            <w:r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</w:p>
        </w:tc>
      </w:tr>
      <w:tr w:rsidR="00DA223A" w:rsidRPr="00155172" w14:paraId="0DE01684" w14:textId="77777777" w:rsidTr="00DA223A">
        <w:trPr>
          <w:trHeight w:val="300"/>
          <w:jc w:val="center"/>
        </w:trPr>
        <w:tc>
          <w:tcPr>
            <w:tcW w:w="3342" w:type="dxa"/>
          </w:tcPr>
          <w:p w14:paraId="00C7EB75" w14:textId="77777777" w:rsidR="00DA223A" w:rsidRPr="00155172" w:rsidRDefault="00DA223A" w:rsidP="00DA223A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55172">
              <w:rPr>
                <w:rFonts w:cs="Times New Roman"/>
                <w:b/>
                <w:bCs/>
                <w:szCs w:val="24"/>
              </w:rPr>
              <w:t>Total</w:t>
            </w:r>
          </w:p>
        </w:tc>
        <w:tc>
          <w:tcPr>
            <w:tcW w:w="1843" w:type="dxa"/>
          </w:tcPr>
          <w:p w14:paraId="10A0A2DA" w14:textId="0D07F7F9" w:rsidR="00DA223A" w:rsidRPr="00155172" w:rsidRDefault="00DA223A" w:rsidP="00DA223A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7229 (100.0)</w:t>
            </w:r>
          </w:p>
        </w:tc>
        <w:tc>
          <w:tcPr>
            <w:tcW w:w="1493" w:type="dxa"/>
          </w:tcPr>
          <w:p w14:paraId="7D943346" w14:textId="05C0C30F" w:rsidR="00DA223A" w:rsidRPr="00155172" w:rsidRDefault="00DA223A" w:rsidP="00DA223A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1977 (27.3)</w:t>
            </w:r>
          </w:p>
        </w:tc>
        <w:tc>
          <w:tcPr>
            <w:tcW w:w="1966" w:type="dxa"/>
          </w:tcPr>
          <w:p w14:paraId="398004F8" w14:textId="4F07C162" w:rsidR="00DA223A" w:rsidRPr="00155172" w:rsidRDefault="00DA223A" w:rsidP="00E07FAF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5252 (72.</w:t>
            </w:r>
            <w:r w:rsidR="00E07FAF">
              <w:rPr>
                <w:rFonts w:cs="Times New Roman"/>
                <w:bCs/>
                <w:szCs w:val="24"/>
              </w:rPr>
              <w:t>7</w:t>
            </w:r>
            <w:r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1442" w:type="dxa"/>
          </w:tcPr>
          <w:p w14:paraId="7F4B7BFA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</w:tr>
      <w:tr w:rsidR="00DA223A" w:rsidRPr="00155172" w14:paraId="28F23EDC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68CC809F" w14:textId="77777777" w:rsidR="00DA223A" w:rsidRPr="00155172" w:rsidRDefault="00DA223A" w:rsidP="00DA223A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55172">
              <w:rPr>
                <w:rFonts w:cs="Times New Roman"/>
                <w:b/>
                <w:bCs/>
                <w:szCs w:val="24"/>
              </w:rPr>
              <w:t>Age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</w:tcPr>
          <w:p w14:paraId="086F3639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2D7FCFBF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1B519E37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252F76EE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200728C9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706252D0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 xml:space="preserve">&lt; </w:t>
            </w:r>
            <w:r>
              <w:rPr>
                <w:rFonts w:cs="Times New Roman"/>
                <w:szCs w:val="24"/>
              </w:rPr>
              <w:t>5</w:t>
            </w:r>
            <w:r w:rsidRPr="00155172">
              <w:rPr>
                <w:rFonts w:cs="Times New Roman"/>
                <w:szCs w:val="24"/>
              </w:rPr>
              <w:t xml:space="preserve"> years</w:t>
            </w:r>
          </w:p>
        </w:tc>
        <w:tc>
          <w:tcPr>
            <w:tcW w:w="1843" w:type="dxa"/>
          </w:tcPr>
          <w:p w14:paraId="070FEE0D" w14:textId="7792A982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295 (4.</w:t>
            </w:r>
            <w:r w:rsidR="00D03DEC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092C1F33" w14:textId="507DE96B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 (3.</w:t>
            </w:r>
            <w:r w:rsidR="00C525AD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7CB59D06" w14:textId="09709E31" w:rsidR="00DA223A" w:rsidRPr="00155172" w:rsidRDefault="00DA223A" w:rsidP="00E07FAF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234 (4.</w:t>
            </w:r>
            <w:r w:rsidR="00E07FAF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5E55E38B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A329E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01</w:t>
            </w:r>
          </w:p>
        </w:tc>
      </w:tr>
      <w:tr w:rsidR="00DA223A" w:rsidRPr="00155172" w14:paraId="2646F49F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4DB45FF7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5</w:t>
            </w:r>
            <w:r w:rsidRPr="00155172">
              <w:rPr>
                <w:rFonts w:cs="Times New Roman"/>
                <w:szCs w:val="24"/>
              </w:rPr>
              <w:t>-19 years</w:t>
            </w:r>
          </w:p>
        </w:tc>
        <w:tc>
          <w:tcPr>
            <w:tcW w:w="1843" w:type="dxa"/>
          </w:tcPr>
          <w:p w14:paraId="1BD2625F" w14:textId="40717BFE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234 (3.2)</w:t>
            </w:r>
          </w:p>
        </w:tc>
        <w:tc>
          <w:tcPr>
            <w:tcW w:w="1493" w:type="dxa"/>
          </w:tcPr>
          <w:p w14:paraId="71148F9B" w14:textId="5CAE8FF8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 (2.</w:t>
            </w:r>
            <w:r w:rsidR="00C525AD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3CD616E2" w14:textId="2FD60EFC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181 (3.4)</w:t>
            </w:r>
          </w:p>
        </w:tc>
        <w:tc>
          <w:tcPr>
            <w:tcW w:w="1442" w:type="dxa"/>
          </w:tcPr>
          <w:p w14:paraId="7C38B364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242781CB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0B2343D1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20-</w:t>
            </w:r>
            <w:r>
              <w:rPr>
                <w:rFonts w:cs="Times New Roman"/>
                <w:szCs w:val="24"/>
              </w:rPr>
              <w:t>64</w:t>
            </w:r>
            <w:r w:rsidRPr="00155172">
              <w:rPr>
                <w:rFonts w:cs="Times New Roman"/>
                <w:szCs w:val="24"/>
              </w:rPr>
              <w:t xml:space="preserve"> years</w:t>
            </w:r>
          </w:p>
        </w:tc>
        <w:tc>
          <w:tcPr>
            <w:tcW w:w="1843" w:type="dxa"/>
          </w:tcPr>
          <w:p w14:paraId="62ED6A69" w14:textId="4209B6FC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2323 (32.1)</w:t>
            </w:r>
          </w:p>
        </w:tc>
        <w:tc>
          <w:tcPr>
            <w:tcW w:w="1493" w:type="dxa"/>
          </w:tcPr>
          <w:p w14:paraId="491834E8" w14:textId="09BDA86F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619 (31.3)</w:t>
            </w:r>
          </w:p>
        </w:tc>
        <w:tc>
          <w:tcPr>
            <w:tcW w:w="1966" w:type="dxa"/>
          </w:tcPr>
          <w:p w14:paraId="40B27E4D" w14:textId="4BF3575B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1704 (32.4)</w:t>
            </w:r>
          </w:p>
        </w:tc>
        <w:tc>
          <w:tcPr>
            <w:tcW w:w="1442" w:type="dxa"/>
          </w:tcPr>
          <w:p w14:paraId="1AA41788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5F5DFA3B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1AAB03DE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5</w:t>
            </w:r>
            <w:r w:rsidRPr="00155172">
              <w:rPr>
                <w:rFonts w:cs="Times New Roman"/>
                <w:szCs w:val="24"/>
              </w:rPr>
              <w:t>+ years</w:t>
            </w:r>
          </w:p>
        </w:tc>
        <w:tc>
          <w:tcPr>
            <w:tcW w:w="1843" w:type="dxa"/>
          </w:tcPr>
          <w:p w14:paraId="2DC01B30" w14:textId="516B1E44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4377 (60.5)</w:t>
            </w:r>
          </w:p>
        </w:tc>
        <w:tc>
          <w:tcPr>
            <w:tcW w:w="1493" w:type="dxa"/>
          </w:tcPr>
          <w:p w14:paraId="3DDFDB7A" w14:textId="1574F93D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1244 (62.9)</w:t>
            </w:r>
          </w:p>
        </w:tc>
        <w:tc>
          <w:tcPr>
            <w:tcW w:w="1966" w:type="dxa"/>
          </w:tcPr>
          <w:p w14:paraId="4FF3A565" w14:textId="438A472B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3133 (59.</w:t>
            </w:r>
            <w:r w:rsidR="00E07FAF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511CF7DF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5F5642D7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33558991" w14:textId="77777777" w:rsidR="00DA223A" w:rsidRPr="00155172" w:rsidRDefault="00DA223A" w:rsidP="00DA223A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55172">
              <w:rPr>
                <w:rFonts w:cs="Times New Roman"/>
                <w:b/>
                <w:bCs/>
                <w:szCs w:val="24"/>
              </w:rPr>
              <w:t>Sex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</w:tcPr>
          <w:p w14:paraId="738B5B3C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44380BA7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3523CD13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397F2FB7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271D3311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0B4F1743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Male</w:t>
            </w:r>
          </w:p>
        </w:tc>
        <w:tc>
          <w:tcPr>
            <w:tcW w:w="1843" w:type="dxa"/>
          </w:tcPr>
          <w:p w14:paraId="743C210E" w14:textId="2AD90454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3023 (41.8)</w:t>
            </w:r>
          </w:p>
        </w:tc>
        <w:tc>
          <w:tcPr>
            <w:tcW w:w="1493" w:type="dxa"/>
          </w:tcPr>
          <w:p w14:paraId="41CD0D5F" w14:textId="6287DDD6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846 (42.</w:t>
            </w:r>
            <w:r w:rsidR="00C525AD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7286D5F1" w14:textId="115633FC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2177 (41.5)</w:t>
            </w:r>
          </w:p>
        </w:tc>
        <w:tc>
          <w:tcPr>
            <w:tcW w:w="1442" w:type="dxa"/>
          </w:tcPr>
          <w:p w14:paraId="39CA75FD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A329E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30</w:t>
            </w:r>
          </w:p>
        </w:tc>
      </w:tr>
      <w:tr w:rsidR="00DA223A" w:rsidRPr="00155172" w14:paraId="06299A8C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263CE9F2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Female</w:t>
            </w:r>
          </w:p>
        </w:tc>
        <w:tc>
          <w:tcPr>
            <w:tcW w:w="1843" w:type="dxa"/>
          </w:tcPr>
          <w:p w14:paraId="09E7A96E" w14:textId="33150AD6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4206 (58.</w:t>
            </w:r>
            <w:r w:rsidR="00D03DEC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175BA380" w14:textId="494D87BD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1131 (57.2)</w:t>
            </w:r>
          </w:p>
        </w:tc>
        <w:tc>
          <w:tcPr>
            <w:tcW w:w="1966" w:type="dxa"/>
          </w:tcPr>
          <w:p w14:paraId="319C245E" w14:textId="3E5D28E3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3075 (58.5)</w:t>
            </w:r>
          </w:p>
        </w:tc>
        <w:tc>
          <w:tcPr>
            <w:tcW w:w="1442" w:type="dxa"/>
          </w:tcPr>
          <w:p w14:paraId="4E2BECD6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425BDAEC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051AA74F" w14:textId="77777777" w:rsidR="00DA223A" w:rsidRPr="00155172" w:rsidRDefault="00DA223A" w:rsidP="00DA223A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55172">
              <w:rPr>
                <w:rFonts w:cs="Times New Roman"/>
                <w:b/>
                <w:bCs/>
                <w:szCs w:val="24"/>
              </w:rPr>
              <w:t>Race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9128E2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5DDA663A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1E90B024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2FC20C3A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087ECC4A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58EA5F02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White</w:t>
            </w:r>
          </w:p>
        </w:tc>
        <w:tc>
          <w:tcPr>
            <w:tcW w:w="1843" w:type="dxa"/>
          </w:tcPr>
          <w:p w14:paraId="324BB04F" w14:textId="16F67465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4274 (59.1)</w:t>
            </w:r>
          </w:p>
        </w:tc>
        <w:tc>
          <w:tcPr>
            <w:tcW w:w="1493" w:type="dxa"/>
          </w:tcPr>
          <w:p w14:paraId="1CB7A5B6" w14:textId="07DBF7B3" w:rsidR="00DA223A" w:rsidRPr="00155172" w:rsidRDefault="00DA223A" w:rsidP="008E2F41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1126 (5</w:t>
            </w:r>
            <w:r w:rsidR="008E2F41">
              <w:rPr>
                <w:rFonts w:cs="Times New Roman"/>
                <w:szCs w:val="24"/>
              </w:rPr>
              <w:t>7.0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4C5CF6E1" w14:textId="1CBA3990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3148 (59.9)</w:t>
            </w:r>
          </w:p>
        </w:tc>
        <w:tc>
          <w:tcPr>
            <w:tcW w:w="1442" w:type="dxa"/>
          </w:tcPr>
          <w:p w14:paraId="257805AF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</w:t>
            </w:r>
            <w:r w:rsidRPr="00AA329E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01</w:t>
            </w:r>
          </w:p>
        </w:tc>
      </w:tr>
      <w:tr w:rsidR="00DA223A" w:rsidRPr="00155172" w14:paraId="495298CB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036FF1D4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Black</w:t>
            </w:r>
          </w:p>
        </w:tc>
        <w:tc>
          <w:tcPr>
            <w:tcW w:w="1843" w:type="dxa"/>
          </w:tcPr>
          <w:p w14:paraId="789CF54E" w14:textId="2F3F113F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1320 (18.</w:t>
            </w:r>
            <w:r w:rsidR="00D03DEC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387BA061" w14:textId="21855FC0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456 (23.</w:t>
            </w:r>
            <w:r w:rsidR="008E2F41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79C48A91" w14:textId="14B715A1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864 (16.5)</w:t>
            </w:r>
          </w:p>
        </w:tc>
        <w:tc>
          <w:tcPr>
            <w:tcW w:w="1442" w:type="dxa"/>
          </w:tcPr>
          <w:p w14:paraId="0404DB02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31B6A15E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00BC7F03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Other</w:t>
            </w:r>
            <w:r>
              <w:rPr>
                <w:rFonts w:cs="Times New Roman"/>
                <w:szCs w:val="24"/>
              </w:rPr>
              <w:t>/Unknown</w:t>
            </w:r>
          </w:p>
        </w:tc>
        <w:tc>
          <w:tcPr>
            <w:tcW w:w="1843" w:type="dxa"/>
          </w:tcPr>
          <w:p w14:paraId="5A6152B5" w14:textId="4EC582E6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1635 (22.6)</w:t>
            </w:r>
          </w:p>
        </w:tc>
        <w:tc>
          <w:tcPr>
            <w:tcW w:w="1493" w:type="dxa"/>
          </w:tcPr>
          <w:p w14:paraId="62AEC192" w14:textId="0A3BA15A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395 (</w:t>
            </w:r>
            <w:r w:rsidR="008E2F41">
              <w:rPr>
                <w:rFonts w:cs="Times New Roman"/>
                <w:szCs w:val="24"/>
              </w:rPr>
              <w:t>20.0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6544DED8" w14:textId="2CA9AD79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1240 (23.6)</w:t>
            </w:r>
          </w:p>
        </w:tc>
        <w:tc>
          <w:tcPr>
            <w:tcW w:w="1442" w:type="dxa"/>
          </w:tcPr>
          <w:p w14:paraId="1E25F863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48BB4604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46595DDA" w14:textId="77777777" w:rsidR="00DA223A" w:rsidRPr="00155172" w:rsidRDefault="00DA223A" w:rsidP="00DA223A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55172">
              <w:rPr>
                <w:rFonts w:cs="Times New Roman"/>
                <w:b/>
                <w:bCs/>
                <w:szCs w:val="24"/>
              </w:rPr>
              <w:t>Ethnicity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7251B4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55B55A9A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2961BBA9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25690396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1E20C6A1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5379EDF4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Spanish/Hispanic</w:t>
            </w:r>
          </w:p>
        </w:tc>
        <w:tc>
          <w:tcPr>
            <w:tcW w:w="1843" w:type="dxa"/>
          </w:tcPr>
          <w:p w14:paraId="07AA9611" w14:textId="0470C225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1134 (15.</w:t>
            </w:r>
            <w:r w:rsidR="00D03DEC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364BB749" w14:textId="74D4A7FB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275 (13.9)</w:t>
            </w:r>
          </w:p>
        </w:tc>
        <w:tc>
          <w:tcPr>
            <w:tcW w:w="1966" w:type="dxa"/>
          </w:tcPr>
          <w:p w14:paraId="11C32C56" w14:textId="1D3D3E46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859 (16.</w:t>
            </w:r>
            <w:r w:rsidR="00BC5F6C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0788974B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&lt; </w:t>
            </w:r>
            <w:r w:rsidRPr="00AA329E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01</w:t>
            </w:r>
          </w:p>
        </w:tc>
      </w:tr>
      <w:tr w:rsidR="00DA223A" w:rsidRPr="00155172" w14:paraId="542732CF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6A70D2AC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Non-Hispanic</w:t>
            </w:r>
          </w:p>
        </w:tc>
        <w:tc>
          <w:tcPr>
            <w:tcW w:w="1843" w:type="dxa"/>
          </w:tcPr>
          <w:p w14:paraId="054EF591" w14:textId="518AC118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5672 (78.</w:t>
            </w:r>
            <w:r w:rsidR="00D03DEC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412F706D" w14:textId="531EA25D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1611 (81.</w:t>
            </w:r>
            <w:r w:rsidR="00DA3DFF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53F8DAA4" w14:textId="5947B229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4061 (77.3)</w:t>
            </w:r>
          </w:p>
        </w:tc>
        <w:tc>
          <w:tcPr>
            <w:tcW w:w="1442" w:type="dxa"/>
          </w:tcPr>
          <w:p w14:paraId="0CE8A5A4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6418A700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7ED50BCF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Unknown</w:t>
            </w:r>
          </w:p>
        </w:tc>
        <w:tc>
          <w:tcPr>
            <w:tcW w:w="1843" w:type="dxa"/>
          </w:tcPr>
          <w:p w14:paraId="4E32F185" w14:textId="2E8AA9B6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423 (5.</w:t>
            </w:r>
            <w:r w:rsidR="00D03DEC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136855C2" w14:textId="189D644A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 (4.6)</w:t>
            </w:r>
          </w:p>
        </w:tc>
        <w:tc>
          <w:tcPr>
            <w:tcW w:w="1966" w:type="dxa"/>
          </w:tcPr>
          <w:p w14:paraId="24AEB02C" w14:textId="691D350F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332 (6.3)</w:t>
            </w:r>
          </w:p>
        </w:tc>
        <w:tc>
          <w:tcPr>
            <w:tcW w:w="1442" w:type="dxa"/>
          </w:tcPr>
          <w:p w14:paraId="5CA94067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28360D16" w14:textId="77777777" w:rsidTr="00DA223A">
        <w:trPr>
          <w:trHeight w:val="198"/>
          <w:jc w:val="center"/>
        </w:trPr>
        <w:tc>
          <w:tcPr>
            <w:tcW w:w="3342" w:type="dxa"/>
            <w:hideMark/>
          </w:tcPr>
          <w:p w14:paraId="20CBA74F" w14:textId="77777777" w:rsidR="00DA223A" w:rsidRPr="00155172" w:rsidRDefault="00DA223A" w:rsidP="00DA223A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55172">
              <w:rPr>
                <w:rFonts w:cs="Times New Roman"/>
                <w:b/>
                <w:bCs/>
                <w:szCs w:val="24"/>
              </w:rPr>
              <w:t xml:space="preserve">County </w:t>
            </w:r>
            <w:r>
              <w:rPr>
                <w:rFonts w:cs="Times New Roman"/>
                <w:b/>
                <w:bCs/>
                <w:szCs w:val="24"/>
              </w:rPr>
              <w:t>of residence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</w:tcPr>
          <w:p w14:paraId="3FDE424A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4CA1DA63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7843E912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605140F6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01DF35BD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3CA0D82A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Nassau</w:t>
            </w:r>
          </w:p>
        </w:tc>
        <w:tc>
          <w:tcPr>
            <w:tcW w:w="1843" w:type="dxa"/>
            <w:noWrap/>
          </w:tcPr>
          <w:p w14:paraId="01918E91" w14:textId="208979E9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983 (13.6)</w:t>
            </w:r>
          </w:p>
        </w:tc>
        <w:tc>
          <w:tcPr>
            <w:tcW w:w="1493" w:type="dxa"/>
          </w:tcPr>
          <w:p w14:paraId="4816F2D8" w14:textId="5516A3FA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356 (18.0)</w:t>
            </w:r>
          </w:p>
        </w:tc>
        <w:tc>
          <w:tcPr>
            <w:tcW w:w="1966" w:type="dxa"/>
          </w:tcPr>
          <w:p w14:paraId="336F1BB7" w14:textId="609DA0D5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627 (11.9)</w:t>
            </w:r>
          </w:p>
        </w:tc>
        <w:tc>
          <w:tcPr>
            <w:tcW w:w="1442" w:type="dxa"/>
          </w:tcPr>
          <w:p w14:paraId="48871937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&lt; </w:t>
            </w:r>
            <w:r w:rsidRPr="00AA329E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01</w:t>
            </w:r>
          </w:p>
        </w:tc>
      </w:tr>
      <w:tr w:rsidR="00DA223A" w:rsidRPr="00155172" w14:paraId="7E98D995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6B1D5692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Suffolk</w:t>
            </w:r>
          </w:p>
        </w:tc>
        <w:tc>
          <w:tcPr>
            <w:tcW w:w="1843" w:type="dxa"/>
            <w:noWrap/>
          </w:tcPr>
          <w:p w14:paraId="5F8F00BF" w14:textId="1A30049E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1061 (14.</w:t>
            </w:r>
            <w:r w:rsidR="00A27F51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0C1C8AEA" w14:textId="3F2DD0D4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168 (8.5)</w:t>
            </w:r>
          </w:p>
        </w:tc>
        <w:tc>
          <w:tcPr>
            <w:tcW w:w="1966" w:type="dxa"/>
          </w:tcPr>
          <w:p w14:paraId="3E09D939" w14:textId="5BB12E0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893 (17.0)</w:t>
            </w:r>
          </w:p>
        </w:tc>
        <w:tc>
          <w:tcPr>
            <w:tcW w:w="1442" w:type="dxa"/>
          </w:tcPr>
          <w:p w14:paraId="1ADF2B9D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203F4D90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48E02822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Westchester</w:t>
            </w:r>
          </w:p>
        </w:tc>
        <w:tc>
          <w:tcPr>
            <w:tcW w:w="1843" w:type="dxa"/>
            <w:noWrap/>
          </w:tcPr>
          <w:p w14:paraId="5A7075B2" w14:textId="373FBAA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487 (6.7)</w:t>
            </w:r>
          </w:p>
        </w:tc>
        <w:tc>
          <w:tcPr>
            <w:tcW w:w="1493" w:type="dxa"/>
          </w:tcPr>
          <w:p w14:paraId="2760033C" w14:textId="22E8790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 (0.6)</w:t>
            </w:r>
          </w:p>
        </w:tc>
        <w:tc>
          <w:tcPr>
            <w:tcW w:w="1966" w:type="dxa"/>
          </w:tcPr>
          <w:p w14:paraId="2968D8E9" w14:textId="4B77CBA6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475 (9.0)</w:t>
            </w:r>
          </w:p>
        </w:tc>
        <w:tc>
          <w:tcPr>
            <w:tcW w:w="1442" w:type="dxa"/>
          </w:tcPr>
          <w:p w14:paraId="36561A64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1CD10F91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378F61FB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Bronx</w:t>
            </w:r>
          </w:p>
        </w:tc>
        <w:tc>
          <w:tcPr>
            <w:tcW w:w="1843" w:type="dxa"/>
            <w:noWrap/>
          </w:tcPr>
          <w:p w14:paraId="12AEBDC4" w14:textId="4DCC6B6E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1034 (14.3)</w:t>
            </w:r>
          </w:p>
        </w:tc>
        <w:tc>
          <w:tcPr>
            <w:tcW w:w="1493" w:type="dxa"/>
          </w:tcPr>
          <w:p w14:paraId="54B2CB0A" w14:textId="364249C8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177 (</w:t>
            </w:r>
            <w:r w:rsidR="00DA3DFF">
              <w:rPr>
                <w:rFonts w:cs="Times New Roman"/>
                <w:szCs w:val="24"/>
              </w:rPr>
              <w:t>9.0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6A24195E" w14:textId="281549EF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857 (16.3)</w:t>
            </w:r>
          </w:p>
        </w:tc>
        <w:tc>
          <w:tcPr>
            <w:tcW w:w="1442" w:type="dxa"/>
          </w:tcPr>
          <w:p w14:paraId="05EE2A15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70D00618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1B4F0066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Kings (Brooklyn)</w:t>
            </w:r>
          </w:p>
        </w:tc>
        <w:tc>
          <w:tcPr>
            <w:tcW w:w="1843" w:type="dxa"/>
          </w:tcPr>
          <w:p w14:paraId="40CF10E9" w14:textId="5B272461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1373 (1</w:t>
            </w:r>
            <w:r w:rsidR="00A27F51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</w:t>
            </w:r>
            <w:r w:rsidR="00A27F51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62C89BE6" w14:textId="07AB7462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639 (32.3)</w:t>
            </w:r>
          </w:p>
        </w:tc>
        <w:tc>
          <w:tcPr>
            <w:tcW w:w="1966" w:type="dxa"/>
          </w:tcPr>
          <w:p w14:paraId="4511BDEA" w14:textId="579C9098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734 (1</w:t>
            </w:r>
            <w:r w:rsidR="00BC5F6C">
              <w:rPr>
                <w:rFonts w:cs="Times New Roman"/>
                <w:szCs w:val="24"/>
              </w:rPr>
              <w:t>4.0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54AFA168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4B1A873B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7786B576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New York (Manhattan)</w:t>
            </w:r>
          </w:p>
        </w:tc>
        <w:tc>
          <w:tcPr>
            <w:tcW w:w="1843" w:type="dxa"/>
          </w:tcPr>
          <w:p w14:paraId="05EC5BB1" w14:textId="2C63EB84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810 (11.2)</w:t>
            </w:r>
          </w:p>
        </w:tc>
        <w:tc>
          <w:tcPr>
            <w:tcW w:w="1493" w:type="dxa"/>
          </w:tcPr>
          <w:p w14:paraId="57865776" w14:textId="104EE7B2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355 (1</w:t>
            </w:r>
            <w:r w:rsidR="00DA3DFF">
              <w:rPr>
                <w:rFonts w:cs="Times New Roman"/>
                <w:szCs w:val="24"/>
              </w:rPr>
              <w:t>8.0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57D6329E" w14:textId="3E1B48BE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455 (8.</w:t>
            </w:r>
            <w:r w:rsidR="00BC5F6C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4F60AEB0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0D44DCCA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53C2AE7C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Queens</w:t>
            </w:r>
          </w:p>
        </w:tc>
        <w:tc>
          <w:tcPr>
            <w:tcW w:w="1843" w:type="dxa"/>
          </w:tcPr>
          <w:p w14:paraId="6EACB2E5" w14:textId="3ACAE3A4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1228 (1</w:t>
            </w:r>
            <w:r w:rsidR="00A27F51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</w:t>
            </w:r>
            <w:r w:rsidR="00A27F51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7257F1F3" w14:textId="523D3748" w:rsidR="00DA223A" w:rsidRPr="00155172" w:rsidRDefault="00DA223A" w:rsidP="00DE4480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230 (</w:t>
            </w:r>
            <w:r w:rsidR="00DE4480">
              <w:rPr>
                <w:rFonts w:cs="Times New Roman"/>
                <w:szCs w:val="24"/>
              </w:rPr>
              <w:t>11.6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32E9F3BC" w14:textId="117E9854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998 (19.0)</w:t>
            </w:r>
          </w:p>
        </w:tc>
        <w:tc>
          <w:tcPr>
            <w:tcW w:w="1442" w:type="dxa"/>
          </w:tcPr>
          <w:p w14:paraId="543841E5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53ACFBD0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25D6E8C2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Richmond (Staten Island)</w:t>
            </w:r>
          </w:p>
        </w:tc>
        <w:tc>
          <w:tcPr>
            <w:tcW w:w="1843" w:type="dxa"/>
          </w:tcPr>
          <w:p w14:paraId="40AC16DE" w14:textId="40A699D2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253 (3.5)</w:t>
            </w:r>
          </w:p>
        </w:tc>
        <w:tc>
          <w:tcPr>
            <w:tcW w:w="1493" w:type="dxa"/>
          </w:tcPr>
          <w:p w14:paraId="24F62BED" w14:textId="5267D5D2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 (2.0)</w:t>
            </w:r>
          </w:p>
        </w:tc>
        <w:tc>
          <w:tcPr>
            <w:tcW w:w="1966" w:type="dxa"/>
          </w:tcPr>
          <w:p w14:paraId="12FFDE72" w14:textId="7482AC88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213 (4.</w:t>
            </w:r>
            <w:r w:rsidR="00BC5F6C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7D05697E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32FE8576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2E4529EA" w14:textId="77777777" w:rsidR="00DA223A" w:rsidRPr="00155172" w:rsidRDefault="00DA223A" w:rsidP="00DA223A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55172">
              <w:rPr>
                <w:rFonts w:cs="Times New Roman"/>
                <w:b/>
                <w:bCs/>
                <w:szCs w:val="24"/>
              </w:rPr>
              <w:t>Year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65B732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0F31D40E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05A0DD3A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0753C022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2F8B22D2" w14:textId="77777777" w:rsidTr="00DA223A">
        <w:trPr>
          <w:trHeight w:val="300"/>
          <w:jc w:val="center"/>
        </w:trPr>
        <w:tc>
          <w:tcPr>
            <w:tcW w:w="3342" w:type="dxa"/>
          </w:tcPr>
          <w:p w14:paraId="6952C0AE" w14:textId="77777777" w:rsidR="00DA223A" w:rsidRDefault="00DA223A" w:rsidP="00DA223A">
            <w:pPr>
              <w:tabs>
                <w:tab w:val="center" w:pos="1563"/>
              </w:tabs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2000</w:t>
            </w:r>
          </w:p>
        </w:tc>
        <w:tc>
          <w:tcPr>
            <w:tcW w:w="1843" w:type="dxa"/>
          </w:tcPr>
          <w:p w14:paraId="26B6B19F" w14:textId="5421D60A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 (0.</w:t>
            </w:r>
            <w:r w:rsidR="00A27F51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49C8F581" w14:textId="311D288F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(0.1)</w:t>
            </w:r>
          </w:p>
        </w:tc>
        <w:tc>
          <w:tcPr>
            <w:tcW w:w="1966" w:type="dxa"/>
          </w:tcPr>
          <w:p w14:paraId="3D7F4069" w14:textId="46A9B124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 (0.</w:t>
            </w:r>
            <w:r w:rsidR="00BC5F6C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55D6E139" w14:textId="77777777" w:rsidR="00DA223A" w:rsidRPr="00AA329E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A329E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15</w:t>
            </w:r>
          </w:p>
        </w:tc>
      </w:tr>
      <w:tr w:rsidR="00DA223A" w:rsidRPr="00155172" w14:paraId="740E3B6E" w14:textId="77777777" w:rsidTr="00DA223A">
        <w:trPr>
          <w:trHeight w:val="300"/>
          <w:jc w:val="center"/>
        </w:trPr>
        <w:tc>
          <w:tcPr>
            <w:tcW w:w="3342" w:type="dxa"/>
          </w:tcPr>
          <w:p w14:paraId="07C3A756" w14:textId="77777777" w:rsidR="00DA223A" w:rsidRDefault="00DA223A" w:rsidP="00DA223A">
            <w:pPr>
              <w:tabs>
                <w:tab w:val="center" w:pos="1563"/>
              </w:tabs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2001</w:t>
            </w:r>
          </w:p>
        </w:tc>
        <w:tc>
          <w:tcPr>
            <w:tcW w:w="1843" w:type="dxa"/>
          </w:tcPr>
          <w:p w14:paraId="77F747EF" w14:textId="76FD9EF2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339 (4.</w:t>
            </w:r>
            <w:r w:rsidR="007D416B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648F96C8" w14:textId="7AC7A731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 (4.5)</w:t>
            </w:r>
          </w:p>
        </w:tc>
        <w:tc>
          <w:tcPr>
            <w:tcW w:w="1966" w:type="dxa"/>
          </w:tcPr>
          <w:p w14:paraId="73985357" w14:textId="5865F79D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 (4.</w:t>
            </w:r>
            <w:r w:rsidR="00BC5F6C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35C224E5" w14:textId="77777777" w:rsidR="00DA223A" w:rsidRPr="00AA329E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09830B02" w14:textId="77777777" w:rsidTr="00DA223A">
        <w:trPr>
          <w:trHeight w:val="300"/>
          <w:jc w:val="center"/>
        </w:trPr>
        <w:tc>
          <w:tcPr>
            <w:tcW w:w="3342" w:type="dxa"/>
          </w:tcPr>
          <w:p w14:paraId="610AEDC9" w14:textId="77777777" w:rsidR="00DA223A" w:rsidRDefault="00DA223A" w:rsidP="00DA223A">
            <w:pPr>
              <w:tabs>
                <w:tab w:val="center" w:pos="1563"/>
              </w:tabs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2002</w:t>
            </w:r>
          </w:p>
        </w:tc>
        <w:tc>
          <w:tcPr>
            <w:tcW w:w="1843" w:type="dxa"/>
          </w:tcPr>
          <w:p w14:paraId="7B51178D" w14:textId="5AD922C4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376 (5.2)</w:t>
            </w:r>
          </w:p>
        </w:tc>
        <w:tc>
          <w:tcPr>
            <w:tcW w:w="1493" w:type="dxa"/>
          </w:tcPr>
          <w:p w14:paraId="71016CC3" w14:textId="5717A626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105 (5.3)</w:t>
            </w:r>
          </w:p>
        </w:tc>
        <w:tc>
          <w:tcPr>
            <w:tcW w:w="1966" w:type="dxa"/>
          </w:tcPr>
          <w:p w14:paraId="5EB66E72" w14:textId="414DDDB1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271 (5.</w:t>
            </w:r>
            <w:r w:rsidR="00BC5F6C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17B80420" w14:textId="77777777" w:rsidR="00DA223A" w:rsidRPr="00AA329E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20F0537E" w14:textId="77777777" w:rsidTr="00DA223A">
        <w:trPr>
          <w:trHeight w:val="300"/>
          <w:jc w:val="center"/>
        </w:trPr>
        <w:tc>
          <w:tcPr>
            <w:tcW w:w="3342" w:type="dxa"/>
          </w:tcPr>
          <w:p w14:paraId="0349F4DE" w14:textId="77777777" w:rsidR="00DA223A" w:rsidRDefault="00DA223A" w:rsidP="00DA223A">
            <w:pPr>
              <w:tabs>
                <w:tab w:val="center" w:pos="1563"/>
              </w:tabs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2003</w:t>
            </w:r>
          </w:p>
        </w:tc>
        <w:tc>
          <w:tcPr>
            <w:tcW w:w="1843" w:type="dxa"/>
          </w:tcPr>
          <w:p w14:paraId="47439169" w14:textId="633E99A1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447 (6.</w:t>
            </w:r>
            <w:r w:rsidR="007D416B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062E3BCC" w14:textId="73989685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138 (</w:t>
            </w:r>
            <w:r w:rsidR="009719E2">
              <w:rPr>
                <w:rFonts w:cs="Times New Roman"/>
                <w:szCs w:val="24"/>
              </w:rPr>
              <w:t>7.0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36B8B2A3" w14:textId="3FD34EC6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309 (5.</w:t>
            </w:r>
            <w:r w:rsidR="00BC5F6C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66A9F386" w14:textId="77777777" w:rsidR="00DA223A" w:rsidRPr="00AA329E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2949902B" w14:textId="77777777" w:rsidTr="00DA223A">
        <w:trPr>
          <w:trHeight w:val="300"/>
          <w:jc w:val="center"/>
        </w:trPr>
        <w:tc>
          <w:tcPr>
            <w:tcW w:w="3342" w:type="dxa"/>
          </w:tcPr>
          <w:p w14:paraId="3EBFCD42" w14:textId="77777777" w:rsidR="00DA223A" w:rsidRDefault="00DA223A" w:rsidP="00DA223A">
            <w:pPr>
              <w:tabs>
                <w:tab w:val="center" w:pos="1563"/>
              </w:tabs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2004</w:t>
            </w:r>
          </w:p>
        </w:tc>
        <w:tc>
          <w:tcPr>
            <w:tcW w:w="1843" w:type="dxa"/>
          </w:tcPr>
          <w:p w14:paraId="5F323790" w14:textId="2881CF7B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473 (6.5)</w:t>
            </w:r>
          </w:p>
        </w:tc>
        <w:tc>
          <w:tcPr>
            <w:tcW w:w="1493" w:type="dxa"/>
          </w:tcPr>
          <w:p w14:paraId="248A804E" w14:textId="17017B73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114 (5.</w:t>
            </w:r>
            <w:r w:rsidR="009719E2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706906E0" w14:textId="2EE9B57B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359 (6.8)</w:t>
            </w:r>
          </w:p>
        </w:tc>
        <w:tc>
          <w:tcPr>
            <w:tcW w:w="1442" w:type="dxa"/>
          </w:tcPr>
          <w:p w14:paraId="0839B7B7" w14:textId="77777777" w:rsidR="00DA223A" w:rsidRPr="00AA329E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038A03CE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062C8D4D" w14:textId="77777777" w:rsidR="00DA223A" w:rsidRPr="00155172" w:rsidRDefault="00DA223A" w:rsidP="00DA223A">
            <w:pPr>
              <w:tabs>
                <w:tab w:val="center" w:pos="1563"/>
              </w:tabs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2005</w:t>
            </w:r>
            <w:r>
              <w:rPr>
                <w:rFonts w:cs="Times New Roman"/>
                <w:szCs w:val="24"/>
              </w:rPr>
              <w:tab/>
            </w:r>
          </w:p>
        </w:tc>
        <w:tc>
          <w:tcPr>
            <w:tcW w:w="1843" w:type="dxa"/>
          </w:tcPr>
          <w:p w14:paraId="763587FB" w14:textId="56E40D31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516 (7.1)</w:t>
            </w:r>
          </w:p>
        </w:tc>
        <w:tc>
          <w:tcPr>
            <w:tcW w:w="1493" w:type="dxa"/>
          </w:tcPr>
          <w:p w14:paraId="7EAE8D2F" w14:textId="05DB0505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 (7.</w:t>
            </w:r>
            <w:r w:rsidR="009719E2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096B3E96" w14:textId="3E5C39BA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376 (7.</w:t>
            </w:r>
            <w:r w:rsidR="00BC5F6C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724CB35E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5213972D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60C0A39E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2006</w:t>
            </w:r>
          </w:p>
        </w:tc>
        <w:tc>
          <w:tcPr>
            <w:tcW w:w="1843" w:type="dxa"/>
          </w:tcPr>
          <w:p w14:paraId="5951BD90" w14:textId="731F7526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628 (8.</w:t>
            </w:r>
            <w:r w:rsidR="007D416B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2FE21CFF" w14:textId="18DE382E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151 (7.6)</w:t>
            </w:r>
          </w:p>
        </w:tc>
        <w:tc>
          <w:tcPr>
            <w:tcW w:w="1966" w:type="dxa"/>
          </w:tcPr>
          <w:p w14:paraId="107F3AC1" w14:textId="201DFC7A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477 (9.</w:t>
            </w:r>
            <w:r w:rsidR="00BC5F6C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7BFDC8F7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443B0781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549B8578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2007</w:t>
            </w:r>
          </w:p>
        </w:tc>
        <w:tc>
          <w:tcPr>
            <w:tcW w:w="1843" w:type="dxa"/>
          </w:tcPr>
          <w:p w14:paraId="6D5C2A8D" w14:textId="396B9DE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660 (9.1)</w:t>
            </w:r>
          </w:p>
        </w:tc>
        <w:tc>
          <w:tcPr>
            <w:tcW w:w="1493" w:type="dxa"/>
          </w:tcPr>
          <w:p w14:paraId="03D95AE3" w14:textId="709568A1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186 (9.4)</w:t>
            </w:r>
          </w:p>
        </w:tc>
        <w:tc>
          <w:tcPr>
            <w:tcW w:w="1966" w:type="dxa"/>
          </w:tcPr>
          <w:p w14:paraId="44806D16" w14:textId="2EDBCDCB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474 (9.0)</w:t>
            </w:r>
          </w:p>
        </w:tc>
        <w:tc>
          <w:tcPr>
            <w:tcW w:w="1442" w:type="dxa"/>
          </w:tcPr>
          <w:p w14:paraId="0DE5CECB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5F3770A6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279BBDD3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2008</w:t>
            </w:r>
          </w:p>
        </w:tc>
        <w:tc>
          <w:tcPr>
            <w:tcW w:w="1843" w:type="dxa"/>
          </w:tcPr>
          <w:p w14:paraId="1CCE18F4" w14:textId="4172AE6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737 (10.2)</w:t>
            </w:r>
          </w:p>
        </w:tc>
        <w:tc>
          <w:tcPr>
            <w:tcW w:w="1493" w:type="dxa"/>
          </w:tcPr>
          <w:p w14:paraId="299FFF31" w14:textId="67996E19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187 (9.</w:t>
            </w:r>
            <w:r w:rsidR="009719E2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7A0DB744" w14:textId="04219645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550 (10.</w:t>
            </w:r>
            <w:r w:rsidR="00BC5F6C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7B3C9BF1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1C146271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6CE97322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2009</w:t>
            </w:r>
          </w:p>
        </w:tc>
        <w:tc>
          <w:tcPr>
            <w:tcW w:w="1843" w:type="dxa"/>
          </w:tcPr>
          <w:p w14:paraId="52F2CF98" w14:textId="178E78BC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720 (</w:t>
            </w:r>
            <w:r w:rsidR="007D416B">
              <w:rPr>
                <w:rFonts w:cs="Times New Roman"/>
                <w:szCs w:val="24"/>
              </w:rPr>
              <w:t>10.0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4812D7F4" w14:textId="4FBA8974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194 (9.8)</w:t>
            </w:r>
          </w:p>
        </w:tc>
        <w:tc>
          <w:tcPr>
            <w:tcW w:w="1966" w:type="dxa"/>
          </w:tcPr>
          <w:p w14:paraId="15F38E66" w14:textId="42381A15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526 (10.0)</w:t>
            </w:r>
          </w:p>
        </w:tc>
        <w:tc>
          <w:tcPr>
            <w:tcW w:w="1442" w:type="dxa"/>
          </w:tcPr>
          <w:p w14:paraId="3BAAA1F7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54C350B8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55113721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2010</w:t>
            </w:r>
          </w:p>
        </w:tc>
        <w:tc>
          <w:tcPr>
            <w:tcW w:w="1843" w:type="dxa"/>
          </w:tcPr>
          <w:p w14:paraId="107CE208" w14:textId="7D4D638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772 (10.</w:t>
            </w:r>
            <w:r w:rsidR="007D416B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21F7F5BF" w14:textId="1CF03253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225 (11.</w:t>
            </w:r>
            <w:r w:rsidR="009719E2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409B53A3" w14:textId="45C74C6E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547 (10.4)</w:t>
            </w:r>
          </w:p>
        </w:tc>
        <w:tc>
          <w:tcPr>
            <w:tcW w:w="1442" w:type="dxa"/>
          </w:tcPr>
          <w:p w14:paraId="21E47759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2E81C9FD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63FC964E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2011</w:t>
            </w:r>
          </w:p>
        </w:tc>
        <w:tc>
          <w:tcPr>
            <w:tcW w:w="1843" w:type="dxa"/>
          </w:tcPr>
          <w:p w14:paraId="6C1F2B04" w14:textId="09CBED3C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782 (10.8)</w:t>
            </w:r>
          </w:p>
        </w:tc>
        <w:tc>
          <w:tcPr>
            <w:tcW w:w="1493" w:type="dxa"/>
          </w:tcPr>
          <w:p w14:paraId="02C21BE3" w14:textId="6F58BF08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 (10.6)</w:t>
            </w:r>
          </w:p>
        </w:tc>
        <w:tc>
          <w:tcPr>
            <w:tcW w:w="1966" w:type="dxa"/>
          </w:tcPr>
          <w:p w14:paraId="6BB48870" w14:textId="3AA58480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572 (10.9)</w:t>
            </w:r>
          </w:p>
        </w:tc>
        <w:tc>
          <w:tcPr>
            <w:tcW w:w="1442" w:type="dxa"/>
          </w:tcPr>
          <w:p w14:paraId="07E31AA4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11711D86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442EC288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    </w:t>
            </w:r>
            <w:r w:rsidRPr="00155172">
              <w:rPr>
                <w:rFonts w:cs="Times New Roman"/>
                <w:szCs w:val="24"/>
              </w:rPr>
              <w:t>2012</w:t>
            </w:r>
          </w:p>
        </w:tc>
        <w:tc>
          <w:tcPr>
            <w:tcW w:w="1843" w:type="dxa"/>
          </w:tcPr>
          <w:p w14:paraId="50E9AA28" w14:textId="7AD9003B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768 (10.6)</w:t>
            </w:r>
          </w:p>
        </w:tc>
        <w:tc>
          <w:tcPr>
            <w:tcW w:w="1493" w:type="dxa"/>
          </w:tcPr>
          <w:p w14:paraId="2F3196B3" w14:textId="71EAE08D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236 (11.9)</w:t>
            </w:r>
          </w:p>
        </w:tc>
        <w:tc>
          <w:tcPr>
            <w:tcW w:w="1966" w:type="dxa"/>
          </w:tcPr>
          <w:p w14:paraId="1C6F2686" w14:textId="5AB56AA5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532 (10.1)</w:t>
            </w:r>
          </w:p>
        </w:tc>
        <w:tc>
          <w:tcPr>
            <w:tcW w:w="1442" w:type="dxa"/>
          </w:tcPr>
          <w:p w14:paraId="6F259FD2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28A83CAD" w14:textId="77777777" w:rsidTr="00DA223A">
        <w:trPr>
          <w:trHeight w:val="243"/>
          <w:jc w:val="center"/>
        </w:trPr>
        <w:tc>
          <w:tcPr>
            <w:tcW w:w="3342" w:type="dxa"/>
            <w:hideMark/>
          </w:tcPr>
          <w:p w14:paraId="3B865640" w14:textId="77777777" w:rsidR="00DA223A" w:rsidRPr="00155172" w:rsidRDefault="00DA223A" w:rsidP="00DA223A">
            <w:pPr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Source of p</w:t>
            </w:r>
            <w:r w:rsidRPr="00155172">
              <w:rPr>
                <w:rFonts w:cs="Times New Roman"/>
                <w:b/>
                <w:bCs/>
                <w:szCs w:val="24"/>
              </w:rPr>
              <w:t>ayment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</w:tcPr>
          <w:p w14:paraId="2BA7B469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5BC0EDD8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13715F2C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7F5CDD71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464F2585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592C7FCE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Self-Pay</w:t>
            </w:r>
          </w:p>
        </w:tc>
        <w:tc>
          <w:tcPr>
            <w:tcW w:w="1843" w:type="dxa"/>
            <w:noWrap/>
          </w:tcPr>
          <w:p w14:paraId="1B2FDC34" w14:textId="7CC92BA8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206 (2.8)</w:t>
            </w:r>
          </w:p>
        </w:tc>
        <w:tc>
          <w:tcPr>
            <w:tcW w:w="1493" w:type="dxa"/>
          </w:tcPr>
          <w:p w14:paraId="161F6C9E" w14:textId="4C9CC591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 (1.</w:t>
            </w:r>
            <w:r w:rsidR="009719E2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4E96A5F1" w14:textId="35541721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175 (3.3)</w:t>
            </w:r>
          </w:p>
        </w:tc>
        <w:tc>
          <w:tcPr>
            <w:tcW w:w="1442" w:type="dxa"/>
          </w:tcPr>
          <w:p w14:paraId="0468DF67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&lt; </w:t>
            </w:r>
            <w:r w:rsidRPr="00AA329E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01</w:t>
            </w:r>
          </w:p>
        </w:tc>
      </w:tr>
      <w:tr w:rsidR="00DA223A" w:rsidRPr="00155172" w14:paraId="1CEECA95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655F3482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Medicare</w:t>
            </w:r>
          </w:p>
        </w:tc>
        <w:tc>
          <w:tcPr>
            <w:tcW w:w="1843" w:type="dxa"/>
            <w:noWrap/>
          </w:tcPr>
          <w:p w14:paraId="106E4D39" w14:textId="76082374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3913 (54.1)</w:t>
            </w:r>
          </w:p>
        </w:tc>
        <w:tc>
          <w:tcPr>
            <w:tcW w:w="1493" w:type="dxa"/>
          </w:tcPr>
          <w:p w14:paraId="7295500E" w14:textId="31450A82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1152 (58.</w:t>
            </w:r>
            <w:r w:rsidR="009719E2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652D2CCF" w14:textId="40B0F053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2761 (52.</w:t>
            </w:r>
            <w:r w:rsidR="00BC5F6C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111CE7A1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0A2FB650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0FDE675C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Medicaid</w:t>
            </w:r>
          </w:p>
        </w:tc>
        <w:tc>
          <w:tcPr>
            <w:tcW w:w="1843" w:type="dxa"/>
            <w:noWrap/>
          </w:tcPr>
          <w:p w14:paraId="622FF4DC" w14:textId="5F00647C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796 (11.0)</w:t>
            </w:r>
          </w:p>
        </w:tc>
        <w:tc>
          <w:tcPr>
            <w:tcW w:w="1493" w:type="dxa"/>
          </w:tcPr>
          <w:p w14:paraId="64D17DDA" w14:textId="2D1BDC10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193 (9.</w:t>
            </w:r>
            <w:r w:rsidR="009719E2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</w:tcPr>
          <w:p w14:paraId="53D5FD8B" w14:textId="20D624AF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603 (11.</w:t>
            </w:r>
            <w:r w:rsidR="00BC5F6C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536CA62C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33ABE03C" w14:textId="77777777" w:rsidTr="00DA223A">
        <w:trPr>
          <w:trHeight w:val="300"/>
          <w:jc w:val="center"/>
        </w:trPr>
        <w:tc>
          <w:tcPr>
            <w:tcW w:w="3342" w:type="dxa"/>
            <w:hideMark/>
          </w:tcPr>
          <w:p w14:paraId="6371C3BF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55172">
              <w:rPr>
                <w:rFonts w:cs="Times New Roman"/>
                <w:szCs w:val="24"/>
              </w:rPr>
              <w:t>Insurance Company</w:t>
            </w:r>
          </w:p>
        </w:tc>
        <w:tc>
          <w:tcPr>
            <w:tcW w:w="1843" w:type="dxa"/>
          </w:tcPr>
          <w:p w14:paraId="1E6F686E" w14:textId="524A235E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2298 (31.</w:t>
            </w:r>
            <w:r w:rsidR="007D416B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93" w:type="dxa"/>
          </w:tcPr>
          <w:p w14:paraId="330608F9" w14:textId="013BA62B" w:rsidR="00DA223A" w:rsidRPr="00155172" w:rsidRDefault="00DA223A" w:rsidP="009719E2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598 (30.2)</w:t>
            </w:r>
          </w:p>
        </w:tc>
        <w:tc>
          <w:tcPr>
            <w:tcW w:w="1966" w:type="dxa"/>
          </w:tcPr>
          <w:p w14:paraId="0992F71A" w14:textId="68626B01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1700 (32.</w:t>
            </w:r>
            <w:r w:rsidR="00BC5F6C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2" w:type="dxa"/>
          </w:tcPr>
          <w:p w14:paraId="661E4E39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A223A" w:rsidRPr="00155172" w14:paraId="0FAB8D9D" w14:textId="77777777" w:rsidTr="00DA223A">
        <w:trPr>
          <w:trHeight w:val="315"/>
          <w:jc w:val="center"/>
        </w:trPr>
        <w:tc>
          <w:tcPr>
            <w:tcW w:w="3342" w:type="dxa"/>
            <w:tcBorders>
              <w:bottom w:val="single" w:sz="4" w:space="0" w:color="auto"/>
            </w:tcBorders>
            <w:hideMark/>
          </w:tcPr>
          <w:p w14:paraId="63C63D7A" w14:textId="77777777" w:rsidR="00DA223A" w:rsidRPr="00155172" w:rsidRDefault="00DA223A" w:rsidP="00DA223A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Other/Unknown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316FCD" w14:textId="22AFE5B9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 (0.2)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4E9AD653" w14:textId="510CBFC6" w:rsidR="00DA223A" w:rsidRPr="00155172" w:rsidRDefault="00DA223A" w:rsidP="009719E2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(0.</w:t>
            </w:r>
            <w:r w:rsidR="009719E2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251D199A" w14:textId="7125F966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 (0.2)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686BEE8D" w14:textId="77777777" w:rsidR="00DA223A" w:rsidRPr="00155172" w:rsidRDefault="00DA223A" w:rsidP="00DA223A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</w:tbl>
    <w:p w14:paraId="43647336" w14:textId="77777777" w:rsidR="00DA223A" w:rsidRDefault="00DA223A" w:rsidP="00DA223A">
      <w:pPr>
        <w:spacing w:line="240" w:lineRule="auto"/>
        <w:contextualSpacing/>
        <w:rPr>
          <w:vertAlign w:val="superscript"/>
        </w:rPr>
      </w:pPr>
    </w:p>
    <w:p w14:paraId="7FA4BAC7" w14:textId="77777777" w:rsidR="00DA223A" w:rsidRDefault="00DA223A" w:rsidP="00DA223A">
      <w:pPr>
        <w:spacing w:line="240" w:lineRule="auto"/>
        <w:contextualSpacing/>
      </w:pPr>
      <w:r>
        <w:rPr>
          <w:vertAlign w:val="superscript"/>
        </w:rPr>
        <w:t>a</w:t>
      </w:r>
      <w:r>
        <w:t xml:space="preserve"> Storm areas defined as New York City Evacuation Zones (Bronx, Queens, New York, Kings, and Richmond Counties) or as Hurricane Storm Surge Zones in Nassau, Suffolk, and Westchester Counties; </w:t>
      </w:r>
      <w:r>
        <w:rPr>
          <w:vertAlign w:val="superscript"/>
        </w:rPr>
        <w:t>b</w:t>
      </w:r>
      <w:r>
        <w:t xml:space="preserve"> P-value for difference between storm and non-storm areas using </w:t>
      </w:r>
      <w:r w:rsidRPr="00AA329E">
        <w:rPr>
          <w:rFonts w:cs="Times New Roman"/>
        </w:rPr>
        <w:t>Χ</w:t>
      </w:r>
      <w:r>
        <w:rPr>
          <w:vertAlign w:val="superscript"/>
        </w:rPr>
        <w:t>2</w:t>
      </w:r>
      <w:r>
        <w:t>-test.</w:t>
      </w:r>
    </w:p>
    <w:p w14:paraId="5875A053" w14:textId="317DB08B" w:rsidR="0008302F" w:rsidRPr="00CF347F" w:rsidRDefault="00A153AC" w:rsidP="0008302F">
      <w:pPr>
        <w:pStyle w:val="Caption"/>
        <w:keepNext/>
        <w:spacing w:after="0"/>
        <w:contextualSpacing/>
        <w:rPr>
          <w:rFonts w:cs="Times New Roman"/>
          <w:b/>
          <w:i w:val="0"/>
          <w:color w:val="auto"/>
          <w:sz w:val="24"/>
          <w:szCs w:val="24"/>
        </w:rPr>
      </w:pPr>
      <w:r>
        <w:br w:type="page"/>
      </w:r>
      <w:r w:rsidR="0008302F">
        <w:rPr>
          <w:b/>
          <w:i w:val="0"/>
          <w:color w:val="auto"/>
          <w:sz w:val="24"/>
          <w:szCs w:val="24"/>
        </w:rPr>
        <w:lastRenderedPageBreak/>
        <w:t xml:space="preserve">Supplementary </w:t>
      </w:r>
      <w:r w:rsidR="0008302F" w:rsidRPr="00CF347F">
        <w:rPr>
          <w:b/>
          <w:i w:val="0"/>
          <w:color w:val="auto"/>
          <w:sz w:val="24"/>
          <w:szCs w:val="24"/>
        </w:rPr>
        <w:t xml:space="preserve">Table </w:t>
      </w:r>
      <w:r w:rsidR="0008302F">
        <w:rPr>
          <w:b/>
          <w:i w:val="0"/>
          <w:color w:val="auto"/>
          <w:sz w:val="24"/>
          <w:szCs w:val="24"/>
        </w:rPr>
        <w:t>3</w:t>
      </w:r>
      <w:r w:rsidR="0008302F" w:rsidRPr="00CF347F">
        <w:rPr>
          <w:b/>
          <w:i w:val="0"/>
          <w:color w:val="auto"/>
          <w:sz w:val="24"/>
          <w:szCs w:val="24"/>
        </w:rPr>
        <w:t xml:space="preserve">. Risk ratios (95% </w:t>
      </w:r>
      <w:r w:rsidR="00B44BB4">
        <w:rPr>
          <w:b/>
          <w:i w:val="0"/>
          <w:color w:val="auto"/>
          <w:sz w:val="24"/>
          <w:szCs w:val="24"/>
        </w:rPr>
        <w:t>confidence intervals</w:t>
      </w:r>
      <w:r w:rsidR="0008302F" w:rsidRPr="00CF347F">
        <w:rPr>
          <w:b/>
          <w:i w:val="0"/>
          <w:color w:val="auto"/>
          <w:sz w:val="24"/>
          <w:szCs w:val="24"/>
        </w:rPr>
        <w:t>) for in</w:t>
      </w:r>
      <w:r w:rsidR="0008302F" w:rsidRPr="00CF347F">
        <w:rPr>
          <w:rFonts w:cs="Times New Roman"/>
          <w:b/>
          <w:i w:val="0"/>
          <w:color w:val="auto"/>
          <w:sz w:val="24"/>
          <w:szCs w:val="24"/>
        </w:rPr>
        <w:t>cident food and waterborne disease outpatient diagnoses, from October 28</w:t>
      </w:r>
      <w:r w:rsidR="0008302F" w:rsidRPr="007D5DA9">
        <w:rPr>
          <w:rFonts w:cs="Times New Roman"/>
          <w:b/>
          <w:i w:val="0"/>
          <w:color w:val="auto"/>
          <w:sz w:val="24"/>
          <w:szCs w:val="24"/>
          <w:vertAlign w:val="superscript"/>
        </w:rPr>
        <w:t>th</w:t>
      </w:r>
      <w:r w:rsidR="0008302F" w:rsidRPr="00CF347F">
        <w:rPr>
          <w:rFonts w:cs="Times New Roman"/>
          <w:b/>
          <w:i w:val="0"/>
          <w:color w:val="auto"/>
          <w:sz w:val="24"/>
          <w:szCs w:val="24"/>
        </w:rPr>
        <w:t xml:space="preserve">-November </w:t>
      </w:r>
      <w:r w:rsidR="0008302F">
        <w:rPr>
          <w:rFonts w:cs="Times New Roman"/>
          <w:b/>
          <w:i w:val="0"/>
          <w:color w:val="auto"/>
          <w:sz w:val="24"/>
          <w:szCs w:val="24"/>
        </w:rPr>
        <w:t>24</w:t>
      </w:r>
      <w:r w:rsidR="0008302F" w:rsidRPr="00CF347F">
        <w:rPr>
          <w:rFonts w:cs="Times New Roman"/>
          <w:b/>
          <w:i w:val="0"/>
          <w:color w:val="auto"/>
          <w:sz w:val="24"/>
          <w:szCs w:val="24"/>
          <w:vertAlign w:val="superscript"/>
        </w:rPr>
        <w:t>h</w:t>
      </w:r>
      <w:r w:rsidR="0008302F" w:rsidRPr="00CF347F">
        <w:rPr>
          <w:rFonts w:cs="Times New Roman"/>
          <w:b/>
          <w:i w:val="0"/>
          <w:color w:val="auto"/>
          <w:sz w:val="24"/>
          <w:szCs w:val="24"/>
        </w:rPr>
        <w:t>, 2012 relative to October 28</w:t>
      </w:r>
      <w:r w:rsidR="0008302F" w:rsidRPr="00CF347F">
        <w:rPr>
          <w:rFonts w:cs="Times New Roman"/>
          <w:b/>
          <w:i w:val="0"/>
          <w:color w:val="auto"/>
          <w:sz w:val="24"/>
          <w:szCs w:val="24"/>
          <w:vertAlign w:val="superscript"/>
        </w:rPr>
        <w:t>th</w:t>
      </w:r>
      <w:r w:rsidR="0008302F" w:rsidRPr="00CF347F">
        <w:rPr>
          <w:rFonts w:cs="Times New Roman"/>
          <w:b/>
          <w:i w:val="0"/>
          <w:color w:val="auto"/>
          <w:sz w:val="24"/>
          <w:szCs w:val="24"/>
        </w:rPr>
        <w:t xml:space="preserve">-November </w:t>
      </w:r>
      <w:r w:rsidR="0008302F">
        <w:rPr>
          <w:rFonts w:cs="Times New Roman"/>
          <w:b/>
          <w:i w:val="0"/>
          <w:color w:val="auto"/>
          <w:sz w:val="24"/>
          <w:szCs w:val="24"/>
        </w:rPr>
        <w:t>24</w:t>
      </w:r>
      <w:r w:rsidR="0008302F" w:rsidRPr="00CF347F">
        <w:rPr>
          <w:rFonts w:cs="Times New Roman"/>
          <w:b/>
          <w:i w:val="0"/>
          <w:color w:val="auto"/>
          <w:sz w:val="24"/>
          <w:szCs w:val="24"/>
          <w:vertAlign w:val="superscript"/>
        </w:rPr>
        <w:t>th</w:t>
      </w:r>
      <w:r w:rsidR="0008302F" w:rsidRPr="00CF347F">
        <w:rPr>
          <w:rFonts w:cs="Times New Roman"/>
          <w:b/>
          <w:i w:val="0"/>
          <w:color w:val="auto"/>
          <w:sz w:val="24"/>
          <w:szCs w:val="24"/>
        </w:rPr>
        <w:t>, 2005-2011, among residents of Hurricane Sandy storm</w:t>
      </w:r>
      <w:r w:rsidR="0008302F">
        <w:rPr>
          <w:rFonts w:cs="Times New Roman"/>
          <w:b/>
          <w:i w:val="0"/>
          <w:color w:val="auto"/>
          <w:sz w:val="24"/>
          <w:szCs w:val="24"/>
        </w:rPr>
        <w:t xml:space="preserve"> areas</w:t>
      </w:r>
      <w:r w:rsidR="0008302F" w:rsidRPr="00CF347F">
        <w:rPr>
          <w:rFonts w:cs="Times New Roman"/>
          <w:b/>
          <w:i w:val="0"/>
          <w:color w:val="auto"/>
          <w:sz w:val="24"/>
          <w:szCs w:val="24"/>
        </w:rPr>
        <w:t xml:space="preserve"> and non-storm areas. </w:t>
      </w:r>
      <w:r w:rsidR="0008302F" w:rsidRPr="00CF347F">
        <w:rPr>
          <w:rFonts w:cs="Times New Roman"/>
          <w:b/>
          <w:i w:val="0"/>
          <w:color w:val="auto"/>
          <w:sz w:val="24"/>
          <w:szCs w:val="24"/>
          <w:vertAlign w:val="superscript"/>
        </w:rPr>
        <w:t>a</w:t>
      </w:r>
    </w:p>
    <w:p w14:paraId="33948830" w14:textId="77777777" w:rsidR="0008302F" w:rsidRPr="00505300" w:rsidRDefault="0008302F" w:rsidP="0008302F">
      <w:pPr>
        <w:spacing w:line="240" w:lineRule="auto"/>
        <w:contextualSpacing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056"/>
        <w:gridCol w:w="2063"/>
      </w:tblGrid>
      <w:tr w:rsidR="0008302F" w:rsidRPr="00081BE9" w14:paraId="711712C5" w14:textId="77777777" w:rsidTr="004B3618">
        <w:trPr>
          <w:trHeight w:val="300"/>
          <w:jc w:val="center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3972D3" w14:textId="77777777" w:rsidR="0008302F" w:rsidRPr="00081BE9" w:rsidRDefault="0008302F" w:rsidP="004B3618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081BE9">
              <w:rPr>
                <w:rFonts w:cs="Times New Roman"/>
                <w:b/>
                <w:bCs/>
                <w:szCs w:val="24"/>
              </w:rPr>
              <w:t>Demographic factor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F6FD3F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081BE9">
              <w:rPr>
                <w:rFonts w:cs="Times New Roman"/>
                <w:b/>
                <w:bCs/>
                <w:szCs w:val="24"/>
              </w:rPr>
              <w:t xml:space="preserve">Storm area </w:t>
            </w:r>
            <w:r w:rsidRPr="00081BE9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5DFF47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081BE9">
              <w:rPr>
                <w:rFonts w:cs="Times New Roman"/>
                <w:b/>
                <w:bCs/>
                <w:szCs w:val="24"/>
              </w:rPr>
              <w:t xml:space="preserve">Non-storm area </w:t>
            </w:r>
            <w:r w:rsidRPr="00081BE9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</w:p>
        </w:tc>
      </w:tr>
      <w:tr w:rsidR="0008302F" w:rsidRPr="00081BE9" w14:paraId="7BA1E794" w14:textId="77777777" w:rsidTr="004B3618">
        <w:trPr>
          <w:trHeight w:val="300"/>
          <w:jc w:val="center"/>
        </w:trPr>
        <w:tc>
          <w:tcPr>
            <w:tcW w:w="3103" w:type="dxa"/>
            <w:tcBorders>
              <w:top w:val="single" w:sz="4" w:space="0" w:color="auto"/>
            </w:tcBorders>
            <w:noWrap/>
            <w:vAlign w:val="center"/>
          </w:tcPr>
          <w:p w14:paraId="1D37F073" w14:textId="77777777" w:rsidR="0008302F" w:rsidRPr="00081BE9" w:rsidRDefault="0008302F" w:rsidP="004B3618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081BE9">
              <w:rPr>
                <w:rFonts w:cs="Times New Roman"/>
                <w:b/>
                <w:bCs/>
                <w:szCs w:val="24"/>
              </w:rPr>
              <w:t>Overall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noWrap/>
            <w:vAlign w:val="bottom"/>
          </w:tcPr>
          <w:p w14:paraId="06104060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081BE9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</w:rPr>
              <w:t>0.63 (0.44, 0.92)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noWrap/>
            <w:vAlign w:val="bottom"/>
          </w:tcPr>
          <w:p w14:paraId="38825920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81BE9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</w:rPr>
              <w:t>0.62 (0.40, 0.96)</w:t>
            </w:r>
          </w:p>
        </w:tc>
      </w:tr>
      <w:tr w:rsidR="0008302F" w:rsidRPr="00081BE9" w14:paraId="43F07DA5" w14:textId="77777777" w:rsidTr="004B3618">
        <w:trPr>
          <w:trHeight w:val="315"/>
          <w:jc w:val="center"/>
        </w:trPr>
        <w:tc>
          <w:tcPr>
            <w:tcW w:w="3103" w:type="dxa"/>
            <w:noWrap/>
            <w:vAlign w:val="center"/>
          </w:tcPr>
          <w:p w14:paraId="0D3E197F" w14:textId="77777777" w:rsidR="0008302F" w:rsidRPr="00081BE9" w:rsidRDefault="0008302F" w:rsidP="004B3618">
            <w:pPr>
              <w:contextualSpacing/>
              <w:rPr>
                <w:rFonts w:cs="Times New Roman"/>
                <w:b/>
                <w:szCs w:val="24"/>
              </w:rPr>
            </w:pPr>
            <w:r w:rsidRPr="00081BE9">
              <w:rPr>
                <w:rFonts w:cs="Times New Roman"/>
                <w:b/>
                <w:szCs w:val="24"/>
              </w:rPr>
              <w:t>County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bottom"/>
          </w:tcPr>
          <w:p w14:paraId="2264D303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  <w:noWrap/>
            <w:vAlign w:val="bottom"/>
          </w:tcPr>
          <w:p w14:paraId="10FFE492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08302F" w:rsidRPr="00081BE9" w14:paraId="5156DC64" w14:textId="77777777" w:rsidTr="004B3618">
        <w:trPr>
          <w:trHeight w:val="315"/>
          <w:jc w:val="center"/>
        </w:trPr>
        <w:tc>
          <w:tcPr>
            <w:tcW w:w="3103" w:type="dxa"/>
            <w:noWrap/>
            <w:vAlign w:val="center"/>
          </w:tcPr>
          <w:p w14:paraId="7C10FD27" w14:textId="77777777" w:rsidR="0008302F" w:rsidRPr="00081BE9" w:rsidRDefault="0008302F" w:rsidP="004B3618">
            <w:pPr>
              <w:contextualSpacing/>
              <w:rPr>
                <w:rFonts w:cs="Times New Roman"/>
                <w:szCs w:val="24"/>
              </w:rPr>
            </w:pPr>
            <w:r w:rsidRPr="00081BE9">
              <w:rPr>
                <w:rFonts w:cs="Times New Roman"/>
                <w:szCs w:val="24"/>
              </w:rPr>
              <w:t xml:space="preserve">     Nassau </w:t>
            </w:r>
          </w:p>
        </w:tc>
        <w:tc>
          <w:tcPr>
            <w:tcW w:w="2056" w:type="dxa"/>
            <w:noWrap/>
            <w:vAlign w:val="bottom"/>
          </w:tcPr>
          <w:p w14:paraId="32CCB5AF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81BE9">
              <w:rPr>
                <w:rFonts w:eastAsia="Times New Roman" w:cs="Times New Roman"/>
                <w:color w:val="000000"/>
                <w:kern w:val="24"/>
                <w:szCs w:val="24"/>
              </w:rPr>
              <w:t>0.72 (0.27, 1.91)</w:t>
            </w:r>
          </w:p>
        </w:tc>
        <w:tc>
          <w:tcPr>
            <w:tcW w:w="2063" w:type="dxa"/>
            <w:noWrap/>
            <w:vAlign w:val="bottom"/>
          </w:tcPr>
          <w:p w14:paraId="7262BF6E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81BE9">
              <w:rPr>
                <w:rFonts w:eastAsia="Times New Roman" w:cs="Times New Roman"/>
                <w:color w:val="000000"/>
                <w:kern w:val="24"/>
                <w:szCs w:val="24"/>
              </w:rPr>
              <w:t>1.44 (0.81, 2.54)</w:t>
            </w:r>
          </w:p>
        </w:tc>
      </w:tr>
      <w:tr w:rsidR="0008302F" w:rsidRPr="00081BE9" w14:paraId="77A3E5BD" w14:textId="77777777" w:rsidTr="004B3618">
        <w:trPr>
          <w:trHeight w:val="315"/>
          <w:jc w:val="center"/>
        </w:trPr>
        <w:tc>
          <w:tcPr>
            <w:tcW w:w="3103" w:type="dxa"/>
            <w:noWrap/>
            <w:vAlign w:val="center"/>
          </w:tcPr>
          <w:p w14:paraId="0C51C4DE" w14:textId="77777777" w:rsidR="0008302F" w:rsidRPr="00081BE9" w:rsidRDefault="0008302F" w:rsidP="004B3618">
            <w:pPr>
              <w:contextualSpacing/>
              <w:rPr>
                <w:rFonts w:cs="Times New Roman"/>
                <w:szCs w:val="24"/>
              </w:rPr>
            </w:pPr>
            <w:r w:rsidRPr="00081BE9">
              <w:rPr>
                <w:rFonts w:cs="Times New Roman"/>
                <w:szCs w:val="24"/>
              </w:rPr>
              <w:t xml:space="preserve">     Suffolk </w:t>
            </w:r>
          </w:p>
        </w:tc>
        <w:tc>
          <w:tcPr>
            <w:tcW w:w="2056" w:type="dxa"/>
            <w:noWrap/>
            <w:vAlign w:val="bottom"/>
          </w:tcPr>
          <w:p w14:paraId="37FA38A3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81BE9">
              <w:rPr>
                <w:rFonts w:eastAsia="Times New Roman" w:cs="Times New Roman"/>
                <w:color w:val="000000"/>
                <w:kern w:val="24"/>
                <w:szCs w:val="24"/>
              </w:rPr>
              <w:t>0.97 (0.46, 2.03)</w:t>
            </w:r>
          </w:p>
        </w:tc>
        <w:tc>
          <w:tcPr>
            <w:tcW w:w="2063" w:type="dxa"/>
            <w:noWrap/>
            <w:vAlign w:val="bottom"/>
          </w:tcPr>
          <w:p w14:paraId="155BA3B4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81BE9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</w:rPr>
              <w:t>0.67 (0.45, 0.99)</w:t>
            </w:r>
          </w:p>
        </w:tc>
      </w:tr>
      <w:tr w:rsidR="0008302F" w:rsidRPr="00081BE9" w14:paraId="0C8B1B0F" w14:textId="77777777" w:rsidTr="004B3618">
        <w:trPr>
          <w:trHeight w:val="315"/>
          <w:jc w:val="center"/>
        </w:trPr>
        <w:tc>
          <w:tcPr>
            <w:tcW w:w="3103" w:type="dxa"/>
            <w:noWrap/>
            <w:vAlign w:val="center"/>
          </w:tcPr>
          <w:p w14:paraId="65B16A16" w14:textId="77777777" w:rsidR="0008302F" w:rsidRPr="00081BE9" w:rsidRDefault="0008302F" w:rsidP="004B3618">
            <w:pPr>
              <w:contextualSpacing/>
              <w:rPr>
                <w:rFonts w:cs="Times New Roman"/>
                <w:szCs w:val="24"/>
              </w:rPr>
            </w:pPr>
            <w:r w:rsidRPr="00081BE9">
              <w:rPr>
                <w:rFonts w:cs="Times New Roman"/>
                <w:szCs w:val="24"/>
              </w:rPr>
              <w:t xml:space="preserve">     Bronx </w:t>
            </w:r>
          </w:p>
        </w:tc>
        <w:tc>
          <w:tcPr>
            <w:tcW w:w="2056" w:type="dxa"/>
            <w:noWrap/>
            <w:vAlign w:val="bottom"/>
          </w:tcPr>
          <w:p w14:paraId="623FB385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81BE9">
              <w:rPr>
                <w:rFonts w:eastAsia="Times New Roman" w:cs="Times New Roman"/>
                <w:color w:val="000000"/>
                <w:kern w:val="24"/>
                <w:szCs w:val="24"/>
              </w:rPr>
              <w:t>1.04 (0.58, 1.89)</w:t>
            </w:r>
          </w:p>
        </w:tc>
        <w:tc>
          <w:tcPr>
            <w:tcW w:w="2063" w:type="dxa"/>
            <w:noWrap/>
            <w:vAlign w:val="bottom"/>
          </w:tcPr>
          <w:p w14:paraId="40D6D3E0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81BE9">
              <w:rPr>
                <w:rFonts w:eastAsia="Times New Roman" w:cs="Times New Roman"/>
                <w:color w:val="000000"/>
                <w:kern w:val="24"/>
                <w:szCs w:val="24"/>
              </w:rPr>
              <w:t>1.06 (0.82, 1.38)</w:t>
            </w:r>
          </w:p>
        </w:tc>
      </w:tr>
      <w:tr w:rsidR="0008302F" w:rsidRPr="00081BE9" w14:paraId="6AB59424" w14:textId="77777777" w:rsidTr="004B3618">
        <w:trPr>
          <w:trHeight w:val="315"/>
          <w:jc w:val="center"/>
        </w:trPr>
        <w:tc>
          <w:tcPr>
            <w:tcW w:w="3103" w:type="dxa"/>
            <w:noWrap/>
            <w:vAlign w:val="center"/>
          </w:tcPr>
          <w:p w14:paraId="4F99CA64" w14:textId="77777777" w:rsidR="0008302F" w:rsidRPr="00081BE9" w:rsidRDefault="0008302F" w:rsidP="004B3618">
            <w:pPr>
              <w:contextualSpacing/>
              <w:rPr>
                <w:rFonts w:cs="Times New Roman"/>
                <w:szCs w:val="24"/>
              </w:rPr>
            </w:pPr>
            <w:r w:rsidRPr="00081BE9">
              <w:rPr>
                <w:rFonts w:cs="Times New Roman"/>
                <w:szCs w:val="24"/>
              </w:rPr>
              <w:t xml:space="preserve">     Kings (Brooklyn)</w:t>
            </w:r>
          </w:p>
        </w:tc>
        <w:tc>
          <w:tcPr>
            <w:tcW w:w="2056" w:type="dxa"/>
            <w:noWrap/>
            <w:vAlign w:val="bottom"/>
          </w:tcPr>
          <w:p w14:paraId="59F64428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81BE9">
              <w:rPr>
                <w:rFonts w:eastAsia="Times New Roman" w:cs="Times New Roman"/>
                <w:color w:val="000000"/>
                <w:kern w:val="24"/>
                <w:szCs w:val="24"/>
              </w:rPr>
              <w:t>0.91 (0.68, 1.23)</w:t>
            </w:r>
          </w:p>
        </w:tc>
        <w:tc>
          <w:tcPr>
            <w:tcW w:w="2063" w:type="dxa"/>
            <w:noWrap/>
            <w:vAlign w:val="bottom"/>
          </w:tcPr>
          <w:p w14:paraId="57A1869A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81BE9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</w:rPr>
              <w:t>0.69 (0.54, 0.88)</w:t>
            </w:r>
          </w:p>
        </w:tc>
      </w:tr>
      <w:tr w:rsidR="0008302F" w:rsidRPr="00081BE9" w14:paraId="61D08D28" w14:textId="77777777" w:rsidTr="004B3618">
        <w:trPr>
          <w:trHeight w:val="315"/>
          <w:jc w:val="center"/>
        </w:trPr>
        <w:tc>
          <w:tcPr>
            <w:tcW w:w="3103" w:type="dxa"/>
            <w:noWrap/>
            <w:vAlign w:val="center"/>
          </w:tcPr>
          <w:p w14:paraId="53010CE2" w14:textId="77777777" w:rsidR="0008302F" w:rsidRPr="00081BE9" w:rsidRDefault="0008302F" w:rsidP="004B3618">
            <w:pPr>
              <w:contextualSpacing/>
              <w:rPr>
                <w:rFonts w:cs="Times New Roman"/>
                <w:szCs w:val="24"/>
              </w:rPr>
            </w:pPr>
            <w:r w:rsidRPr="00081BE9">
              <w:rPr>
                <w:rFonts w:cs="Times New Roman"/>
                <w:szCs w:val="24"/>
              </w:rPr>
              <w:t xml:space="preserve">     New York (Manhattan)</w:t>
            </w:r>
          </w:p>
        </w:tc>
        <w:tc>
          <w:tcPr>
            <w:tcW w:w="2056" w:type="dxa"/>
            <w:noWrap/>
            <w:vAlign w:val="bottom"/>
          </w:tcPr>
          <w:p w14:paraId="6A5811D7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081BE9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</w:rPr>
              <w:t>0.50 (0.35, 0.70)</w:t>
            </w:r>
          </w:p>
        </w:tc>
        <w:tc>
          <w:tcPr>
            <w:tcW w:w="2063" w:type="dxa"/>
            <w:noWrap/>
            <w:vAlign w:val="bottom"/>
          </w:tcPr>
          <w:p w14:paraId="4FB159D8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081BE9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</w:rPr>
              <w:t>0.36 (0.25, 0.52)</w:t>
            </w:r>
          </w:p>
        </w:tc>
      </w:tr>
      <w:tr w:rsidR="0008302F" w:rsidRPr="00081BE9" w14:paraId="1090C676" w14:textId="77777777" w:rsidTr="004B3618">
        <w:trPr>
          <w:trHeight w:val="315"/>
          <w:jc w:val="center"/>
        </w:trPr>
        <w:tc>
          <w:tcPr>
            <w:tcW w:w="3103" w:type="dxa"/>
            <w:noWrap/>
            <w:vAlign w:val="center"/>
          </w:tcPr>
          <w:p w14:paraId="18C421A2" w14:textId="77777777" w:rsidR="0008302F" w:rsidRPr="00081BE9" w:rsidRDefault="0008302F" w:rsidP="004B3618">
            <w:pPr>
              <w:contextualSpacing/>
              <w:rPr>
                <w:rFonts w:cs="Times New Roman"/>
                <w:szCs w:val="24"/>
              </w:rPr>
            </w:pPr>
            <w:r w:rsidRPr="00081BE9">
              <w:rPr>
                <w:rFonts w:cs="Times New Roman"/>
                <w:szCs w:val="24"/>
              </w:rPr>
              <w:t xml:space="preserve">     Queens </w:t>
            </w:r>
          </w:p>
        </w:tc>
        <w:tc>
          <w:tcPr>
            <w:tcW w:w="2056" w:type="dxa"/>
            <w:noWrap/>
            <w:vAlign w:val="bottom"/>
          </w:tcPr>
          <w:p w14:paraId="374AFF1F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081BE9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</w:rPr>
              <w:t>0.35 (0.22, 0.54)</w:t>
            </w:r>
          </w:p>
        </w:tc>
        <w:tc>
          <w:tcPr>
            <w:tcW w:w="2063" w:type="dxa"/>
            <w:noWrap/>
            <w:vAlign w:val="bottom"/>
          </w:tcPr>
          <w:p w14:paraId="532A15BD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081BE9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</w:rPr>
              <w:t>0.31 (0.24, 0.39)</w:t>
            </w:r>
          </w:p>
        </w:tc>
      </w:tr>
      <w:tr w:rsidR="0008302F" w:rsidRPr="00081BE9" w14:paraId="6A2B7F83" w14:textId="77777777" w:rsidTr="004B3618">
        <w:trPr>
          <w:trHeight w:val="315"/>
          <w:jc w:val="center"/>
        </w:trPr>
        <w:tc>
          <w:tcPr>
            <w:tcW w:w="3103" w:type="dxa"/>
            <w:noWrap/>
            <w:vAlign w:val="center"/>
          </w:tcPr>
          <w:p w14:paraId="1D1A4555" w14:textId="77777777" w:rsidR="0008302F" w:rsidRPr="00081BE9" w:rsidRDefault="0008302F" w:rsidP="004B3618">
            <w:pPr>
              <w:contextualSpacing/>
              <w:rPr>
                <w:rFonts w:cs="Times New Roman"/>
                <w:szCs w:val="24"/>
              </w:rPr>
            </w:pPr>
            <w:r w:rsidRPr="00081BE9">
              <w:rPr>
                <w:rFonts w:cs="Times New Roman"/>
                <w:szCs w:val="24"/>
              </w:rPr>
              <w:t xml:space="preserve">     Richmond (Staten Island)</w:t>
            </w:r>
          </w:p>
        </w:tc>
        <w:tc>
          <w:tcPr>
            <w:tcW w:w="2056" w:type="dxa"/>
            <w:noWrap/>
            <w:vAlign w:val="bottom"/>
          </w:tcPr>
          <w:p w14:paraId="13E284A8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81BE9">
              <w:rPr>
                <w:rFonts w:eastAsia="Times New Roman" w:cs="Times New Roman"/>
                <w:color w:val="000000"/>
                <w:kern w:val="24"/>
                <w:szCs w:val="24"/>
              </w:rPr>
              <w:t>0.77 (0.20, 2.97)</w:t>
            </w:r>
          </w:p>
        </w:tc>
        <w:tc>
          <w:tcPr>
            <w:tcW w:w="2063" w:type="dxa"/>
            <w:noWrap/>
            <w:vAlign w:val="bottom"/>
          </w:tcPr>
          <w:p w14:paraId="7407CC0A" w14:textId="77777777" w:rsidR="0008302F" w:rsidRPr="00081BE9" w:rsidRDefault="0008302F" w:rsidP="004B361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81BE9">
              <w:rPr>
                <w:rFonts w:eastAsia="Times New Roman" w:cs="Times New Roman"/>
                <w:color w:val="000000"/>
                <w:kern w:val="24"/>
                <w:szCs w:val="24"/>
              </w:rPr>
              <w:t>1.62 (0.77, 3.42)</w:t>
            </w:r>
          </w:p>
        </w:tc>
      </w:tr>
    </w:tbl>
    <w:p w14:paraId="21C7A360" w14:textId="77777777" w:rsidR="0008302F" w:rsidRDefault="0008302F" w:rsidP="0008302F">
      <w:pPr>
        <w:spacing w:after="0" w:line="240" w:lineRule="auto"/>
        <w:contextualSpacing/>
      </w:pPr>
    </w:p>
    <w:p w14:paraId="02D36B1A" w14:textId="6D2516C6" w:rsidR="0008302F" w:rsidRDefault="0008302F" w:rsidP="0008302F">
      <w:pPr>
        <w:spacing w:line="240" w:lineRule="auto"/>
        <w:contextualSpacing/>
      </w:pPr>
      <w:r>
        <w:t xml:space="preserve">NOTE: Statistically significant results (P &lt; 0.05) in boldface; </w:t>
      </w:r>
      <w:r w:rsidR="00706F55">
        <w:t xml:space="preserve">time-trend effects in storm and non-storm areas not statistically different (P &gt; 0.05). </w:t>
      </w:r>
    </w:p>
    <w:p w14:paraId="03C07407" w14:textId="77777777" w:rsidR="0008302F" w:rsidRDefault="0008302F" w:rsidP="0008302F">
      <w:pPr>
        <w:spacing w:line="240" w:lineRule="auto"/>
        <w:contextualSpacing/>
      </w:pPr>
    </w:p>
    <w:p w14:paraId="092FF123" w14:textId="42E798E6" w:rsidR="0008302F" w:rsidRDefault="0008302F" w:rsidP="0008302F">
      <w:pPr>
        <w:spacing w:line="240" w:lineRule="auto"/>
        <w:contextualSpacing/>
      </w:pPr>
      <w:r>
        <w:rPr>
          <w:vertAlign w:val="superscript"/>
        </w:rPr>
        <w:t>a</w:t>
      </w:r>
      <w:r>
        <w:t xml:space="preserve"> Poisson or negative binomial regression models a</w:t>
      </w:r>
      <w:r w:rsidRPr="0090530D">
        <w:t>djusted for day of the week</w:t>
      </w:r>
      <w:r w:rsidR="009A635A">
        <w:t xml:space="preserve"> (short-term trend), year (long-</w:t>
      </w:r>
      <w:r>
        <w:t>term trend)</w:t>
      </w:r>
      <w:r w:rsidRPr="0090530D">
        <w:t xml:space="preserve">, </w:t>
      </w:r>
      <w:r>
        <w:t xml:space="preserve">including a cross-product term </w:t>
      </w:r>
      <w:r w:rsidR="008F41FC">
        <w:rPr>
          <w:rFonts w:cs="Times New Roman"/>
          <w:szCs w:val="24"/>
        </w:rPr>
        <w:t>a cross product term between pre-/post-Sandy interval and study area,</w:t>
      </w:r>
      <w:r>
        <w:t xml:space="preserve"> and offset by the 2010 U.S. Census population total; </w:t>
      </w:r>
      <w:r>
        <w:rPr>
          <w:vertAlign w:val="superscript"/>
        </w:rPr>
        <w:t>b</w:t>
      </w:r>
      <w:r>
        <w:t xml:space="preserve"> Storm area includes those categorized as evacuation zones A, B, and C in Bronx, Kings, New York, Queens, and Richmond counties, and areas categorized as storm surge zones categories 1, 2, 3, and 4 in Nassau and Suffolk Counties; </w:t>
      </w:r>
      <w:r>
        <w:rPr>
          <w:vertAlign w:val="superscript"/>
        </w:rPr>
        <w:t>c</w:t>
      </w:r>
      <w:r>
        <w:t xml:space="preserve"> Non-storm areas include those not categorized as storm areas. </w:t>
      </w:r>
    </w:p>
    <w:p w14:paraId="0CB0D57B" w14:textId="0CFC2E55" w:rsidR="00483185" w:rsidRDefault="00483185">
      <w:r>
        <w:br w:type="page"/>
      </w:r>
    </w:p>
    <w:p w14:paraId="6D2794A2" w14:textId="77777777" w:rsidR="00483185" w:rsidRDefault="00483185" w:rsidP="00483185">
      <w:pPr>
        <w:spacing w:line="240" w:lineRule="auto"/>
        <w:contextualSpacing/>
        <w:rPr>
          <w:b/>
          <w:iCs/>
          <w:szCs w:val="24"/>
        </w:rPr>
      </w:pPr>
      <w:r>
        <w:rPr>
          <w:b/>
          <w:iCs/>
          <w:szCs w:val="24"/>
        </w:rPr>
        <w:lastRenderedPageBreak/>
        <w:t>Supplementary Figures</w:t>
      </w:r>
    </w:p>
    <w:p w14:paraId="227DEF68" w14:textId="77777777" w:rsidR="00483185" w:rsidRDefault="00483185" w:rsidP="00483185">
      <w:pPr>
        <w:spacing w:line="240" w:lineRule="auto"/>
        <w:contextualSpacing/>
        <w:rPr>
          <w:b/>
          <w:iCs/>
          <w:szCs w:val="24"/>
        </w:rPr>
      </w:pPr>
    </w:p>
    <w:p w14:paraId="545639A1" w14:textId="77777777" w:rsidR="00483185" w:rsidRDefault="00483185" w:rsidP="00483185">
      <w:pPr>
        <w:spacing w:line="240" w:lineRule="auto"/>
        <w:contextualSpacing/>
        <w:rPr>
          <w:b/>
        </w:rPr>
      </w:pPr>
      <w:r>
        <w:rPr>
          <w:b/>
          <w:iCs/>
          <w:szCs w:val="24"/>
        </w:rPr>
        <w:t xml:space="preserve">Supplementary </w:t>
      </w:r>
      <w:r w:rsidRPr="008B4562">
        <w:rPr>
          <w:b/>
        </w:rPr>
        <w:t xml:space="preserve">Figure </w:t>
      </w:r>
      <w:r w:rsidRPr="008B4562">
        <w:rPr>
          <w:b/>
        </w:rPr>
        <w:fldChar w:fldCharType="begin"/>
      </w:r>
      <w:r w:rsidRPr="008B4562">
        <w:rPr>
          <w:b/>
        </w:rPr>
        <w:instrText xml:space="preserve"> SEQ Figure \* ARABIC </w:instrText>
      </w:r>
      <w:r w:rsidRPr="008B4562">
        <w:rPr>
          <w:b/>
        </w:rPr>
        <w:fldChar w:fldCharType="separate"/>
      </w:r>
      <w:r>
        <w:rPr>
          <w:b/>
          <w:noProof/>
        </w:rPr>
        <w:t>1</w:t>
      </w:r>
      <w:r w:rsidRPr="008B4562">
        <w:rPr>
          <w:b/>
        </w:rPr>
        <w:fldChar w:fldCharType="end"/>
      </w:r>
      <w:r w:rsidRPr="008B4562">
        <w:rPr>
          <w:b/>
        </w:rPr>
        <w:t xml:space="preserve">. Study catchment area, including storm (shaded) and non-storm (unshaded) </w:t>
      </w:r>
      <w:r>
        <w:rPr>
          <w:b/>
        </w:rPr>
        <w:t xml:space="preserve">affected </w:t>
      </w:r>
      <w:r w:rsidRPr="008B4562">
        <w:rPr>
          <w:b/>
        </w:rPr>
        <w:t>areas.</w:t>
      </w:r>
    </w:p>
    <w:p w14:paraId="0AEDAEF5" w14:textId="77777777" w:rsidR="00483185" w:rsidRPr="008B4562" w:rsidRDefault="00483185" w:rsidP="00483185">
      <w:pPr>
        <w:spacing w:line="240" w:lineRule="auto"/>
        <w:contextualSpacing/>
        <w:rPr>
          <w:b/>
        </w:rPr>
      </w:pPr>
    </w:p>
    <w:p w14:paraId="418A2E86" w14:textId="31302860" w:rsidR="00A153AC" w:rsidRDefault="00483185">
      <w:r>
        <w:rPr>
          <w:noProof/>
          <w:lang w:val="en-PH" w:eastAsia="en-PH"/>
        </w:rPr>
        <w:drawing>
          <wp:inline distT="0" distB="0" distL="0" distR="0" wp14:anchorId="1F89B73B" wp14:editId="3F3C262F">
            <wp:extent cx="5943600" cy="2847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 Fig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3AC" w:rsidSect="002062B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D4F36" w14:textId="77777777" w:rsidR="00077DED" w:rsidRDefault="00077DED" w:rsidP="00F855FF">
      <w:pPr>
        <w:spacing w:after="0" w:line="240" w:lineRule="auto"/>
      </w:pPr>
      <w:r>
        <w:separator/>
      </w:r>
    </w:p>
  </w:endnote>
  <w:endnote w:type="continuationSeparator" w:id="0">
    <w:p w14:paraId="4245AC09" w14:textId="77777777" w:rsidR="00077DED" w:rsidRDefault="00077DED" w:rsidP="00F8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152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6420E" w14:textId="5C86F7D9" w:rsidR="00E13BDF" w:rsidRDefault="00E13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9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6EF839" w14:textId="77777777" w:rsidR="00E13BDF" w:rsidRDefault="00E13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C901A" w14:textId="77777777" w:rsidR="00077DED" w:rsidRDefault="00077DED" w:rsidP="00F855FF">
      <w:pPr>
        <w:spacing w:after="0" w:line="240" w:lineRule="auto"/>
      </w:pPr>
      <w:r>
        <w:separator/>
      </w:r>
    </w:p>
  </w:footnote>
  <w:footnote w:type="continuationSeparator" w:id="0">
    <w:p w14:paraId="1658B5B6" w14:textId="77777777" w:rsidR="00077DED" w:rsidRDefault="00077DED" w:rsidP="00F85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3BF4"/>
    <w:multiLevelType w:val="hybridMultilevel"/>
    <w:tmpl w:val="9CE6B586"/>
    <w:lvl w:ilvl="0" w:tplc="ACDCEC80">
      <w:start w:val="487"/>
      <w:numFmt w:val="bullet"/>
      <w:lvlText w:val="&lt;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36151"/>
    <w:multiLevelType w:val="hybridMultilevel"/>
    <w:tmpl w:val="0AAA973C"/>
    <w:lvl w:ilvl="0" w:tplc="4148D0F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Disaster Med &amp;amp; Pub Health Prepared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/ENLayout&gt;"/>
    <w:docVar w:name="EN.Libraries" w:val="&lt;Libraries&gt;&lt;item db-id=&quot;vxd5r9spdzd0rlepxadx2wtkp5tdd209z95r&quot;&gt;MSB&lt;record-ids&gt;&lt;item&gt;19108&lt;/item&gt;&lt;item&gt;25813&lt;/item&gt;&lt;item&gt;25814&lt;/item&gt;&lt;item&gt;26419&lt;/item&gt;&lt;item&gt;26420&lt;/item&gt;&lt;item&gt;26421&lt;/item&gt;&lt;item&gt;26430&lt;/item&gt;&lt;item&gt;26509&lt;/item&gt;&lt;item&gt;26510&lt;/item&gt;&lt;item&gt;26511&lt;/item&gt;&lt;item&gt;26512&lt;/item&gt;&lt;item&gt;26527&lt;/item&gt;&lt;item&gt;26536&lt;/item&gt;&lt;item&gt;26537&lt;/item&gt;&lt;item&gt;26538&lt;/item&gt;&lt;item&gt;26539&lt;/item&gt;&lt;item&gt;26540&lt;/item&gt;&lt;item&gt;26541&lt;/item&gt;&lt;item&gt;26542&lt;/item&gt;&lt;item&gt;26543&lt;/item&gt;&lt;item&gt;26842&lt;/item&gt;&lt;item&gt;26844&lt;/item&gt;&lt;item&gt;26845&lt;/item&gt;&lt;item&gt;26846&lt;/item&gt;&lt;item&gt;26847&lt;/item&gt;&lt;item&gt;26855&lt;/item&gt;&lt;item&gt;26872&lt;/item&gt;&lt;item&gt;26873&lt;/item&gt;&lt;item&gt;26875&lt;/item&gt;&lt;item&gt;26878&lt;/item&gt;&lt;item&gt;26951&lt;/item&gt;&lt;item&gt;26956&lt;/item&gt;&lt;item&gt;26959&lt;/item&gt;&lt;item&gt;26964&lt;/item&gt;&lt;item&gt;26966&lt;/item&gt;&lt;item&gt;26970&lt;/item&gt;&lt;item&gt;26973&lt;/item&gt;&lt;item&gt;26979&lt;/item&gt;&lt;item&gt;26980&lt;/item&gt;&lt;item&gt;26982&lt;/item&gt;&lt;item&gt;26986&lt;/item&gt;&lt;/record-ids&gt;&lt;/item&gt;&lt;/Libraries&gt;"/>
  </w:docVars>
  <w:rsids>
    <w:rsidRoot w:val="003961B8"/>
    <w:rsid w:val="00001736"/>
    <w:rsid w:val="00006FA2"/>
    <w:rsid w:val="0000737B"/>
    <w:rsid w:val="00011BE5"/>
    <w:rsid w:val="000162BA"/>
    <w:rsid w:val="000174CA"/>
    <w:rsid w:val="000359B5"/>
    <w:rsid w:val="000428CB"/>
    <w:rsid w:val="000570A7"/>
    <w:rsid w:val="00057ABA"/>
    <w:rsid w:val="0006333C"/>
    <w:rsid w:val="00066CCB"/>
    <w:rsid w:val="000675E6"/>
    <w:rsid w:val="00071574"/>
    <w:rsid w:val="00075FE0"/>
    <w:rsid w:val="000767C3"/>
    <w:rsid w:val="00076F4F"/>
    <w:rsid w:val="00077D9D"/>
    <w:rsid w:val="00077DED"/>
    <w:rsid w:val="00081BE9"/>
    <w:rsid w:val="0008302F"/>
    <w:rsid w:val="0008386B"/>
    <w:rsid w:val="000910B4"/>
    <w:rsid w:val="000A325F"/>
    <w:rsid w:val="000C0369"/>
    <w:rsid w:val="000D3C5B"/>
    <w:rsid w:val="000D4742"/>
    <w:rsid w:val="000E14D9"/>
    <w:rsid w:val="000E1CF9"/>
    <w:rsid w:val="000E6E1C"/>
    <w:rsid w:val="000F25D1"/>
    <w:rsid w:val="000F574B"/>
    <w:rsid w:val="000F6079"/>
    <w:rsid w:val="00113186"/>
    <w:rsid w:val="00120AFB"/>
    <w:rsid w:val="00127188"/>
    <w:rsid w:val="00135891"/>
    <w:rsid w:val="0013744F"/>
    <w:rsid w:val="00137C88"/>
    <w:rsid w:val="00144AB3"/>
    <w:rsid w:val="00145E0F"/>
    <w:rsid w:val="00150BEB"/>
    <w:rsid w:val="001519D0"/>
    <w:rsid w:val="00155172"/>
    <w:rsid w:val="00156B22"/>
    <w:rsid w:val="001570DA"/>
    <w:rsid w:val="001668C6"/>
    <w:rsid w:val="00172D56"/>
    <w:rsid w:val="00175D67"/>
    <w:rsid w:val="00177474"/>
    <w:rsid w:val="0018025C"/>
    <w:rsid w:val="001802CA"/>
    <w:rsid w:val="00180EB4"/>
    <w:rsid w:val="00184927"/>
    <w:rsid w:val="00185579"/>
    <w:rsid w:val="00185D3F"/>
    <w:rsid w:val="00185DE9"/>
    <w:rsid w:val="00186F06"/>
    <w:rsid w:val="0019177C"/>
    <w:rsid w:val="00191CEE"/>
    <w:rsid w:val="001A2C98"/>
    <w:rsid w:val="001A7551"/>
    <w:rsid w:val="001C340C"/>
    <w:rsid w:val="001C377A"/>
    <w:rsid w:val="001D19E2"/>
    <w:rsid w:val="001D3108"/>
    <w:rsid w:val="001D5059"/>
    <w:rsid w:val="001E02AB"/>
    <w:rsid w:val="001E63C9"/>
    <w:rsid w:val="001F1578"/>
    <w:rsid w:val="001F5B2D"/>
    <w:rsid w:val="00204F5B"/>
    <w:rsid w:val="0020538B"/>
    <w:rsid w:val="002059C3"/>
    <w:rsid w:val="002062B7"/>
    <w:rsid w:val="002111AD"/>
    <w:rsid w:val="0021175C"/>
    <w:rsid w:val="00211A43"/>
    <w:rsid w:val="00216458"/>
    <w:rsid w:val="00217F54"/>
    <w:rsid w:val="002227EF"/>
    <w:rsid w:val="0022671B"/>
    <w:rsid w:val="002267F1"/>
    <w:rsid w:val="00227374"/>
    <w:rsid w:val="00240F87"/>
    <w:rsid w:val="0024112A"/>
    <w:rsid w:val="00245803"/>
    <w:rsid w:val="002540E8"/>
    <w:rsid w:val="00254EAE"/>
    <w:rsid w:val="002632B9"/>
    <w:rsid w:val="00267E78"/>
    <w:rsid w:val="002706C1"/>
    <w:rsid w:val="0027544B"/>
    <w:rsid w:val="00275632"/>
    <w:rsid w:val="00284B5C"/>
    <w:rsid w:val="0029197B"/>
    <w:rsid w:val="00292053"/>
    <w:rsid w:val="002947E5"/>
    <w:rsid w:val="0029537D"/>
    <w:rsid w:val="002A1A58"/>
    <w:rsid w:val="002A26FA"/>
    <w:rsid w:val="002A53C4"/>
    <w:rsid w:val="002B1E9A"/>
    <w:rsid w:val="002B5A87"/>
    <w:rsid w:val="002C3A9B"/>
    <w:rsid w:val="002D2475"/>
    <w:rsid w:val="002D3124"/>
    <w:rsid w:val="002F1265"/>
    <w:rsid w:val="002F3503"/>
    <w:rsid w:val="002F4CDA"/>
    <w:rsid w:val="002F7A3E"/>
    <w:rsid w:val="00301A97"/>
    <w:rsid w:val="00303840"/>
    <w:rsid w:val="00305989"/>
    <w:rsid w:val="00313793"/>
    <w:rsid w:val="003209B0"/>
    <w:rsid w:val="00330B09"/>
    <w:rsid w:val="003412C4"/>
    <w:rsid w:val="0034735C"/>
    <w:rsid w:val="00347F0F"/>
    <w:rsid w:val="0035313D"/>
    <w:rsid w:val="0036010E"/>
    <w:rsid w:val="003603C5"/>
    <w:rsid w:val="00360C0B"/>
    <w:rsid w:val="00365A5C"/>
    <w:rsid w:val="0036740B"/>
    <w:rsid w:val="0037221A"/>
    <w:rsid w:val="0037726A"/>
    <w:rsid w:val="0038024A"/>
    <w:rsid w:val="003820C4"/>
    <w:rsid w:val="00383177"/>
    <w:rsid w:val="003961B8"/>
    <w:rsid w:val="003A070A"/>
    <w:rsid w:val="003A1398"/>
    <w:rsid w:val="003A54CF"/>
    <w:rsid w:val="003B26FF"/>
    <w:rsid w:val="003B6BB7"/>
    <w:rsid w:val="003C357E"/>
    <w:rsid w:val="003D52B6"/>
    <w:rsid w:val="003D7FD9"/>
    <w:rsid w:val="003E1108"/>
    <w:rsid w:val="003E4682"/>
    <w:rsid w:val="003E6767"/>
    <w:rsid w:val="00406C54"/>
    <w:rsid w:val="0040768A"/>
    <w:rsid w:val="00411096"/>
    <w:rsid w:val="0041363E"/>
    <w:rsid w:val="004211AA"/>
    <w:rsid w:val="00421884"/>
    <w:rsid w:val="0042356E"/>
    <w:rsid w:val="0043739E"/>
    <w:rsid w:val="00442B1B"/>
    <w:rsid w:val="0044401B"/>
    <w:rsid w:val="0044405F"/>
    <w:rsid w:val="0045068B"/>
    <w:rsid w:val="00455212"/>
    <w:rsid w:val="00455A0E"/>
    <w:rsid w:val="00460EC9"/>
    <w:rsid w:val="0046129B"/>
    <w:rsid w:val="00464E3F"/>
    <w:rsid w:val="00470671"/>
    <w:rsid w:val="0047274A"/>
    <w:rsid w:val="0047703C"/>
    <w:rsid w:val="00480324"/>
    <w:rsid w:val="00483185"/>
    <w:rsid w:val="00483583"/>
    <w:rsid w:val="0049545A"/>
    <w:rsid w:val="004957D1"/>
    <w:rsid w:val="00495F56"/>
    <w:rsid w:val="004973EA"/>
    <w:rsid w:val="00497ADE"/>
    <w:rsid w:val="00497D1A"/>
    <w:rsid w:val="004B137C"/>
    <w:rsid w:val="004B22DB"/>
    <w:rsid w:val="004B4A58"/>
    <w:rsid w:val="004B64F8"/>
    <w:rsid w:val="004C160B"/>
    <w:rsid w:val="004C2F26"/>
    <w:rsid w:val="004D5ACA"/>
    <w:rsid w:val="004F4B49"/>
    <w:rsid w:val="004F6E8F"/>
    <w:rsid w:val="004F7DA8"/>
    <w:rsid w:val="00500D15"/>
    <w:rsid w:val="00504376"/>
    <w:rsid w:val="00505300"/>
    <w:rsid w:val="00511569"/>
    <w:rsid w:val="00512E46"/>
    <w:rsid w:val="005158E7"/>
    <w:rsid w:val="005200FE"/>
    <w:rsid w:val="0052326C"/>
    <w:rsid w:val="00523749"/>
    <w:rsid w:val="005322B3"/>
    <w:rsid w:val="00534B83"/>
    <w:rsid w:val="00537F1D"/>
    <w:rsid w:val="005407F7"/>
    <w:rsid w:val="005413EF"/>
    <w:rsid w:val="005439E1"/>
    <w:rsid w:val="00554B88"/>
    <w:rsid w:val="00557FEE"/>
    <w:rsid w:val="005609EB"/>
    <w:rsid w:val="00563ECA"/>
    <w:rsid w:val="00572AEE"/>
    <w:rsid w:val="00573417"/>
    <w:rsid w:val="00583FEB"/>
    <w:rsid w:val="005A08BE"/>
    <w:rsid w:val="005A15F0"/>
    <w:rsid w:val="005B04DF"/>
    <w:rsid w:val="005B50A5"/>
    <w:rsid w:val="005B5A2F"/>
    <w:rsid w:val="005C0817"/>
    <w:rsid w:val="005C7D91"/>
    <w:rsid w:val="005D00F7"/>
    <w:rsid w:val="005D2160"/>
    <w:rsid w:val="005E1F24"/>
    <w:rsid w:val="005E38C7"/>
    <w:rsid w:val="005E475E"/>
    <w:rsid w:val="005E5373"/>
    <w:rsid w:val="005E7247"/>
    <w:rsid w:val="00601050"/>
    <w:rsid w:val="00603852"/>
    <w:rsid w:val="006068F8"/>
    <w:rsid w:val="00614D7D"/>
    <w:rsid w:val="00621C9C"/>
    <w:rsid w:val="0062743B"/>
    <w:rsid w:val="006311FE"/>
    <w:rsid w:val="00631258"/>
    <w:rsid w:val="0063351C"/>
    <w:rsid w:val="00635403"/>
    <w:rsid w:val="00635511"/>
    <w:rsid w:val="0065274F"/>
    <w:rsid w:val="0065553D"/>
    <w:rsid w:val="006617D2"/>
    <w:rsid w:val="00665188"/>
    <w:rsid w:val="006677B8"/>
    <w:rsid w:val="00676765"/>
    <w:rsid w:val="0068496F"/>
    <w:rsid w:val="0068564A"/>
    <w:rsid w:val="00690E03"/>
    <w:rsid w:val="00692F12"/>
    <w:rsid w:val="00695F51"/>
    <w:rsid w:val="006A0045"/>
    <w:rsid w:val="006A0471"/>
    <w:rsid w:val="006A30D4"/>
    <w:rsid w:val="006B33A6"/>
    <w:rsid w:val="006C1C1D"/>
    <w:rsid w:val="006C1F12"/>
    <w:rsid w:val="006C492C"/>
    <w:rsid w:val="006C4F4E"/>
    <w:rsid w:val="006C5DFF"/>
    <w:rsid w:val="006C5E96"/>
    <w:rsid w:val="006C716D"/>
    <w:rsid w:val="006D1F7C"/>
    <w:rsid w:val="006D3029"/>
    <w:rsid w:val="006D4645"/>
    <w:rsid w:val="006E0316"/>
    <w:rsid w:val="006E4A80"/>
    <w:rsid w:val="006F07E1"/>
    <w:rsid w:val="006F4EAF"/>
    <w:rsid w:val="00703047"/>
    <w:rsid w:val="00706F55"/>
    <w:rsid w:val="00713731"/>
    <w:rsid w:val="00713FDC"/>
    <w:rsid w:val="00720BD0"/>
    <w:rsid w:val="007277A0"/>
    <w:rsid w:val="0073434E"/>
    <w:rsid w:val="0073765A"/>
    <w:rsid w:val="00737934"/>
    <w:rsid w:val="00737E84"/>
    <w:rsid w:val="00741761"/>
    <w:rsid w:val="00743E46"/>
    <w:rsid w:val="007471D8"/>
    <w:rsid w:val="00752524"/>
    <w:rsid w:val="00782B39"/>
    <w:rsid w:val="0078706A"/>
    <w:rsid w:val="00793C37"/>
    <w:rsid w:val="007A2463"/>
    <w:rsid w:val="007A6838"/>
    <w:rsid w:val="007B092F"/>
    <w:rsid w:val="007B2057"/>
    <w:rsid w:val="007C02F1"/>
    <w:rsid w:val="007C0D54"/>
    <w:rsid w:val="007C12DB"/>
    <w:rsid w:val="007C2791"/>
    <w:rsid w:val="007D3434"/>
    <w:rsid w:val="007D3C59"/>
    <w:rsid w:val="007D416B"/>
    <w:rsid w:val="007D5DA9"/>
    <w:rsid w:val="00800118"/>
    <w:rsid w:val="008026A1"/>
    <w:rsid w:val="00812B0A"/>
    <w:rsid w:val="00821500"/>
    <w:rsid w:val="0082504E"/>
    <w:rsid w:val="00825F41"/>
    <w:rsid w:val="00826535"/>
    <w:rsid w:val="00835F22"/>
    <w:rsid w:val="00840668"/>
    <w:rsid w:val="00841BBF"/>
    <w:rsid w:val="008437F6"/>
    <w:rsid w:val="008455D6"/>
    <w:rsid w:val="00853B8F"/>
    <w:rsid w:val="00853ECA"/>
    <w:rsid w:val="00854A32"/>
    <w:rsid w:val="00855DEA"/>
    <w:rsid w:val="00860996"/>
    <w:rsid w:val="0086270E"/>
    <w:rsid w:val="0086707E"/>
    <w:rsid w:val="00867AAE"/>
    <w:rsid w:val="008712EA"/>
    <w:rsid w:val="00874F59"/>
    <w:rsid w:val="00875B0F"/>
    <w:rsid w:val="00894CA7"/>
    <w:rsid w:val="00897F56"/>
    <w:rsid w:val="008A4D37"/>
    <w:rsid w:val="008A7C84"/>
    <w:rsid w:val="008B4562"/>
    <w:rsid w:val="008C7217"/>
    <w:rsid w:val="008E22FF"/>
    <w:rsid w:val="008E2F41"/>
    <w:rsid w:val="008E3397"/>
    <w:rsid w:val="008E478D"/>
    <w:rsid w:val="008E624A"/>
    <w:rsid w:val="008F30EE"/>
    <w:rsid w:val="008F41FC"/>
    <w:rsid w:val="0090530D"/>
    <w:rsid w:val="009069FC"/>
    <w:rsid w:val="0091044E"/>
    <w:rsid w:val="00910D4C"/>
    <w:rsid w:val="00913298"/>
    <w:rsid w:val="00914A06"/>
    <w:rsid w:val="00915E6C"/>
    <w:rsid w:val="00927115"/>
    <w:rsid w:val="0093196C"/>
    <w:rsid w:val="00931E80"/>
    <w:rsid w:val="009334B6"/>
    <w:rsid w:val="00941E21"/>
    <w:rsid w:val="00950689"/>
    <w:rsid w:val="00957001"/>
    <w:rsid w:val="009602EC"/>
    <w:rsid w:val="0096112E"/>
    <w:rsid w:val="00966215"/>
    <w:rsid w:val="00967D67"/>
    <w:rsid w:val="0097062A"/>
    <w:rsid w:val="009719E2"/>
    <w:rsid w:val="00972BB8"/>
    <w:rsid w:val="009768D1"/>
    <w:rsid w:val="00983DF6"/>
    <w:rsid w:val="00990B15"/>
    <w:rsid w:val="009924C7"/>
    <w:rsid w:val="00997211"/>
    <w:rsid w:val="009A288E"/>
    <w:rsid w:val="009A3D94"/>
    <w:rsid w:val="009A45CA"/>
    <w:rsid w:val="009A635A"/>
    <w:rsid w:val="009B18E8"/>
    <w:rsid w:val="009B1E28"/>
    <w:rsid w:val="009B2784"/>
    <w:rsid w:val="009C02F8"/>
    <w:rsid w:val="009C1111"/>
    <w:rsid w:val="009C26B1"/>
    <w:rsid w:val="009C2C96"/>
    <w:rsid w:val="009C6E2C"/>
    <w:rsid w:val="009C79DC"/>
    <w:rsid w:val="009D1108"/>
    <w:rsid w:val="009D2EBE"/>
    <w:rsid w:val="009D5042"/>
    <w:rsid w:val="009E69F3"/>
    <w:rsid w:val="009F12AA"/>
    <w:rsid w:val="009F2D04"/>
    <w:rsid w:val="009F36BB"/>
    <w:rsid w:val="009F4D6D"/>
    <w:rsid w:val="009F598E"/>
    <w:rsid w:val="009F7BBE"/>
    <w:rsid w:val="009F7E07"/>
    <w:rsid w:val="00A00801"/>
    <w:rsid w:val="00A03148"/>
    <w:rsid w:val="00A03EC0"/>
    <w:rsid w:val="00A06C34"/>
    <w:rsid w:val="00A1087E"/>
    <w:rsid w:val="00A12EA0"/>
    <w:rsid w:val="00A1527D"/>
    <w:rsid w:val="00A153AC"/>
    <w:rsid w:val="00A16D55"/>
    <w:rsid w:val="00A176E5"/>
    <w:rsid w:val="00A276C3"/>
    <w:rsid w:val="00A27F51"/>
    <w:rsid w:val="00A3218F"/>
    <w:rsid w:val="00A44126"/>
    <w:rsid w:val="00A517E2"/>
    <w:rsid w:val="00A5223F"/>
    <w:rsid w:val="00A54C3E"/>
    <w:rsid w:val="00A65146"/>
    <w:rsid w:val="00A76E87"/>
    <w:rsid w:val="00A81AEB"/>
    <w:rsid w:val="00A825EA"/>
    <w:rsid w:val="00A85A61"/>
    <w:rsid w:val="00A867A6"/>
    <w:rsid w:val="00A91149"/>
    <w:rsid w:val="00A934EE"/>
    <w:rsid w:val="00AA329E"/>
    <w:rsid w:val="00AA65B4"/>
    <w:rsid w:val="00AA706B"/>
    <w:rsid w:val="00AB3887"/>
    <w:rsid w:val="00AC07BD"/>
    <w:rsid w:val="00AC0BB6"/>
    <w:rsid w:val="00AC1C6E"/>
    <w:rsid w:val="00AC3666"/>
    <w:rsid w:val="00AC6574"/>
    <w:rsid w:val="00AE2861"/>
    <w:rsid w:val="00AE32E6"/>
    <w:rsid w:val="00AE690C"/>
    <w:rsid w:val="00AE7DE0"/>
    <w:rsid w:val="00AF0899"/>
    <w:rsid w:val="00AF3B53"/>
    <w:rsid w:val="00AF6F44"/>
    <w:rsid w:val="00AF72FC"/>
    <w:rsid w:val="00B02CA5"/>
    <w:rsid w:val="00B10FFC"/>
    <w:rsid w:val="00B174E8"/>
    <w:rsid w:val="00B21CD1"/>
    <w:rsid w:val="00B32918"/>
    <w:rsid w:val="00B44BB4"/>
    <w:rsid w:val="00B47776"/>
    <w:rsid w:val="00B47DCA"/>
    <w:rsid w:val="00B6050B"/>
    <w:rsid w:val="00B61CB1"/>
    <w:rsid w:val="00B62C2E"/>
    <w:rsid w:val="00B632BD"/>
    <w:rsid w:val="00B66838"/>
    <w:rsid w:val="00B66DA9"/>
    <w:rsid w:val="00B710DC"/>
    <w:rsid w:val="00B71890"/>
    <w:rsid w:val="00B758CE"/>
    <w:rsid w:val="00B76E5C"/>
    <w:rsid w:val="00B77386"/>
    <w:rsid w:val="00B77B7A"/>
    <w:rsid w:val="00B81F9C"/>
    <w:rsid w:val="00B82052"/>
    <w:rsid w:val="00B8784A"/>
    <w:rsid w:val="00B92533"/>
    <w:rsid w:val="00BA410B"/>
    <w:rsid w:val="00BA5001"/>
    <w:rsid w:val="00BB289F"/>
    <w:rsid w:val="00BB7AB9"/>
    <w:rsid w:val="00BC42AD"/>
    <w:rsid w:val="00BC5F6C"/>
    <w:rsid w:val="00BD1928"/>
    <w:rsid w:val="00BD76CF"/>
    <w:rsid w:val="00BF1748"/>
    <w:rsid w:val="00BF614F"/>
    <w:rsid w:val="00C074FC"/>
    <w:rsid w:val="00C20649"/>
    <w:rsid w:val="00C260BE"/>
    <w:rsid w:val="00C34036"/>
    <w:rsid w:val="00C36B77"/>
    <w:rsid w:val="00C41D97"/>
    <w:rsid w:val="00C41EE2"/>
    <w:rsid w:val="00C45B19"/>
    <w:rsid w:val="00C46D41"/>
    <w:rsid w:val="00C479CB"/>
    <w:rsid w:val="00C525AD"/>
    <w:rsid w:val="00C55035"/>
    <w:rsid w:val="00C65941"/>
    <w:rsid w:val="00C711D1"/>
    <w:rsid w:val="00C754F6"/>
    <w:rsid w:val="00C779B6"/>
    <w:rsid w:val="00C8242C"/>
    <w:rsid w:val="00C91365"/>
    <w:rsid w:val="00C92AE9"/>
    <w:rsid w:val="00CA037A"/>
    <w:rsid w:val="00CA2938"/>
    <w:rsid w:val="00CA7821"/>
    <w:rsid w:val="00CB121C"/>
    <w:rsid w:val="00CB437E"/>
    <w:rsid w:val="00CB48CB"/>
    <w:rsid w:val="00CB7D92"/>
    <w:rsid w:val="00CC48F9"/>
    <w:rsid w:val="00CD34AA"/>
    <w:rsid w:val="00CD7ED7"/>
    <w:rsid w:val="00CE2C5E"/>
    <w:rsid w:val="00CE47A2"/>
    <w:rsid w:val="00CE79A3"/>
    <w:rsid w:val="00CF13F3"/>
    <w:rsid w:val="00CF1461"/>
    <w:rsid w:val="00CF2B33"/>
    <w:rsid w:val="00CF347F"/>
    <w:rsid w:val="00CF40C3"/>
    <w:rsid w:val="00D021EE"/>
    <w:rsid w:val="00D03051"/>
    <w:rsid w:val="00D0381B"/>
    <w:rsid w:val="00D03DEC"/>
    <w:rsid w:val="00D07737"/>
    <w:rsid w:val="00D118D7"/>
    <w:rsid w:val="00D25BE5"/>
    <w:rsid w:val="00D2646D"/>
    <w:rsid w:val="00D408FB"/>
    <w:rsid w:val="00D40ACB"/>
    <w:rsid w:val="00D40C28"/>
    <w:rsid w:val="00D61510"/>
    <w:rsid w:val="00D62F81"/>
    <w:rsid w:val="00D660A9"/>
    <w:rsid w:val="00D742D2"/>
    <w:rsid w:val="00D7431C"/>
    <w:rsid w:val="00D749AB"/>
    <w:rsid w:val="00D837DE"/>
    <w:rsid w:val="00D95131"/>
    <w:rsid w:val="00DA02D9"/>
    <w:rsid w:val="00DA15E8"/>
    <w:rsid w:val="00DA1A4A"/>
    <w:rsid w:val="00DA223A"/>
    <w:rsid w:val="00DA3DFF"/>
    <w:rsid w:val="00DB7D43"/>
    <w:rsid w:val="00DC2DAE"/>
    <w:rsid w:val="00DC45A6"/>
    <w:rsid w:val="00DD04A1"/>
    <w:rsid w:val="00DD13F4"/>
    <w:rsid w:val="00DD1FB2"/>
    <w:rsid w:val="00DD4682"/>
    <w:rsid w:val="00DD48DF"/>
    <w:rsid w:val="00DD61A4"/>
    <w:rsid w:val="00DE4480"/>
    <w:rsid w:val="00DE4615"/>
    <w:rsid w:val="00DE60E8"/>
    <w:rsid w:val="00DE69B0"/>
    <w:rsid w:val="00E015B8"/>
    <w:rsid w:val="00E03AB8"/>
    <w:rsid w:val="00E05821"/>
    <w:rsid w:val="00E0628F"/>
    <w:rsid w:val="00E07FAF"/>
    <w:rsid w:val="00E11AF0"/>
    <w:rsid w:val="00E13BDF"/>
    <w:rsid w:val="00E163A1"/>
    <w:rsid w:val="00E20DAC"/>
    <w:rsid w:val="00E270A9"/>
    <w:rsid w:val="00E345AA"/>
    <w:rsid w:val="00E409CB"/>
    <w:rsid w:val="00E40D25"/>
    <w:rsid w:val="00E40D2B"/>
    <w:rsid w:val="00E42F76"/>
    <w:rsid w:val="00E46225"/>
    <w:rsid w:val="00E46DCD"/>
    <w:rsid w:val="00E51202"/>
    <w:rsid w:val="00E52DF2"/>
    <w:rsid w:val="00E53E9A"/>
    <w:rsid w:val="00E6434C"/>
    <w:rsid w:val="00E71A81"/>
    <w:rsid w:val="00E72571"/>
    <w:rsid w:val="00E75631"/>
    <w:rsid w:val="00E76404"/>
    <w:rsid w:val="00E77A4C"/>
    <w:rsid w:val="00E80500"/>
    <w:rsid w:val="00E876FE"/>
    <w:rsid w:val="00EB1FDE"/>
    <w:rsid w:val="00EB4C44"/>
    <w:rsid w:val="00EC3B55"/>
    <w:rsid w:val="00ED4AED"/>
    <w:rsid w:val="00EE17B4"/>
    <w:rsid w:val="00EE4A11"/>
    <w:rsid w:val="00EE5972"/>
    <w:rsid w:val="00EE77F2"/>
    <w:rsid w:val="00EF6E43"/>
    <w:rsid w:val="00F03403"/>
    <w:rsid w:val="00F141FC"/>
    <w:rsid w:val="00F2241A"/>
    <w:rsid w:val="00F26C92"/>
    <w:rsid w:val="00F2753C"/>
    <w:rsid w:val="00F30FCD"/>
    <w:rsid w:val="00F337EE"/>
    <w:rsid w:val="00F36FFD"/>
    <w:rsid w:val="00F405F6"/>
    <w:rsid w:val="00F55855"/>
    <w:rsid w:val="00F55FD7"/>
    <w:rsid w:val="00F679DF"/>
    <w:rsid w:val="00F71415"/>
    <w:rsid w:val="00F7425A"/>
    <w:rsid w:val="00F74DFE"/>
    <w:rsid w:val="00F8106D"/>
    <w:rsid w:val="00F84842"/>
    <w:rsid w:val="00F848B3"/>
    <w:rsid w:val="00F855FF"/>
    <w:rsid w:val="00F92175"/>
    <w:rsid w:val="00F95505"/>
    <w:rsid w:val="00F96E14"/>
    <w:rsid w:val="00FA39B2"/>
    <w:rsid w:val="00FB03A4"/>
    <w:rsid w:val="00FB1751"/>
    <w:rsid w:val="00FB4911"/>
    <w:rsid w:val="00FD2F56"/>
    <w:rsid w:val="00FD587E"/>
    <w:rsid w:val="00FD6281"/>
    <w:rsid w:val="00FE1F4C"/>
    <w:rsid w:val="00FE51D6"/>
    <w:rsid w:val="00FF38A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6D723"/>
  <w15:docId w15:val="{0CC9114F-315C-4938-9B15-5A625639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339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961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8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C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0530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10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D55"/>
    <w:pPr>
      <w:ind w:left="720"/>
      <w:contextualSpacing/>
    </w:pPr>
  </w:style>
  <w:style w:type="paragraph" w:styleId="Revision">
    <w:name w:val="Revision"/>
    <w:hidden/>
    <w:uiPriority w:val="99"/>
    <w:semiHidden/>
    <w:rsid w:val="00F848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FF"/>
  </w:style>
  <w:style w:type="paragraph" w:styleId="Footer">
    <w:name w:val="footer"/>
    <w:basedOn w:val="Normal"/>
    <w:link w:val="FooterChar"/>
    <w:uiPriority w:val="99"/>
    <w:unhideWhenUsed/>
    <w:rsid w:val="00F8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FF"/>
  </w:style>
  <w:style w:type="character" w:customStyle="1" w:styleId="Heading1Char">
    <w:name w:val="Heading 1 Char"/>
    <w:basedOn w:val="DefaultParagraphFont"/>
    <w:link w:val="Heading1"/>
    <w:uiPriority w:val="9"/>
    <w:rsid w:val="008E3397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19B8-75A3-4FF3-96DF-3892CF34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S. Bloom</dc:creator>
  <cp:keywords/>
  <dc:description/>
  <cp:lastModifiedBy>Mary Ann Ricohermoso</cp:lastModifiedBy>
  <cp:revision>2</cp:revision>
  <cp:lastPrinted>2015-12-30T09:54:00Z</cp:lastPrinted>
  <dcterms:created xsi:type="dcterms:W3CDTF">2016-05-16T09:54:00Z</dcterms:created>
  <dcterms:modified xsi:type="dcterms:W3CDTF">2016-05-16T09:54:00Z</dcterms:modified>
</cp:coreProperties>
</file>