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82230" w14:textId="77777777" w:rsidR="00707126" w:rsidRPr="00707126" w:rsidRDefault="00707126" w:rsidP="00707126">
      <w:pPr>
        <w:jc w:val="center"/>
        <w:rPr>
          <w:rFonts w:ascii="Times New Roman" w:hAnsi="Times New Roman" w:cs="Times New Roman"/>
          <w:b/>
          <w:bCs/>
        </w:rPr>
      </w:pPr>
      <w:r w:rsidRPr="00707126">
        <w:rPr>
          <w:rFonts w:ascii="Times New Roman" w:hAnsi="Times New Roman" w:cs="Times New Roman"/>
          <w:b/>
          <w:bCs/>
        </w:rPr>
        <w:t>Oxygen and Ventilator Logistics during California’s COVID-19 Surge-</w:t>
      </w:r>
    </w:p>
    <w:p w14:paraId="6C946739" w14:textId="77777777" w:rsidR="00707126" w:rsidRPr="00707126" w:rsidRDefault="00707126" w:rsidP="00707126">
      <w:pPr>
        <w:jc w:val="center"/>
        <w:rPr>
          <w:rFonts w:ascii="Times New Roman" w:hAnsi="Times New Roman" w:cs="Times New Roman"/>
          <w:b/>
          <w:bCs/>
        </w:rPr>
      </w:pPr>
      <w:r w:rsidRPr="00707126">
        <w:rPr>
          <w:rFonts w:ascii="Times New Roman" w:hAnsi="Times New Roman" w:cs="Times New Roman"/>
          <w:b/>
          <w:bCs/>
        </w:rPr>
        <w:t>When Oxygen becomes a Scarce Resource</w:t>
      </w:r>
    </w:p>
    <w:p w14:paraId="1EF9FAB6" w14:textId="77777777" w:rsidR="001A0E07" w:rsidRDefault="001A0E07">
      <w:pPr>
        <w:rPr>
          <w:b/>
          <w:bCs/>
          <w:color w:val="000000"/>
        </w:rPr>
      </w:pPr>
    </w:p>
    <w:p w14:paraId="7713CD9E" w14:textId="5E92A32A" w:rsidR="00B154C1" w:rsidRDefault="00B154C1" w:rsidP="00B154C1">
      <w:pPr>
        <w:jc w:val="center"/>
        <w:rPr>
          <w:rFonts w:ascii="Times New Roman" w:hAnsi="Times New Roman" w:cs="Times New Roman"/>
          <w:b/>
          <w:bCs/>
          <w:color w:val="000000"/>
        </w:rPr>
      </w:pPr>
      <w:r w:rsidRPr="009963A1">
        <w:rPr>
          <w:rFonts w:ascii="Times New Roman" w:hAnsi="Times New Roman" w:cs="Times New Roman"/>
          <w:b/>
          <w:bCs/>
          <w:color w:val="000000"/>
        </w:rPr>
        <w:t>Appendix Materials</w:t>
      </w:r>
    </w:p>
    <w:p w14:paraId="3A8A735D" w14:textId="6C78848F" w:rsidR="009963A1" w:rsidRDefault="009963A1" w:rsidP="00B154C1">
      <w:pPr>
        <w:jc w:val="center"/>
        <w:rPr>
          <w:rFonts w:ascii="Times New Roman" w:hAnsi="Times New Roman" w:cs="Times New Roman"/>
          <w:b/>
          <w:bCs/>
          <w:color w:val="000000"/>
        </w:rPr>
      </w:pPr>
    </w:p>
    <w:p w14:paraId="305BA22E" w14:textId="77777777" w:rsidR="009963A1" w:rsidRPr="009963A1" w:rsidRDefault="009963A1" w:rsidP="009963A1">
      <w:pPr>
        <w:rPr>
          <w:rFonts w:ascii="Times New Roman" w:hAnsi="Times New Roman" w:cs="Times New Roman"/>
          <w:b/>
          <w:bCs/>
          <w:color w:val="000000"/>
        </w:rPr>
      </w:pPr>
      <w:r w:rsidRPr="009963A1">
        <w:rPr>
          <w:rFonts w:ascii="Times New Roman" w:hAnsi="Times New Roman" w:cs="Times New Roman"/>
          <w:b/>
          <w:bCs/>
          <w:color w:val="000000"/>
        </w:rPr>
        <w:t>Appendix 1</w:t>
      </w:r>
    </w:p>
    <w:p w14:paraId="6682509E" w14:textId="77777777" w:rsidR="009963A1" w:rsidRPr="009963A1" w:rsidRDefault="009963A1" w:rsidP="009963A1">
      <w:pPr>
        <w:rPr>
          <w:rFonts w:ascii="Times New Roman" w:hAnsi="Times New Roman" w:cs="Times New Roman"/>
          <w:b/>
          <w:bCs/>
          <w:color w:val="000000"/>
        </w:rPr>
      </w:pPr>
    </w:p>
    <w:p w14:paraId="74F6428F" w14:textId="77777777" w:rsidR="00B154C1" w:rsidRDefault="001A0E07" w:rsidP="0032498A">
      <w:pPr>
        <w:jc w:val="center"/>
        <w:rPr>
          <w:b/>
          <w:bCs/>
          <w:color w:val="000000"/>
        </w:rPr>
      </w:pPr>
      <w:r>
        <w:rPr>
          <w:b/>
          <w:bCs/>
          <w:noProof/>
          <w:color w:val="000000"/>
        </w:rPr>
        <w:drawing>
          <wp:inline distT="0" distB="0" distL="0" distR="0" wp14:anchorId="557E56FB" wp14:editId="072BEF05">
            <wp:extent cx="5182066" cy="6706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5186739" cy="6712283"/>
                    </a:xfrm>
                    <a:prstGeom prst="rect">
                      <a:avLst/>
                    </a:prstGeom>
                  </pic:spPr>
                </pic:pic>
              </a:graphicData>
            </a:graphic>
          </wp:inline>
        </w:drawing>
      </w:r>
    </w:p>
    <w:p w14:paraId="5068D822" w14:textId="77777777" w:rsidR="009963A1" w:rsidRDefault="009963A1">
      <w:pPr>
        <w:rPr>
          <w:b/>
          <w:bCs/>
          <w:color w:val="000000"/>
        </w:rPr>
      </w:pPr>
    </w:p>
    <w:p w14:paraId="2664677B" w14:textId="3B7D4911" w:rsidR="00F32C7C" w:rsidRPr="009963A1" w:rsidRDefault="004C0764">
      <w:pPr>
        <w:rPr>
          <w:rFonts w:ascii="Times New Roman" w:hAnsi="Times New Roman" w:cs="Times New Roman"/>
          <w:color w:val="000000"/>
        </w:rPr>
      </w:pPr>
      <w:r w:rsidRPr="009963A1">
        <w:rPr>
          <w:rFonts w:ascii="Times New Roman" w:hAnsi="Times New Roman" w:cs="Times New Roman"/>
          <w:color w:val="000000"/>
        </w:rPr>
        <w:lastRenderedPageBreak/>
        <w:t>Appendix 2</w:t>
      </w:r>
    </w:p>
    <w:p w14:paraId="74E29327" w14:textId="75B33575" w:rsidR="002A55D6" w:rsidRPr="009963A1" w:rsidRDefault="001F1E1E" w:rsidP="0032498A">
      <w:pPr>
        <w:rPr>
          <w:rFonts w:ascii="Times New Roman" w:hAnsi="Times New Roman" w:cs="Times New Roman"/>
          <w:vertAlign w:val="superscript"/>
        </w:rPr>
      </w:pPr>
      <w:r w:rsidRPr="009963A1">
        <w:rPr>
          <w:rFonts w:ascii="Times New Roman" w:hAnsi="Times New Roman" w:cs="Times New Roman"/>
          <w:color w:val="000000"/>
        </w:rPr>
        <w:t>From ASPR T</w:t>
      </w:r>
      <w:r w:rsidR="009963A1">
        <w:rPr>
          <w:rFonts w:ascii="Times New Roman" w:hAnsi="Times New Roman" w:cs="Times New Roman"/>
          <w:color w:val="000000"/>
        </w:rPr>
        <w:t>RACIE</w:t>
      </w:r>
      <w:r w:rsidR="009963A1">
        <w:rPr>
          <w:rFonts w:ascii="Times New Roman" w:hAnsi="Times New Roman" w:cs="Times New Roman"/>
          <w:color w:val="000000"/>
          <w:vertAlign w:val="superscript"/>
        </w:rPr>
        <w:t>14</w:t>
      </w:r>
    </w:p>
    <w:tbl>
      <w:tblPr>
        <w:tblW w:w="9720" w:type="dxa"/>
        <w:tblInd w:w="-360" w:type="dxa"/>
        <w:tblCellMar>
          <w:top w:w="15" w:type="dxa"/>
          <w:left w:w="15" w:type="dxa"/>
          <w:bottom w:w="15" w:type="dxa"/>
          <w:right w:w="15" w:type="dxa"/>
        </w:tblCellMar>
        <w:tblLook w:val="04A0" w:firstRow="1" w:lastRow="0" w:firstColumn="1" w:lastColumn="0" w:noHBand="0" w:noVBand="1"/>
      </w:tblPr>
      <w:tblGrid>
        <w:gridCol w:w="1575"/>
        <w:gridCol w:w="2392"/>
        <w:gridCol w:w="2574"/>
        <w:gridCol w:w="2229"/>
        <w:gridCol w:w="950"/>
      </w:tblGrid>
      <w:tr w:rsidR="002A55D6" w:rsidRPr="00185538" w14:paraId="0B3BB021" w14:textId="77777777" w:rsidTr="0032498A">
        <w:tc>
          <w:tcPr>
            <w:tcW w:w="1575" w:type="dxa"/>
            <w:tcBorders>
              <w:top w:val="nil"/>
              <w:left w:val="nil"/>
              <w:bottom w:val="nil"/>
              <w:right w:val="nil"/>
            </w:tcBorders>
            <w:shd w:val="clear" w:color="auto" w:fill="EBEBEB"/>
            <w:tcMar>
              <w:top w:w="75" w:type="dxa"/>
              <w:left w:w="75" w:type="dxa"/>
              <w:bottom w:w="75" w:type="dxa"/>
              <w:right w:w="75" w:type="dxa"/>
            </w:tcMar>
            <w:vAlign w:val="center"/>
            <w:hideMark/>
          </w:tcPr>
          <w:p w14:paraId="33342539" w14:textId="77777777" w:rsidR="002A55D6" w:rsidRPr="00124999" w:rsidRDefault="002A55D6" w:rsidP="00124999">
            <w:pPr>
              <w:jc w:val="center"/>
              <w:rPr>
                <w:rFonts w:ascii="Times New Roman" w:hAnsi="Times New Roman" w:cs="Times New Roman"/>
                <w:b/>
                <w:bCs/>
                <w:color w:val="3E454D"/>
                <w:sz w:val="20"/>
                <w:szCs w:val="20"/>
              </w:rPr>
            </w:pPr>
            <w:r w:rsidRPr="00124999">
              <w:rPr>
                <w:rFonts w:ascii="Times New Roman" w:hAnsi="Times New Roman" w:cs="Times New Roman"/>
                <w:b/>
                <w:bCs/>
                <w:color w:val="3E454D"/>
                <w:sz w:val="20"/>
                <w:szCs w:val="20"/>
              </w:rPr>
              <w:t>Cylinder Size</w:t>
            </w:r>
          </w:p>
        </w:tc>
        <w:tc>
          <w:tcPr>
            <w:tcW w:w="0" w:type="auto"/>
            <w:tcBorders>
              <w:top w:val="nil"/>
              <w:left w:val="nil"/>
              <w:bottom w:val="nil"/>
              <w:right w:val="nil"/>
            </w:tcBorders>
            <w:shd w:val="clear" w:color="auto" w:fill="EBEBEB"/>
            <w:tcMar>
              <w:top w:w="75" w:type="dxa"/>
              <w:left w:w="75" w:type="dxa"/>
              <w:bottom w:w="75" w:type="dxa"/>
              <w:right w:w="75" w:type="dxa"/>
            </w:tcMar>
            <w:vAlign w:val="center"/>
            <w:hideMark/>
          </w:tcPr>
          <w:p w14:paraId="7284BE77" w14:textId="77777777" w:rsidR="002A55D6" w:rsidRPr="00124999" w:rsidRDefault="002A55D6" w:rsidP="00124999">
            <w:pPr>
              <w:jc w:val="center"/>
              <w:rPr>
                <w:rFonts w:ascii="Times New Roman" w:hAnsi="Times New Roman" w:cs="Times New Roman"/>
                <w:b/>
                <w:bCs/>
                <w:color w:val="3E454D"/>
                <w:sz w:val="20"/>
                <w:szCs w:val="20"/>
              </w:rPr>
            </w:pPr>
            <w:r w:rsidRPr="00124999">
              <w:rPr>
                <w:rFonts w:ascii="Times New Roman" w:hAnsi="Times New Roman" w:cs="Times New Roman"/>
                <w:b/>
                <w:bCs/>
                <w:color w:val="3E454D"/>
                <w:sz w:val="20"/>
                <w:szCs w:val="20"/>
              </w:rPr>
              <w:t>Capacity (L)</w:t>
            </w:r>
          </w:p>
        </w:tc>
        <w:tc>
          <w:tcPr>
            <w:tcW w:w="0" w:type="auto"/>
            <w:tcBorders>
              <w:top w:val="nil"/>
              <w:left w:val="nil"/>
              <w:bottom w:val="nil"/>
              <w:right w:val="nil"/>
            </w:tcBorders>
            <w:shd w:val="clear" w:color="auto" w:fill="EBEBEB"/>
            <w:tcMar>
              <w:top w:w="75" w:type="dxa"/>
              <w:left w:w="75" w:type="dxa"/>
              <w:bottom w:w="75" w:type="dxa"/>
              <w:right w:w="75" w:type="dxa"/>
            </w:tcMar>
            <w:vAlign w:val="center"/>
            <w:hideMark/>
          </w:tcPr>
          <w:p w14:paraId="698BD55D" w14:textId="77777777" w:rsidR="002A55D6" w:rsidRPr="00124999" w:rsidRDefault="002A55D6" w:rsidP="00124999">
            <w:pPr>
              <w:jc w:val="center"/>
              <w:rPr>
                <w:rFonts w:ascii="Times New Roman" w:hAnsi="Times New Roman" w:cs="Times New Roman"/>
                <w:b/>
                <w:bCs/>
                <w:color w:val="3E454D"/>
                <w:sz w:val="20"/>
                <w:szCs w:val="20"/>
              </w:rPr>
            </w:pPr>
            <w:r w:rsidRPr="00124999">
              <w:rPr>
                <w:rFonts w:ascii="Times New Roman" w:hAnsi="Times New Roman" w:cs="Times New Roman"/>
                <w:b/>
                <w:bCs/>
                <w:color w:val="3E454D"/>
                <w:sz w:val="20"/>
                <w:szCs w:val="20"/>
              </w:rPr>
              <w:t>Weight (Lbs.)</w:t>
            </w:r>
          </w:p>
        </w:tc>
        <w:tc>
          <w:tcPr>
            <w:tcW w:w="0" w:type="auto"/>
            <w:tcBorders>
              <w:top w:val="nil"/>
              <w:left w:val="nil"/>
              <w:bottom w:val="nil"/>
              <w:right w:val="nil"/>
            </w:tcBorders>
            <w:shd w:val="clear" w:color="auto" w:fill="EBEBEB"/>
            <w:tcMar>
              <w:top w:w="75" w:type="dxa"/>
              <w:left w:w="75" w:type="dxa"/>
              <w:bottom w:w="75" w:type="dxa"/>
              <w:right w:w="75" w:type="dxa"/>
            </w:tcMar>
            <w:vAlign w:val="center"/>
            <w:hideMark/>
          </w:tcPr>
          <w:p w14:paraId="34852D9F" w14:textId="77777777" w:rsidR="002A55D6" w:rsidRPr="00124999" w:rsidRDefault="002A55D6" w:rsidP="00124999">
            <w:pPr>
              <w:jc w:val="center"/>
              <w:rPr>
                <w:rFonts w:ascii="Times New Roman" w:hAnsi="Times New Roman" w:cs="Times New Roman"/>
                <w:b/>
                <w:bCs/>
                <w:color w:val="3E454D"/>
                <w:sz w:val="20"/>
                <w:szCs w:val="20"/>
              </w:rPr>
            </w:pPr>
            <w:r w:rsidRPr="00124999">
              <w:rPr>
                <w:rFonts w:ascii="Times New Roman" w:hAnsi="Times New Roman" w:cs="Times New Roman"/>
                <w:b/>
                <w:bCs/>
                <w:color w:val="3E454D"/>
                <w:sz w:val="20"/>
                <w:szCs w:val="20"/>
              </w:rPr>
              <w:t>Height (In.)</w:t>
            </w:r>
          </w:p>
        </w:tc>
        <w:tc>
          <w:tcPr>
            <w:tcW w:w="950" w:type="dxa"/>
            <w:tcBorders>
              <w:top w:val="nil"/>
              <w:left w:val="nil"/>
              <w:bottom w:val="nil"/>
              <w:right w:val="nil"/>
            </w:tcBorders>
            <w:shd w:val="clear" w:color="auto" w:fill="EBEBEB"/>
            <w:tcMar>
              <w:top w:w="75" w:type="dxa"/>
              <w:left w:w="75" w:type="dxa"/>
              <w:bottom w:w="75" w:type="dxa"/>
              <w:right w:w="75" w:type="dxa"/>
            </w:tcMar>
            <w:vAlign w:val="center"/>
            <w:hideMark/>
          </w:tcPr>
          <w:p w14:paraId="7434089F" w14:textId="77777777" w:rsidR="002A55D6" w:rsidRPr="00124999" w:rsidRDefault="002A55D6" w:rsidP="00124999">
            <w:pPr>
              <w:jc w:val="center"/>
              <w:rPr>
                <w:rFonts w:ascii="Times New Roman" w:hAnsi="Times New Roman" w:cs="Times New Roman"/>
                <w:b/>
                <w:bCs/>
                <w:color w:val="3E454D"/>
                <w:sz w:val="20"/>
                <w:szCs w:val="20"/>
              </w:rPr>
            </w:pPr>
            <w:r w:rsidRPr="00124999">
              <w:rPr>
                <w:rFonts w:ascii="Times New Roman" w:hAnsi="Times New Roman" w:cs="Times New Roman"/>
                <w:b/>
                <w:bCs/>
                <w:color w:val="3E454D"/>
                <w:sz w:val="20"/>
                <w:szCs w:val="20"/>
              </w:rPr>
              <w:t>Diameter (In.)</w:t>
            </w:r>
          </w:p>
        </w:tc>
      </w:tr>
      <w:tr w:rsidR="002A55D6" w:rsidRPr="00185538" w14:paraId="1A4BBDDF" w14:textId="77777777" w:rsidTr="0032498A">
        <w:tc>
          <w:tcPr>
            <w:tcW w:w="1575" w:type="dxa"/>
            <w:tcBorders>
              <w:top w:val="nil"/>
              <w:left w:val="nil"/>
              <w:bottom w:val="nil"/>
              <w:right w:val="nil"/>
            </w:tcBorders>
            <w:shd w:val="clear" w:color="auto" w:fill="FFFFFF"/>
            <w:tcMar>
              <w:top w:w="30" w:type="dxa"/>
              <w:left w:w="30" w:type="dxa"/>
              <w:bottom w:w="30" w:type="dxa"/>
              <w:right w:w="30" w:type="dxa"/>
            </w:tcMar>
            <w:vAlign w:val="center"/>
            <w:hideMark/>
          </w:tcPr>
          <w:p w14:paraId="0BE098EA"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M2</w:t>
            </w:r>
          </w:p>
        </w:tc>
        <w:tc>
          <w:tcPr>
            <w:tcW w:w="0" w:type="auto"/>
            <w:tcBorders>
              <w:top w:val="nil"/>
              <w:left w:val="nil"/>
              <w:bottom w:val="nil"/>
              <w:right w:val="nil"/>
            </w:tcBorders>
            <w:shd w:val="clear" w:color="auto" w:fill="FFFFFF"/>
            <w:tcMar>
              <w:top w:w="30" w:type="dxa"/>
              <w:left w:w="30" w:type="dxa"/>
              <w:bottom w:w="30" w:type="dxa"/>
              <w:right w:w="30" w:type="dxa"/>
            </w:tcMar>
            <w:vAlign w:val="center"/>
            <w:hideMark/>
          </w:tcPr>
          <w:p w14:paraId="425701F4"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42</w:t>
            </w:r>
          </w:p>
        </w:tc>
        <w:tc>
          <w:tcPr>
            <w:tcW w:w="0" w:type="auto"/>
            <w:tcBorders>
              <w:top w:val="nil"/>
              <w:left w:val="nil"/>
              <w:bottom w:val="nil"/>
              <w:right w:val="nil"/>
            </w:tcBorders>
            <w:shd w:val="clear" w:color="auto" w:fill="FFFFFF"/>
            <w:tcMar>
              <w:top w:w="30" w:type="dxa"/>
              <w:left w:w="30" w:type="dxa"/>
              <w:bottom w:w="30" w:type="dxa"/>
              <w:right w:w="30" w:type="dxa"/>
            </w:tcMar>
            <w:vAlign w:val="center"/>
            <w:hideMark/>
          </w:tcPr>
          <w:p w14:paraId="1EF2C948"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0.7</w:t>
            </w:r>
          </w:p>
        </w:tc>
        <w:tc>
          <w:tcPr>
            <w:tcW w:w="0" w:type="auto"/>
            <w:tcBorders>
              <w:top w:val="nil"/>
              <w:left w:val="nil"/>
              <w:bottom w:val="nil"/>
              <w:right w:val="nil"/>
            </w:tcBorders>
            <w:shd w:val="clear" w:color="auto" w:fill="FFFFFF"/>
            <w:tcMar>
              <w:top w:w="30" w:type="dxa"/>
              <w:left w:w="30" w:type="dxa"/>
              <w:bottom w:w="30" w:type="dxa"/>
              <w:right w:w="30" w:type="dxa"/>
            </w:tcMar>
            <w:vAlign w:val="center"/>
            <w:hideMark/>
          </w:tcPr>
          <w:p w14:paraId="63208840"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5.7</w:t>
            </w:r>
          </w:p>
        </w:tc>
        <w:tc>
          <w:tcPr>
            <w:tcW w:w="950" w:type="dxa"/>
            <w:tcBorders>
              <w:top w:val="nil"/>
              <w:left w:val="nil"/>
              <w:bottom w:val="nil"/>
              <w:right w:val="nil"/>
            </w:tcBorders>
            <w:shd w:val="clear" w:color="auto" w:fill="FFFFFF"/>
            <w:tcMar>
              <w:top w:w="30" w:type="dxa"/>
              <w:left w:w="30" w:type="dxa"/>
              <w:bottom w:w="30" w:type="dxa"/>
              <w:right w:w="30" w:type="dxa"/>
            </w:tcMar>
            <w:vAlign w:val="center"/>
            <w:hideMark/>
          </w:tcPr>
          <w:p w14:paraId="7217E8D2"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2.5</w:t>
            </w:r>
          </w:p>
        </w:tc>
      </w:tr>
      <w:tr w:rsidR="002A55D6" w:rsidRPr="00185538" w14:paraId="5F3EEF25" w14:textId="77777777" w:rsidTr="0032498A">
        <w:tc>
          <w:tcPr>
            <w:tcW w:w="1575" w:type="dxa"/>
            <w:tcBorders>
              <w:top w:val="nil"/>
              <w:left w:val="nil"/>
              <w:bottom w:val="nil"/>
              <w:right w:val="nil"/>
            </w:tcBorders>
            <w:shd w:val="clear" w:color="auto" w:fill="EBEBEB"/>
            <w:tcMar>
              <w:top w:w="30" w:type="dxa"/>
              <w:left w:w="30" w:type="dxa"/>
              <w:bottom w:w="30" w:type="dxa"/>
              <w:right w:w="30" w:type="dxa"/>
            </w:tcMar>
            <w:vAlign w:val="center"/>
            <w:hideMark/>
          </w:tcPr>
          <w:p w14:paraId="66BFD7F8"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A [M4]</w:t>
            </w:r>
          </w:p>
        </w:tc>
        <w:tc>
          <w:tcPr>
            <w:tcW w:w="0" w:type="auto"/>
            <w:tcBorders>
              <w:top w:val="nil"/>
              <w:left w:val="nil"/>
              <w:bottom w:val="nil"/>
              <w:right w:val="nil"/>
            </w:tcBorders>
            <w:shd w:val="clear" w:color="auto" w:fill="EBEBEB"/>
            <w:tcMar>
              <w:top w:w="30" w:type="dxa"/>
              <w:left w:w="30" w:type="dxa"/>
              <w:bottom w:w="30" w:type="dxa"/>
              <w:right w:w="30" w:type="dxa"/>
            </w:tcMar>
            <w:vAlign w:val="center"/>
            <w:hideMark/>
          </w:tcPr>
          <w:p w14:paraId="68CD3BA1"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115</w:t>
            </w:r>
          </w:p>
        </w:tc>
        <w:tc>
          <w:tcPr>
            <w:tcW w:w="0" w:type="auto"/>
            <w:tcBorders>
              <w:top w:val="nil"/>
              <w:left w:val="nil"/>
              <w:bottom w:val="nil"/>
              <w:right w:val="nil"/>
            </w:tcBorders>
            <w:shd w:val="clear" w:color="auto" w:fill="EBEBEB"/>
            <w:tcMar>
              <w:top w:w="30" w:type="dxa"/>
              <w:left w:w="30" w:type="dxa"/>
              <w:bottom w:w="30" w:type="dxa"/>
              <w:right w:w="30" w:type="dxa"/>
            </w:tcMar>
            <w:vAlign w:val="center"/>
            <w:hideMark/>
          </w:tcPr>
          <w:p w14:paraId="247576F7"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1.7</w:t>
            </w:r>
          </w:p>
        </w:tc>
        <w:tc>
          <w:tcPr>
            <w:tcW w:w="0" w:type="auto"/>
            <w:tcBorders>
              <w:top w:val="nil"/>
              <w:left w:val="nil"/>
              <w:bottom w:val="nil"/>
              <w:right w:val="nil"/>
            </w:tcBorders>
            <w:shd w:val="clear" w:color="auto" w:fill="EBEBEB"/>
            <w:tcMar>
              <w:top w:w="30" w:type="dxa"/>
              <w:left w:w="30" w:type="dxa"/>
              <w:bottom w:w="30" w:type="dxa"/>
              <w:right w:w="30" w:type="dxa"/>
            </w:tcMar>
            <w:vAlign w:val="center"/>
            <w:hideMark/>
          </w:tcPr>
          <w:p w14:paraId="4961B5A6"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8.7</w:t>
            </w:r>
          </w:p>
        </w:tc>
        <w:tc>
          <w:tcPr>
            <w:tcW w:w="950" w:type="dxa"/>
            <w:tcBorders>
              <w:top w:val="nil"/>
              <w:left w:val="nil"/>
              <w:bottom w:val="nil"/>
              <w:right w:val="nil"/>
            </w:tcBorders>
            <w:shd w:val="clear" w:color="auto" w:fill="EBEBEB"/>
            <w:tcMar>
              <w:top w:w="30" w:type="dxa"/>
              <w:left w:w="30" w:type="dxa"/>
              <w:bottom w:w="30" w:type="dxa"/>
              <w:right w:w="30" w:type="dxa"/>
            </w:tcMar>
            <w:vAlign w:val="center"/>
            <w:hideMark/>
          </w:tcPr>
          <w:p w14:paraId="44828BED"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4.38</w:t>
            </w:r>
          </w:p>
        </w:tc>
      </w:tr>
      <w:tr w:rsidR="002A55D6" w:rsidRPr="00185538" w14:paraId="69DC0137" w14:textId="77777777" w:rsidTr="0032498A">
        <w:tc>
          <w:tcPr>
            <w:tcW w:w="1575" w:type="dxa"/>
            <w:tcBorders>
              <w:top w:val="nil"/>
              <w:left w:val="nil"/>
              <w:bottom w:val="nil"/>
              <w:right w:val="nil"/>
            </w:tcBorders>
            <w:shd w:val="clear" w:color="auto" w:fill="FFFFFF"/>
            <w:tcMar>
              <w:top w:w="30" w:type="dxa"/>
              <w:left w:w="30" w:type="dxa"/>
              <w:bottom w:w="30" w:type="dxa"/>
              <w:right w:w="30" w:type="dxa"/>
            </w:tcMar>
            <w:vAlign w:val="center"/>
            <w:hideMark/>
          </w:tcPr>
          <w:p w14:paraId="0C693570"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B [M6]</w:t>
            </w:r>
          </w:p>
        </w:tc>
        <w:tc>
          <w:tcPr>
            <w:tcW w:w="0" w:type="auto"/>
            <w:tcBorders>
              <w:top w:val="nil"/>
              <w:left w:val="nil"/>
              <w:bottom w:val="nil"/>
              <w:right w:val="nil"/>
            </w:tcBorders>
            <w:shd w:val="clear" w:color="auto" w:fill="FFFFFF"/>
            <w:tcMar>
              <w:top w:w="30" w:type="dxa"/>
              <w:left w:w="30" w:type="dxa"/>
              <w:bottom w:w="30" w:type="dxa"/>
              <w:right w:w="30" w:type="dxa"/>
            </w:tcMar>
            <w:vAlign w:val="center"/>
            <w:hideMark/>
          </w:tcPr>
          <w:p w14:paraId="3B33B8BE"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164</w:t>
            </w:r>
          </w:p>
        </w:tc>
        <w:tc>
          <w:tcPr>
            <w:tcW w:w="0" w:type="auto"/>
            <w:tcBorders>
              <w:top w:val="nil"/>
              <w:left w:val="nil"/>
              <w:bottom w:val="nil"/>
              <w:right w:val="nil"/>
            </w:tcBorders>
            <w:shd w:val="clear" w:color="auto" w:fill="FFFFFF"/>
            <w:tcMar>
              <w:top w:w="30" w:type="dxa"/>
              <w:left w:w="30" w:type="dxa"/>
              <w:bottom w:w="30" w:type="dxa"/>
              <w:right w:w="30" w:type="dxa"/>
            </w:tcMar>
            <w:vAlign w:val="center"/>
            <w:hideMark/>
          </w:tcPr>
          <w:p w14:paraId="4A432D8F"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2.3</w:t>
            </w:r>
          </w:p>
        </w:tc>
        <w:tc>
          <w:tcPr>
            <w:tcW w:w="0" w:type="auto"/>
            <w:tcBorders>
              <w:top w:val="nil"/>
              <w:left w:val="nil"/>
              <w:bottom w:val="nil"/>
              <w:right w:val="nil"/>
            </w:tcBorders>
            <w:shd w:val="clear" w:color="auto" w:fill="FFFFFF"/>
            <w:tcMar>
              <w:top w:w="30" w:type="dxa"/>
              <w:left w:w="30" w:type="dxa"/>
              <w:bottom w:w="30" w:type="dxa"/>
              <w:right w:w="30" w:type="dxa"/>
            </w:tcMar>
            <w:vAlign w:val="center"/>
            <w:hideMark/>
          </w:tcPr>
          <w:p w14:paraId="0E37AD4E"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12</w:t>
            </w:r>
          </w:p>
        </w:tc>
        <w:tc>
          <w:tcPr>
            <w:tcW w:w="950" w:type="dxa"/>
            <w:tcBorders>
              <w:top w:val="nil"/>
              <w:left w:val="nil"/>
              <w:bottom w:val="nil"/>
              <w:right w:val="nil"/>
            </w:tcBorders>
            <w:shd w:val="clear" w:color="auto" w:fill="FFFFFF"/>
            <w:tcMar>
              <w:top w:w="30" w:type="dxa"/>
              <w:left w:w="30" w:type="dxa"/>
              <w:bottom w:w="30" w:type="dxa"/>
              <w:right w:w="30" w:type="dxa"/>
            </w:tcMar>
            <w:vAlign w:val="center"/>
            <w:hideMark/>
          </w:tcPr>
          <w:p w14:paraId="09004176"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3.21</w:t>
            </w:r>
          </w:p>
        </w:tc>
      </w:tr>
      <w:tr w:rsidR="002A55D6" w:rsidRPr="00185538" w14:paraId="0F853BB4" w14:textId="77777777" w:rsidTr="0032498A">
        <w:tc>
          <w:tcPr>
            <w:tcW w:w="1575" w:type="dxa"/>
            <w:tcBorders>
              <w:top w:val="nil"/>
              <w:left w:val="nil"/>
              <w:bottom w:val="nil"/>
              <w:right w:val="nil"/>
            </w:tcBorders>
            <w:shd w:val="clear" w:color="auto" w:fill="EBEBEB"/>
            <w:tcMar>
              <w:top w:w="30" w:type="dxa"/>
              <w:left w:w="30" w:type="dxa"/>
              <w:bottom w:w="30" w:type="dxa"/>
              <w:right w:w="30" w:type="dxa"/>
            </w:tcMar>
            <w:vAlign w:val="center"/>
            <w:hideMark/>
          </w:tcPr>
          <w:p w14:paraId="38278169"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ML6</w:t>
            </w:r>
          </w:p>
        </w:tc>
        <w:tc>
          <w:tcPr>
            <w:tcW w:w="0" w:type="auto"/>
            <w:tcBorders>
              <w:top w:val="nil"/>
              <w:left w:val="nil"/>
              <w:bottom w:val="nil"/>
              <w:right w:val="nil"/>
            </w:tcBorders>
            <w:shd w:val="clear" w:color="auto" w:fill="EBEBEB"/>
            <w:tcMar>
              <w:top w:w="30" w:type="dxa"/>
              <w:left w:w="30" w:type="dxa"/>
              <w:bottom w:w="30" w:type="dxa"/>
              <w:right w:w="30" w:type="dxa"/>
            </w:tcMar>
            <w:vAlign w:val="center"/>
            <w:hideMark/>
          </w:tcPr>
          <w:p w14:paraId="5E9C583C"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164</w:t>
            </w:r>
          </w:p>
        </w:tc>
        <w:tc>
          <w:tcPr>
            <w:tcW w:w="0" w:type="auto"/>
            <w:tcBorders>
              <w:top w:val="nil"/>
              <w:left w:val="nil"/>
              <w:bottom w:val="nil"/>
              <w:right w:val="nil"/>
            </w:tcBorders>
            <w:shd w:val="clear" w:color="auto" w:fill="EBEBEB"/>
            <w:tcMar>
              <w:top w:w="30" w:type="dxa"/>
              <w:left w:w="30" w:type="dxa"/>
              <w:bottom w:w="30" w:type="dxa"/>
              <w:right w:w="30" w:type="dxa"/>
            </w:tcMar>
            <w:vAlign w:val="center"/>
            <w:hideMark/>
          </w:tcPr>
          <w:p w14:paraId="2EF1CD64"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2.8</w:t>
            </w:r>
          </w:p>
        </w:tc>
        <w:tc>
          <w:tcPr>
            <w:tcW w:w="0" w:type="auto"/>
            <w:tcBorders>
              <w:top w:val="nil"/>
              <w:left w:val="nil"/>
              <w:bottom w:val="nil"/>
              <w:right w:val="nil"/>
            </w:tcBorders>
            <w:shd w:val="clear" w:color="auto" w:fill="EBEBEB"/>
            <w:tcMar>
              <w:top w:w="30" w:type="dxa"/>
              <w:left w:w="30" w:type="dxa"/>
              <w:bottom w:w="30" w:type="dxa"/>
              <w:right w:w="30" w:type="dxa"/>
            </w:tcMar>
            <w:vAlign w:val="center"/>
            <w:hideMark/>
          </w:tcPr>
          <w:p w14:paraId="0D6135C5"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7.8</w:t>
            </w:r>
          </w:p>
        </w:tc>
        <w:tc>
          <w:tcPr>
            <w:tcW w:w="950" w:type="dxa"/>
            <w:tcBorders>
              <w:top w:val="nil"/>
              <w:left w:val="nil"/>
              <w:bottom w:val="nil"/>
              <w:right w:val="nil"/>
            </w:tcBorders>
            <w:shd w:val="clear" w:color="auto" w:fill="EBEBEB"/>
            <w:tcMar>
              <w:top w:w="30" w:type="dxa"/>
              <w:left w:w="30" w:type="dxa"/>
              <w:bottom w:w="30" w:type="dxa"/>
              <w:right w:w="30" w:type="dxa"/>
            </w:tcMar>
            <w:vAlign w:val="center"/>
            <w:hideMark/>
          </w:tcPr>
          <w:p w14:paraId="65588222"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4.38</w:t>
            </w:r>
          </w:p>
        </w:tc>
      </w:tr>
      <w:tr w:rsidR="002A55D6" w:rsidRPr="00185538" w14:paraId="593EF30B" w14:textId="77777777" w:rsidTr="0032498A">
        <w:tc>
          <w:tcPr>
            <w:tcW w:w="1575" w:type="dxa"/>
            <w:tcBorders>
              <w:top w:val="nil"/>
              <w:left w:val="nil"/>
              <w:bottom w:val="nil"/>
              <w:right w:val="nil"/>
            </w:tcBorders>
            <w:shd w:val="clear" w:color="auto" w:fill="FFFFFF"/>
            <w:tcMar>
              <w:top w:w="30" w:type="dxa"/>
              <w:left w:w="30" w:type="dxa"/>
              <w:bottom w:w="30" w:type="dxa"/>
              <w:right w:w="30" w:type="dxa"/>
            </w:tcMar>
            <w:vAlign w:val="center"/>
            <w:hideMark/>
          </w:tcPr>
          <w:p w14:paraId="05502AB5"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C [M9]</w:t>
            </w:r>
          </w:p>
        </w:tc>
        <w:tc>
          <w:tcPr>
            <w:tcW w:w="0" w:type="auto"/>
            <w:tcBorders>
              <w:top w:val="nil"/>
              <w:left w:val="nil"/>
              <w:bottom w:val="nil"/>
              <w:right w:val="nil"/>
            </w:tcBorders>
            <w:shd w:val="clear" w:color="auto" w:fill="FFFFFF"/>
            <w:tcMar>
              <w:top w:w="30" w:type="dxa"/>
              <w:left w:w="30" w:type="dxa"/>
              <w:bottom w:w="30" w:type="dxa"/>
              <w:right w:w="30" w:type="dxa"/>
            </w:tcMar>
            <w:vAlign w:val="center"/>
            <w:hideMark/>
          </w:tcPr>
          <w:p w14:paraId="6F830BB6"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248</w:t>
            </w:r>
          </w:p>
        </w:tc>
        <w:tc>
          <w:tcPr>
            <w:tcW w:w="0" w:type="auto"/>
            <w:tcBorders>
              <w:top w:val="nil"/>
              <w:left w:val="nil"/>
              <w:bottom w:val="nil"/>
              <w:right w:val="nil"/>
            </w:tcBorders>
            <w:shd w:val="clear" w:color="auto" w:fill="FFFFFF"/>
            <w:tcMar>
              <w:top w:w="30" w:type="dxa"/>
              <w:left w:w="30" w:type="dxa"/>
              <w:bottom w:w="30" w:type="dxa"/>
              <w:right w:w="30" w:type="dxa"/>
            </w:tcMar>
            <w:vAlign w:val="center"/>
            <w:hideMark/>
          </w:tcPr>
          <w:p w14:paraId="11653A88"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3.6</w:t>
            </w:r>
          </w:p>
        </w:tc>
        <w:tc>
          <w:tcPr>
            <w:tcW w:w="0" w:type="auto"/>
            <w:tcBorders>
              <w:top w:val="nil"/>
              <w:left w:val="nil"/>
              <w:bottom w:val="nil"/>
              <w:right w:val="nil"/>
            </w:tcBorders>
            <w:shd w:val="clear" w:color="auto" w:fill="FFFFFF"/>
            <w:tcMar>
              <w:top w:w="30" w:type="dxa"/>
              <w:left w:w="30" w:type="dxa"/>
              <w:bottom w:w="30" w:type="dxa"/>
              <w:right w:w="30" w:type="dxa"/>
            </w:tcMar>
            <w:vAlign w:val="center"/>
            <w:hideMark/>
          </w:tcPr>
          <w:p w14:paraId="73833F28"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10.9</w:t>
            </w:r>
          </w:p>
        </w:tc>
        <w:tc>
          <w:tcPr>
            <w:tcW w:w="950" w:type="dxa"/>
            <w:tcBorders>
              <w:top w:val="nil"/>
              <w:left w:val="nil"/>
              <w:bottom w:val="nil"/>
              <w:right w:val="nil"/>
            </w:tcBorders>
            <w:shd w:val="clear" w:color="auto" w:fill="FFFFFF"/>
            <w:tcMar>
              <w:top w:w="30" w:type="dxa"/>
              <w:left w:w="30" w:type="dxa"/>
              <w:bottom w:w="30" w:type="dxa"/>
              <w:right w:w="30" w:type="dxa"/>
            </w:tcMar>
            <w:vAlign w:val="center"/>
            <w:hideMark/>
          </w:tcPr>
          <w:p w14:paraId="0D1AD3E0"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4.38</w:t>
            </w:r>
          </w:p>
        </w:tc>
      </w:tr>
      <w:tr w:rsidR="002A55D6" w:rsidRPr="00185538" w14:paraId="6AA33F5C" w14:textId="77777777" w:rsidTr="0032498A">
        <w:tc>
          <w:tcPr>
            <w:tcW w:w="1575" w:type="dxa"/>
            <w:tcBorders>
              <w:top w:val="nil"/>
              <w:left w:val="nil"/>
              <w:bottom w:val="nil"/>
              <w:right w:val="nil"/>
            </w:tcBorders>
            <w:shd w:val="clear" w:color="auto" w:fill="EBEBEB"/>
            <w:tcMar>
              <w:top w:w="30" w:type="dxa"/>
              <w:left w:w="30" w:type="dxa"/>
              <w:bottom w:w="30" w:type="dxa"/>
              <w:right w:w="30" w:type="dxa"/>
            </w:tcMar>
            <w:vAlign w:val="center"/>
            <w:hideMark/>
          </w:tcPr>
          <w:p w14:paraId="5EFECF73"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D [M15]</w:t>
            </w:r>
          </w:p>
        </w:tc>
        <w:tc>
          <w:tcPr>
            <w:tcW w:w="0" w:type="auto"/>
            <w:tcBorders>
              <w:top w:val="nil"/>
              <w:left w:val="nil"/>
              <w:bottom w:val="nil"/>
              <w:right w:val="nil"/>
            </w:tcBorders>
            <w:shd w:val="clear" w:color="auto" w:fill="EBEBEB"/>
            <w:tcMar>
              <w:top w:w="30" w:type="dxa"/>
              <w:left w:w="30" w:type="dxa"/>
              <w:bottom w:w="30" w:type="dxa"/>
              <w:right w:w="30" w:type="dxa"/>
            </w:tcMar>
            <w:vAlign w:val="center"/>
            <w:hideMark/>
          </w:tcPr>
          <w:p w14:paraId="7069628A"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415</w:t>
            </w:r>
          </w:p>
        </w:tc>
        <w:tc>
          <w:tcPr>
            <w:tcW w:w="0" w:type="auto"/>
            <w:tcBorders>
              <w:top w:val="nil"/>
              <w:left w:val="nil"/>
              <w:bottom w:val="nil"/>
              <w:right w:val="nil"/>
            </w:tcBorders>
            <w:shd w:val="clear" w:color="auto" w:fill="EBEBEB"/>
            <w:tcMar>
              <w:top w:w="30" w:type="dxa"/>
              <w:left w:w="30" w:type="dxa"/>
              <w:bottom w:w="30" w:type="dxa"/>
              <w:right w:w="30" w:type="dxa"/>
            </w:tcMar>
            <w:vAlign w:val="center"/>
            <w:hideMark/>
          </w:tcPr>
          <w:p w14:paraId="15F63A54"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5.1</w:t>
            </w:r>
          </w:p>
        </w:tc>
        <w:tc>
          <w:tcPr>
            <w:tcW w:w="0" w:type="auto"/>
            <w:tcBorders>
              <w:top w:val="nil"/>
              <w:left w:val="nil"/>
              <w:bottom w:val="nil"/>
              <w:right w:val="nil"/>
            </w:tcBorders>
            <w:shd w:val="clear" w:color="auto" w:fill="EBEBEB"/>
            <w:tcMar>
              <w:top w:w="30" w:type="dxa"/>
              <w:left w:w="30" w:type="dxa"/>
              <w:bottom w:w="30" w:type="dxa"/>
              <w:right w:w="30" w:type="dxa"/>
            </w:tcMar>
            <w:vAlign w:val="center"/>
            <w:hideMark/>
          </w:tcPr>
          <w:p w14:paraId="2228551A"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16.5</w:t>
            </w:r>
          </w:p>
        </w:tc>
        <w:tc>
          <w:tcPr>
            <w:tcW w:w="950" w:type="dxa"/>
            <w:tcBorders>
              <w:top w:val="nil"/>
              <w:left w:val="nil"/>
              <w:bottom w:val="nil"/>
              <w:right w:val="nil"/>
            </w:tcBorders>
            <w:shd w:val="clear" w:color="auto" w:fill="EBEBEB"/>
            <w:tcMar>
              <w:top w:w="30" w:type="dxa"/>
              <w:left w:w="30" w:type="dxa"/>
              <w:bottom w:w="30" w:type="dxa"/>
              <w:right w:w="30" w:type="dxa"/>
            </w:tcMar>
            <w:vAlign w:val="center"/>
            <w:hideMark/>
          </w:tcPr>
          <w:p w14:paraId="00557CD9"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4.38</w:t>
            </w:r>
          </w:p>
        </w:tc>
      </w:tr>
      <w:tr w:rsidR="002A55D6" w:rsidRPr="00185538" w14:paraId="6B97E09C" w14:textId="77777777" w:rsidTr="0032498A">
        <w:tc>
          <w:tcPr>
            <w:tcW w:w="1575" w:type="dxa"/>
            <w:tcBorders>
              <w:top w:val="nil"/>
              <w:left w:val="nil"/>
              <w:bottom w:val="nil"/>
              <w:right w:val="nil"/>
            </w:tcBorders>
            <w:shd w:val="clear" w:color="auto" w:fill="FFFFFF"/>
            <w:tcMar>
              <w:top w:w="30" w:type="dxa"/>
              <w:left w:w="30" w:type="dxa"/>
              <w:bottom w:w="30" w:type="dxa"/>
              <w:right w:w="30" w:type="dxa"/>
            </w:tcMar>
            <w:vAlign w:val="center"/>
            <w:hideMark/>
          </w:tcPr>
          <w:p w14:paraId="13C2A4E9"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E [M24]</w:t>
            </w:r>
          </w:p>
        </w:tc>
        <w:tc>
          <w:tcPr>
            <w:tcW w:w="0" w:type="auto"/>
            <w:tcBorders>
              <w:top w:val="nil"/>
              <w:left w:val="nil"/>
              <w:bottom w:val="nil"/>
              <w:right w:val="nil"/>
            </w:tcBorders>
            <w:shd w:val="clear" w:color="auto" w:fill="FFFFFF"/>
            <w:tcMar>
              <w:top w:w="30" w:type="dxa"/>
              <w:left w:w="30" w:type="dxa"/>
              <w:bottom w:w="30" w:type="dxa"/>
              <w:right w:w="30" w:type="dxa"/>
            </w:tcMar>
            <w:vAlign w:val="center"/>
            <w:hideMark/>
          </w:tcPr>
          <w:p w14:paraId="2D3D4381"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682</w:t>
            </w:r>
          </w:p>
        </w:tc>
        <w:tc>
          <w:tcPr>
            <w:tcW w:w="0" w:type="auto"/>
            <w:tcBorders>
              <w:top w:val="nil"/>
              <w:left w:val="nil"/>
              <w:bottom w:val="nil"/>
              <w:right w:val="nil"/>
            </w:tcBorders>
            <w:shd w:val="clear" w:color="auto" w:fill="FFFFFF"/>
            <w:tcMar>
              <w:top w:w="30" w:type="dxa"/>
              <w:left w:w="30" w:type="dxa"/>
              <w:bottom w:w="30" w:type="dxa"/>
              <w:right w:w="30" w:type="dxa"/>
            </w:tcMar>
            <w:vAlign w:val="center"/>
            <w:hideMark/>
          </w:tcPr>
          <w:p w14:paraId="225382EF"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7.5</w:t>
            </w:r>
          </w:p>
        </w:tc>
        <w:tc>
          <w:tcPr>
            <w:tcW w:w="0" w:type="auto"/>
            <w:tcBorders>
              <w:top w:val="nil"/>
              <w:left w:val="nil"/>
              <w:bottom w:val="nil"/>
              <w:right w:val="nil"/>
            </w:tcBorders>
            <w:shd w:val="clear" w:color="auto" w:fill="FFFFFF"/>
            <w:tcMar>
              <w:top w:w="30" w:type="dxa"/>
              <w:left w:w="30" w:type="dxa"/>
              <w:bottom w:w="30" w:type="dxa"/>
              <w:right w:w="30" w:type="dxa"/>
            </w:tcMar>
            <w:vAlign w:val="center"/>
            <w:hideMark/>
          </w:tcPr>
          <w:p w14:paraId="78D2C0D8"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25.5</w:t>
            </w:r>
          </w:p>
        </w:tc>
        <w:tc>
          <w:tcPr>
            <w:tcW w:w="950" w:type="dxa"/>
            <w:tcBorders>
              <w:top w:val="nil"/>
              <w:left w:val="nil"/>
              <w:bottom w:val="nil"/>
              <w:right w:val="nil"/>
            </w:tcBorders>
            <w:shd w:val="clear" w:color="auto" w:fill="FFFFFF"/>
            <w:tcMar>
              <w:top w:w="30" w:type="dxa"/>
              <w:left w:w="30" w:type="dxa"/>
              <w:bottom w:w="30" w:type="dxa"/>
              <w:right w:w="30" w:type="dxa"/>
            </w:tcMar>
            <w:vAlign w:val="center"/>
            <w:hideMark/>
          </w:tcPr>
          <w:p w14:paraId="483D1D3F"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4.38</w:t>
            </w:r>
          </w:p>
        </w:tc>
      </w:tr>
      <w:tr w:rsidR="002A55D6" w:rsidRPr="00185538" w14:paraId="00857E97" w14:textId="77777777" w:rsidTr="0032498A">
        <w:tc>
          <w:tcPr>
            <w:tcW w:w="1575" w:type="dxa"/>
            <w:tcBorders>
              <w:top w:val="nil"/>
              <w:left w:val="nil"/>
              <w:bottom w:val="nil"/>
              <w:right w:val="nil"/>
            </w:tcBorders>
            <w:shd w:val="clear" w:color="auto" w:fill="EBEBEB"/>
            <w:tcMar>
              <w:top w:w="30" w:type="dxa"/>
              <w:left w:w="30" w:type="dxa"/>
              <w:bottom w:w="30" w:type="dxa"/>
              <w:right w:w="30" w:type="dxa"/>
            </w:tcMar>
            <w:vAlign w:val="center"/>
            <w:hideMark/>
          </w:tcPr>
          <w:p w14:paraId="3C90C200"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M60</w:t>
            </w:r>
          </w:p>
        </w:tc>
        <w:tc>
          <w:tcPr>
            <w:tcW w:w="0" w:type="auto"/>
            <w:tcBorders>
              <w:top w:val="nil"/>
              <w:left w:val="nil"/>
              <w:bottom w:val="nil"/>
              <w:right w:val="nil"/>
            </w:tcBorders>
            <w:shd w:val="clear" w:color="auto" w:fill="EBEBEB"/>
            <w:tcMar>
              <w:top w:w="30" w:type="dxa"/>
              <w:left w:w="30" w:type="dxa"/>
              <w:bottom w:w="30" w:type="dxa"/>
              <w:right w:w="30" w:type="dxa"/>
            </w:tcMar>
            <w:vAlign w:val="center"/>
            <w:hideMark/>
          </w:tcPr>
          <w:p w14:paraId="186F4142"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1762</w:t>
            </w:r>
          </w:p>
        </w:tc>
        <w:tc>
          <w:tcPr>
            <w:tcW w:w="0" w:type="auto"/>
            <w:tcBorders>
              <w:top w:val="nil"/>
              <w:left w:val="nil"/>
              <w:bottom w:val="nil"/>
              <w:right w:val="nil"/>
            </w:tcBorders>
            <w:shd w:val="clear" w:color="auto" w:fill="EBEBEB"/>
            <w:tcMar>
              <w:top w:w="30" w:type="dxa"/>
              <w:left w:w="30" w:type="dxa"/>
              <w:bottom w:w="30" w:type="dxa"/>
              <w:right w:w="30" w:type="dxa"/>
            </w:tcMar>
            <w:vAlign w:val="center"/>
            <w:hideMark/>
          </w:tcPr>
          <w:p w14:paraId="7F2750D9"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22.3</w:t>
            </w:r>
          </w:p>
        </w:tc>
        <w:tc>
          <w:tcPr>
            <w:tcW w:w="0" w:type="auto"/>
            <w:tcBorders>
              <w:top w:val="nil"/>
              <w:left w:val="nil"/>
              <w:bottom w:val="nil"/>
              <w:right w:val="nil"/>
            </w:tcBorders>
            <w:shd w:val="clear" w:color="auto" w:fill="EBEBEB"/>
            <w:tcMar>
              <w:top w:w="30" w:type="dxa"/>
              <w:left w:w="30" w:type="dxa"/>
              <w:bottom w:w="30" w:type="dxa"/>
              <w:right w:w="30" w:type="dxa"/>
            </w:tcMar>
            <w:vAlign w:val="center"/>
            <w:hideMark/>
          </w:tcPr>
          <w:p w14:paraId="225586CD"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22.9</w:t>
            </w:r>
          </w:p>
        </w:tc>
        <w:tc>
          <w:tcPr>
            <w:tcW w:w="950" w:type="dxa"/>
            <w:tcBorders>
              <w:top w:val="nil"/>
              <w:left w:val="nil"/>
              <w:bottom w:val="nil"/>
              <w:right w:val="nil"/>
            </w:tcBorders>
            <w:shd w:val="clear" w:color="auto" w:fill="EBEBEB"/>
            <w:tcMar>
              <w:top w:w="30" w:type="dxa"/>
              <w:left w:w="30" w:type="dxa"/>
              <w:bottom w:w="30" w:type="dxa"/>
              <w:right w:w="30" w:type="dxa"/>
            </w:tcMar>
            <w:vAlign w:val="center"/>
            <w:hideMark/>
          </w:tcPr>
          <w:p w14:paraId="46212497"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7.25</w:t>
            </w:r>
          </w:p>
        </w:tc>
      </w:tr>
      <w:tr w:rsidR="002A55D6" w:rsidRPr="00185538" w14:paraId="131BDD9D" w14:textId="77777777" w:rsidTr="0032498A">
        <w:tc>
          <w:tcPr>
            <w:tcW w:w="1575" w:type="dxa"/>
            <w:tcBorders>
              <w:top w:val="nil"/>
              <w:left w:val="nil"/>
              <w:bottom w:val="nil"/>
              <w:right w:val="nil"/>
            </w:tcBorders>
            <w:shd w:val="clear" w:color="auto" w:fill="FFFFFF"/>
            <w:tcMar>
              <w:top w:w="30" w:type="dxa"/>
              <w:left w:w="30" w:type="dxa"/>
              <w:bottom w:w="30" w:type="dxa"/>
              <w:right w:w="30" w:type="dxa"/>
            </w:tcMar>
            <w:vAlign w:val="center"/>
            <w:hideMark/>
          </w:tcPr>
          <w:p w14:paraId="1C561025"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MM</w:t>
            </w:r>
          </w:p>
        </w:tc>
        <w:tc>
          <w:tcPr>
            <w:tcW w:w="0" w:type="auto"/>
            <w:tcBorders>
              <w:top w:val="nil"/>
              <w:left w:val="nil"/>
              <w:bottom w:val="nil"/>
              <w:right w:val="nil"/>
            </w:tcBorders>
            <w:shd w:val="clear" w:color="auto" w:fill="FFFFFF"/>
            <w:tcMar>
              <w:top w:w="30" w:type="dxa"/>
              <w:left w:w="30" w:type="dxa"/>
              <w:bottom w:w="30" w:type="dxa"/>
              <w:right w:w="30" w:type="dxa"/>
            </w:tcMar>
            <w:vAlign w:val="center"/>
            <w:hideMark/>
          </w:tcPr>
          <w:p w14:paraId="2CB61224"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3455</w:t>
            </w:r>
          </w:p>
        </w:tc>
        <w:tc>
          <w:tcPr>
            <w:tcW w:w="0" w:type="auto"/>
            <w:tcBorders>
              <w:top w:val="nil"/>
              <w:left w:val="nil"/>
              <w:bottom w:val="nil"/>
              <w:right w:val="nil"/>
            </w:tcBorders>
            <w:shd w:val="clear" w:color="auto" w:fill="FFFFFF"/>
            <w:tcMar>
              <w:top w:w="30" w:type="dxa"/>
              <w:left w:w="30" w:type="dxa"/>
              <w:bottom w:w="30" w:type="dxa"/>
              <w:right w:w="30" w:type="dxa"/>
            </w:tcMar>
            <w:vAlign w:val="center"/>
            <w:hideMark/>
          </w:tcPr>
          <w:p w14:paraId="5FE2C4FB"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40.7</w:t>
            </w:r>
          </w:p>
        </w:tc>
        <w:tc>
          <w:tcPr>
            <w:tcW w:w="0" w:type="auto"/>
            <w:tcBorders>
              <w:top w:val="nil"/>
              <w:left w:val="nil"/>
              <w:bottom w:val="nil"/>
              <w:right w:val="nil"/>
            </w:tcBorders>
            <w:shd w:val="clear" w:color="auto" w:fill="FFFFFF"/>
            <w:tcMar>
              <w:top w:w="30" w:type="dxa"/>
              <w:left w:w="30" w:type="dxa"/>
              <w:bottom w:w="30" w:type="dxa"/>
              <w:right w:w="30" w:type="dxa"/>
            </w:tcMar>
            <w:vAlign w:val="center"/>
            <w:hideMark/>
          </w:tcPr>
          <w:p w14:paraId="19ABC7D6"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36.5</w:t>
            </w:r>
          </w:p>
        </w:tc>
        <w:tc>
          <w:tcPr>
            <w:tcW w:w="950" w:type="dxa"/>
            <w:tcBorders>
              <w:top w:val="nil"/>
              <w:left w:val="nil"/>
              <w:bottom w:val="nil"/>
              <w:right w:val="nil"/>
            </w:tcBorders>
            <w:shd w:val="clear" w:color="auto" w:fill="FFFFFF"/>
            <w:tcMar>
              <w:top w:w="30" w:type="dxa"/>
              <w:left w:w="30" w:type="dxa"/>
              <w:bottom w:w="30" w:type="dxa"/>
              <w:right w:w="30" w:type="dxa"/>
            </w:tcMar>
            <w:vAlign w:val="center"/>
            <w:hideMark/>
          </w:tcPr>
          <w:p w14:paraId="6E1E1516" w14:textId="77777777" w:rsidR="002A55D6" w:rsidRPr="00124999" w:rsidRDefault="002A55D6" w:rsidP="00124999">
            <w:pPr>
              <w:jc w:val="center"/>
              <w:rPr>
                <w:rFonts w:ascii="Times New Roman" w:hAnsi="Times New Roman" w:cs="Times New Roman"/>
                <w:color w:val="3E454D"/>
                <w:sz w:val="20"/>
                <w:szCs w:val="20"/>
              </w:rPr>
            </w:pPr>
            <w:r w:rsidRPr="00124999">
              <w:rPr>
                <w:rFonts w:ascii="Times New Roman" w:hAnsi="Times New Roman" w:cs="Times New Roman"/>
                <w:color w:val="3E454D"/>
                <w:sz w:val="20"/>
                <w:szCs w:val="20"/>
              </w:rPr>
              <w:t>8</w:t>
            </w:r>
          </w:p>
        </w:tc>
      </w:tr>
    </w:tbl>
    <w:p w14:paraId="2F1183D0" w14:textId="77777777" w:rsidR="002A55D6" w:rsidRPr="00124999" w:rsidRDefault="002A55D6" w:rsidP="002A55D6">
      <w:pPr>
        <w:rPr>
          <w:rFonts w:ascii="Times New Roman" w:hAnsi="Times New Roman" w:cs="Times New Roman"/>
          <w:sz w:val="20"/>
          <w:szCs w:val="20"/>
        </w:rPr>
      </w:pPr>
    </w:p>
    <w:p w14:paraId="4DFA89BE" w14:textId="77777777" w:rsidR="002A55D6" w:rsidRPr="006123F1" w:rsidRDefault="00021EA4" w:rsidP="002A55D6">
      <w:pPr>
        <w:spacing w:line="480" w:lineRule="auto"/>
        <w:rPr>
          <w:color w:val="000000" w:themeColor="text1"/>
        </w:rPr>
      </w:pPr>
      <w:r w:rsidRPr="00185538">
        <w:rPr>
          <w:b/>
          <w:bCs/>
          <w:noProof/>
          <w:color w:val="000000"/>
        </w:rPr>
        <w:drawing>
          <wp:inline distT="0" distB="0" distL="0" distR="0" wp14:anchorId="08552905" wp14:editId="46136854">
            <wp:extent cx="3124200" cy="4991100"/>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8"/>
                    <a:stretch>
                      <a:fillRect/>
                    </a:stretch>
                  </pic:blipFill>
                  <pic:spPr>
                    <a:xfrm>
                      <a:off x="0" y="0"/>
                      <a:ext cx="3124200" cy="4991100"/>
                    </a:xfrm>
                    <a:prstGeom prst="rect">
                      <a:avLst/>
                    </a:prstGeom>
                  </pic:spPr>
                </pic:pic>
              </a:graphicData>
            </a:graphic>
          </wp:inline>
        </w:drawing>
      </w:r>
      <w:r w:rsidRPr="00185538">
        <w:fldChar w:fldCharType="begin"/>
      </w:r>
      <w:r w:rsidRPr="00185538">
        <w:instrText xml:space="preserve"> INCLUDEPICTURE "/var/folders/vg/stdk9wf15xz5gyvd13wgyzzm0000gn/T/com.microsoft.Word/WebArchiveCopyPasteTempFiles/2912202079oxygen-cylinder-size-chart-gen.jpg" \* MERGEFORMATINET </w:instrText>
      </w:r>
      <w:r w:rsidRPr="00185538">
        <w:fldChar w:fldCharType="separate"/>
      </w:r>
      <w:r w:rsidRPr="00185538">
        <w:rPr>
          <w:noProof/>
        </w:rPr>
        <w:drawing>
          <wp:inline distT="0" distB="0" distL="0" distR="0" wp14:anchorId="71962B3D" wp14:editId="2905C35D">
            <wp:extent cx="2615565" cy="2733833"/>
            <wp:effectExtent l="0" t="0" r="635" b="0"/>
            <wp:docPr id="23" name="Picture 23" descr="Oxygen Cylinder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xygen Cylinder Siz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1233" cy="2823374"/>
                    </a:xfrm>
                    <a:prstGeom prst="rect">
                      <a:avLst/>
                    </a:prstGeom>
                    <a:noFill/>
                    <a:ln>
                      <a:noFill/>
                    </a:ln>
                  </pic:spPr>
                </pic:pic>
              </a:graphicData>
            </a:graphic>
          </wp:inline>
        </w:drawing>
      </w:r>
      <w:r w:rsidRPr="00185538">
        <w:fldChar w:fldCharType="end"/>
      </w:r>
    </w:p>
    <w:p w14:paraId="1F832D4B" w14:textId="77777777" w:rsidR="002A55D6" w:rsidRDefault="002A55D6"/>
    <w:p w14:paraId="066D65F9" w14:textId="77777777" w:rsidR="0099445B" w:rsidRDefault="0099445B"/>
    <w:p w14:paraId="2DEDBF20" w14:textId="77777777" w:rsidR="007059FC" w:rsidRPr="009963A1" w:rsidRDefault="004C0764">
      <w:pPr>
        <w:rPr>
          <w:rFonts w:ascii="Times New Roman" w:hAnsi="Times New Roman" w:cs="Times New Roman"/>
        </w:rPr>
      </w:pPr>
      <w:r w:rsidRPr="009963A1">
        <w:rPr>
          <w:rFonts w:ascii="Times New Roman" w:hAnsi="Times New Roman" w:cs="Times New Roman"/>
        </w:rPr>
        <w:lastRenderedPageBreak/>
        <w:t>Appendix 3</w:t>
      </w:r>
    </w:p>
    <w:p w14:paraId="14C9F4E9" w14:textId="77777777" w:rsidR="007059FC" w:rsidRPr="009963A1" w:rsidRDefault="007059FC">
      <w:pPr>
        <w:rPr>
          <w:rFonts w:ascii="Times New Roman" w:hAnsi="Times New Roman" w:cs="Times New Roman"/>
        </w:rPr>
      </w:pPr>
    </w:p>
    <w:p w14:paraId="06B417D9" w14:textId="77777777" w:rsidR="007059FC" w:rsidRPr="009963A1" w:rsidRDefault="007059FC" w:rsidP="007059FC">
      <w:pPr>
        <w:rPr>
          <w:rFonts w:ascii="Times New Roman" w:hAnsi="Times New Roman" w:cs="Times New Roman"/>
        </w:rPr>
      </w:pPr>
    </w:p>
    <w:p w14:paraId="46039901" w14:textId="77777777" w:rsidR="007059FC" w:rsidRPr="009963A1" w:rsidRDefault="007059FC" w:rsidP="007059FC">
      <w:pPr>
        <w:jc w:val="center"/>
        <w:rPr>
          <w:rFonts w:ascii="Times New Roman" w:hAnsi="Times New Roman" w:cs="Times New Roman"/>
          <w:b/>
          <w:bCs/>
        </w:rPr>
      </w:pPr>
      <w:r w:rsidRPr="009963A1">
        <w:rPr>
          <w:rFonts w:ascii="Times New Roman" w:hAnsi="Times New Roman" w:cs="Times New Roman"/>
          <w:b/>
          <w:bCs/>
        </w:rPr>
        <w:t>Oxygen Safety Tip Sheet</w:t>
      </w:r>
    </w:p>
    <w:p w14:paraId="1311858C" w14:textId="77777777" w:rsidR="007059FC" w:rsidRPr="009963A1" w:rsidRDefault="007059FC" w:rsidP="007059FC">
      <w:pPr>
        <w:pBdr>
          <w:top w:val="single" w:sz="4" w:space="2" w:color="auto"/>
          <w:left w:val="single" w:sz="4" w:space="4" w:color="auto"/>
          <w:bottom w:val="single" w:sz="4" w:space="1" w:color="auto"/>
          <w:right w:val="single" w:sz="4" w:space="4" w:color="auto"/>
        </w:pBdr>
        <w:shd w:val="clear" w:color="auto" w:fill="FFFFFF"/>
        <w:spacing w:before="100" w:beforeAutospacing="1" w:after="100" w:afterAutospacing="1"/>
        <w:rPr>
          <w:rFonts w:ascii="Times New Roman" w:hAnsi="Times New Roman" w:cs="Times New Roman"/>
          <w:color w:val="222222"/>
          <w:sz w:val="18"/>
          <w:szCs w:val="18"/>
        </w:rPr>
      </w:pPr>
      <w:r w:rsidRPr="009963A1">
        <w:rPr>
          <w:rFonts w:ascii="Times New Roman" w:hAnsi="Times New Roman" w:cs="Times New Roman"/>
          <w:color w:val="222222"/>
          <w:sz w:val="18"/>
          <w:szCs w:val="18"/>
        </w:rPr>
        <w:t>Following simple DO’s and DON’T’s can reduce the risk of incidents caused by oxygen enrichment. In addition to the practices outlined in any manufacturer’s instructions provided, use the following safe practices where medical oxygen is in use:</w:t>
      </w:r>
    </w:p>
    <w:p w14:paraId="223CF898"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b/>
          <w:bCs/>
          <w:color w:val="222222"/>
          <w:sz w:val="18"/>
          <w:szCs w:val="18"/>
        </w:rPr>
        <w:t>AVOID</w:t>
      </w:r>
    </w:p>
    <w:p w14:paraId="1819A38E"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NOT allow smoking or flames in the vicinity of oxygen use;</w:t>
      </w:r>
    </w:p>
    <w:p w14:paraId="2AA44B3D"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xml:space="preserve">·        DO NOT allow lotions, oils, grease, household lubricants, or other combustible materials to come in contact with oxygen or </w:t>
      </w:r>
      <w:r w:rsidRPr="009963A1">
        <w:rPr>
          <w:rFonts w:ascii="Times New Roman" w:hAnsi="Times New Roman" w:cs="Times New Roman"/>
          <w:color w:val="222222"/>
          <w:sz w:val="18"/>
          <w:szCs w:val="18"/>
        </w:rPr>
        <w:tab/>
        <w:t xml:space="preserve">its containers, valves, regulators, gauges, hoses, and fittings. Combustibles and oxygen can combine with explosive </w:t>
      </w:r>
      <w:r w:rsidRPr="009963A1">
        <w:rPr>
          <w:rFonts w:ascii="Times New Roman" w:hAnsi="Times New Roman" w:cs="Times New Roman"/>
          <w:color w:val="222222"/>
          <w:sz w:val="18"/>
          <w:szCs w:val="18"/>
        </w:rPr>
        <w:tab/>
        <w:t>force;</w:t>
      </w:r>
    </w:p>
    <w:p w14:paraId="7BE73607"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NOT handle containers or apparatus immediately after using lotions or moisturizers;</w:t>
      </w:r>
    </w:p>
    <w:p w14:paraId="7010A6B2"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xml:space="preserve">·        DO NOT lubricate hoses, cannulas, valves, regulators, gauges, or fittings with lubricants or any other combustible </w:t>
      </w:r>
      <w:r w:rsidRPr="009963A1">
        <w:rPr>
          <w:rFonts w:ascii="Times New Roman" w:hAnsi="Times New Roman" w:cs="Times New Roman"/>
          <w:color w:val="222222"/>
          <w:sz w:val="18"/>
          <w:szCs w:val="18"/>
        </w:rPr>
        <w:tab/>
        <w:t>substance;</w:t>
      </w:r>
    </w:p>
    <w:p w14:paraId="49D7FA1E"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NOT use an open flame to detect gas leaks;</w:t>
      </w:r>
    </w:p>
    <w:p w14:paraId="7DA329AF"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pacing w:val="-4"/>
          <w:sz w:val="18"/>
          <w:szCs w:val="18"/>
        </w:rPr>
        <w:t>·        DO NOT subject any part of a compressed gas container to a temperature greater than 125 °F (51.7 °C);</w:t>
      </w:r>
    </w:p>
    <w:p w14:paraId="77832824"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NOT place containers where they can become part of an electric circuit;</w:t>
      </w:r>
    </w:p>
    <w:p w14:paraId="7DA7D9CC"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NOT let sparks or a flame come in contact with any part of an oxygen container, regulator, tubing, or other equipment;</w:t>
      </w:r>
    </w:p>
    <w:p w14:paraId="2B5B5688"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NOT deface or remove any markings or labels used to identify the contents of a container;</w:t>
      </w:r>
    </w:p>
    <w:p w14:paraId="6A1356C7"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NOT modify, replace, or add adaptors to existing connections;</w:t>
      </w:r>
    </w:p>
    <w:p w14:paraId="02F4F30D"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NOT change, modify, tamper with, or obstruct the discharge ports of pressure relief devices; and</w:t>
      </w:r>
    </w:p>
    <w:p w14:paraId="0A1CFCA3"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NOT use containers for any purpose other than to supply medical oxygen as received from the supplier.</w:t>
      </w:r>
    </w:p>
    <w:p w14:paraId="1514B490"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b/>
          <w:bCs/>
          <w:color w:val="222222"/>
          <w:sz w:val="18"/>
          <w:szCs w:val="18"/>
        </w:rPr>
        <w:t>DO</w:t>
      </w:r>
    </w:p>
    <w:p w14:paraId="565FBD63"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ensure that connections to tubing, regulators, and other equipment are tight to prevent leakage;</w:t>
      </w:r>
    </w:p>
    <w:p w14:paraId="31F15BB1"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ensure only equipment suitable for medical oxygen use is connected;</w:t>
      </w:r>
    </w:p>
    <w:p w14:paraId="1357537F"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keep hoses, cannulas, and masks in good condition;</w:t>
      </w:r>
    </w:p>
    <w:p w14:paraId="182AD979"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open the cylinder valve slowly and completely after connecting to equipment;</w:t>
      </w:r>
    </w:p>
    <w:p w14:paraId="3EE5C27C"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remove any wrapping from cylinders or valves before use;</w:t>
      </w:r>
    </w:p>
    <w:p w14:paraId="0F62EC7C"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xml:space="preserve">·        DO identify the gas content by the label before use. If the container does not have a label or the label is not readable, return </w:t>
      </w:r>
      <w:r w:rsidRPr="009963A1">
        <w:rPr>
          <w:rFonts w:ascii="Times New Roman" w:hAnsi="Times New Roman" w:cs="Times New Roman"/>
          <w:color w:val="222222"/>
          <w:sz w:val="18"/>
          <w:szCs w:val="18"/>
        </w:rPr>
        <w:tab/>
        <w:t xml:space="preserve">the unused cylinder to the supplier. If the label does not correctly identify the gas contained in a cylinder, return the </w:t>
      </w:r>
      <w:r w:rsidRPr="009963A1">
        <w:rPr>
          <w:rFonts w:ascii="Times New Roman" w:hAnsi="Times New Roman" w:cs="Times New Roman"/>
          <w:color w:val="222222"/>
          <w:sz w:val="18"/>
          <w:szCs w:val="18"/>
        </w:rPr>
        <w:tab/>
        <w:t>unused cylinder to the supplier;</w:t>
      </w:r>
    </w:p>
    <w:p w14:paraId="611717ED"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read, understand, and follow all warning and precautionary handling information on the labels;</w:t>
      </w:r>
    </w:p>
    <w:p w14:paraId="4DFDD8DB"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follow all signage provided by the oxygen supplier;</w:t>
      </w:r>
    </w:p>
    <w:p w14:paraId="1E7529C5"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close the valve prior to disconnecting or replacing the cylinder;</w:t>
      </w:r>
    </w:p>
    <w:p w14:paraId="0FD026BD"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close the valve and ensure that the valve protective cap and outlet caps or plugs, if used, are replaced before returning;</w:t>
      </w:r>
    </w:p>
    <w:p w14:paraId="3F6ACEAB"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keep valves closed when the gas is not being used;</w:t>
      </w:r>
    </w:p>
    <w:p w14:paraId="7F873DD3"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xml:space="preserve">·        DO notify the oxygen supplier and isolate the cylinder if a foreign substance is present in or could have entered the valve </w:t>
      </w:r>
      <w:r w:rsidRPr="009963A1">
        <w:rPr>
          <w:rFonts w:ascii="Times New Roman" w:hAnsi="Times New Roman" w:cs="Times New Roman"/>
          <w:color w:val="222222"/>
          <w:sz w:val="18"/>
          <w:szCs w:val="18"/>
        </w:rPr>
        <w:tab/>
        <w:t>outlet connection;</w:t>
      </w:r>
    </w:p>
    <w:p w14:paraId="025BC157"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xml:space="preserve">·        DO provide the oxygen supplier with complete details regarding any complaint or event involving the container or </w:t>
      </w:r>
      <w:r w:rsidRPr="009963A1">
        <w:rPr>
          <w:rFonts w:ascii="Times New Roman" w:hAnsi="Times New Roman" w:cs="Times New Roman"/>
          <w:color w:val="222222"/>
          <w:sz w:val="18"/>
          <w:szCs w:val="18"/>
        </w:rPr>
        <w:tab/>
        <w:t>product including the container lot and serial number, and then isolate the container to prevent use;</w:t>
      </w:r>
    </w:p>
    <w:p w14:paraId="1514D97C"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xml:space="preserve">·        DO ensure only experienced and properly instructed persons handle oxygen containers; </w:t>
      </w:r>
    </w:p>
    <w:p w14:paraId="5BE82A56" w14:textId="77777777" w:rsidR="007059FC" w:rsidRPr="009963A1" w:rsidRDefault="007059FC" w:rsidP="007059FC">
      <w:pPr>
        <w:widowControl w:val="0"/>
        <w:pBdr>
          <w:top w:val="single" w:sz="4" w:space="2" w:color="auto"/>
          <w:left w:val="single" w:sz="4" w:space="4" w:color="auto"/>
          <w:bottom w:val="single" w:sz="4" w:space="1" w:color="auto"/>
          <w:right w:val="single" w:sz="4" w:space="4" w:color="auto"/>
        </w:pBdr>
        <w:shd w:val="clear" w:color="auto" w:fill="FFFFFF"/>
        <w:rPr>
          <w:rFonts w:ascii="Times New Roman" w:hAnsi="Times New Roman" w:cs="Times New Roman"/>
          <w:color w:val="222222"/>
          <w:sz w:val="18"/>
          <w:szCs w:val="18"/>
        </w:rPr>
      </w:pPr>
      <w:r w:rsidRPr="009963A1">
        <w:rPr>
          <w:rFonts w:ascii="Times New Roman" w:hAnsi="Times New Roman" w:cs="Times New Roman"/>
          <w:color w:val="222222"/>
          <w:sz w:val="18"/>
          <w:szCs w:val="18"/>
        </w:rPr>
        <w:t>·        DO isolate the container and move it to a well ventilated area if a leak is suspected, and it is safe to do so.</w:t>
      </w:r>
    </w:p>
    <w:p w14:paraId="74AD103D" w14:textId="77777777" w:rsidR="007059FC" w:rsidRPr="009963A1" w:rsidRDefault="007059FC" w:rsidP="007059FC">
      <w:pPr>
        <w:rPr>
          <w:rFonts w:ascii="Times New Roman" w:hAnsi="Times New Roman" w:cs="Times New Roman"/>
        </w:rPr>
      </w:pPr>
    </w:p>
    <w:p w14:paraId="2E54DCB0" w14:textId="77777777" w:rsidR="007059FC" w:rsidRPr="009963A1" w:rsidRDefault="007059FC" w:rsidP="007059FC">
      <w:pPr>
        <w:rPr>
          <w:rFonts w:ascii="Times New Roman" w:hAnsi="Times New Roman" w:cs="Times New Roman"/>
        </w:rPr>
      </w:pPr>
    </w:p>
    <w:p w14:paraId="08A30E67" w14:textId="77777777" w:rsidR="007059FC" w:rsidRPr="009963A1" w:rsidRDefault="007059FC" w:rsidP="007059FC">
      <w:pPr>
        <w:rPr>
          <w:rFonts w:ascii="Times New Roman" w:hAnsi="Times New Roman" w:cs="Times New Roman"/>
        </w:rPr>
      </w:pPr>
    </w:p>
    <w:p w14:paraId="726C3D50" w14:textId="77777777" w:rsidR="007059FC" w:rsidRPr="009963A1" w:rsidRDefault="007059FC" w:rsidP="007059FC">
      <w:pPr>
        <w:rPr>
          <w:rFonts w:ascii="Times New Roman" w:hAnsi="Times New Roman" w:cs="Times New Roman"/>
        </w:rPr>
      </w:pPr>
    </w:p>
    <w:p w14:paraId="3D79133C" w14:textId="77777777" w:rsidR="007059FC" w:rsidRPr="009963A1" w:rsidRDefault="007059FC" w:rsidP="007059FC">
      <w:pPr>
        <w:rPr>
          <w:rFonts w:ascii="Times New Roman" w:hAnsi="Times New Roman" w:cs="Times New Roman"/>
        </w:rPr>
      </w:pPr>
    </w:p>
    <w:p w14:paraId="68E3B14C" w14:textId="7716B506" w:rsidR="007059FC" w:rsidRDefault="007059FC" w:rsidP="007059FC">
      <w:pPr>
        <w:rPr>
          <w:rFonts w:ascii="Times New Roman" w:hAnsi="Times New Roman" w:cs="Times New Roman"/>
        </w:rPr>
      </w:pPr>
    </w:p>
    <w:p w14:paraId="3D2BB120" w14:textId="5036DB89" w:rsidR="009963A1" w:rsidRDefault="009963A1" w:rsidP="007059FC">
      <w:pPr>
        <w:rPr>
          <w:rFonts w:ascii="Times New Roman" w:hAnsi="Times New Roman" w:cs="Times New Roman"/>
        </w:rPr>
      </w:pPr>
    </w:p>
    <w:p w14:paraId="6390F879" w14:textId="4B9934C4" w:rsidR="009963A1" w:rsidRDefault="009963A1" w:rsidP="007059FC">
      <w:pPr>
        <w:rPr>
          <w:rFonts w:ascii="Times New Roman" w:hAnsi="Times New Roman" w:cs="Times New Roman"/>
        </w:rPr>
      </w:pPr>
    </w:p>
    <w:p w14:paraId="4F8A11E1" w14:textId="7EDCB3EF" w:rsidR="009963A1" w:rsidRDefault="009963A1" w:rsidP="007059FC">
      <w:pPr>
        <w:rPr>
          <w:rFonts w:ascii="Times New Roman" w:hAnsi="Times New Roman" w:cs="Times New Roman"/>
        </w:rPr>
      </w:pPr>
    </w:p>
    <w:p w14:paraId="73EFD7CD" w14:textId="5336B69A" w:rsidR="009963A1" w:rsidRDefault="009963A1" w:rsidP="007059FC">
      <w:pPr>
        <w:rPr>
          <w:rFonts w:ascii="Times New Roman" w:hAnsi="Times New Roman" w:cs="Times New Roman"/>
        </w:rPr>
      </w:pPr>
    </w:p>
    <w:p w14:paraId="750817C5" w14:textId="77777777" w:rsidR="009963A1" w:rsidRPr="009963A1" w:rsidRDefault="009963A1" w:rsidP="007059FC">
      <w:pPr>
        <w:rPr>
          <w:rFonts w:ascii="Times New Roman" w:hAnsi="Times New Roman" w:cs="Times New Roman"/>
        </w:rPr>
      </w:pPr>
    </w:p>
    <w:p w14:paraId="02159BE9" w14:textId="77777777" w:rsidR="007059FC" w:rsidRPr="009963A1" w:rsidRDefault="007059FC" w:rsidP="007059FC">
      <w:pPr>
        <w:rPr>
          <w:rFonts w:ascii="Times New Roman" w:hAnsi="Times New Roman" w:cs="Times New Roman"/>
          <w:color w:val="000000"/>
        </w:rPr>
      </w:pPr>
    </w:p>
    <w:p w14:paraId="120AF152" w14:textId="77777777" w:rsidR="007059FC" w:rsidRPr="009963A1" w:rsidRDefault="004C0764" w:rsidP="007059FC">
      <w:pPr>
        <w:rPr>
          <w:rFonts w:ascii="Times New Roman" w:hAnsi="Times New Roman" w:cs="Times New Roman"/>
        </w:rPr>
      </w:pPr>
      <w:r w:rsidRPr="009963A1">
        <w:rPr>
          <w:rFonts w:ascii="Times New Roman" w:hAnsi="Times New Roman" w:cs="Times New Roman"/>
        </w:rPr>
        <w:lastRenderedPageBreak/>
        <w:t>Appendix 4</w:t>
      </w:r>
    </w:p>
    <w:p w14:paraId="48D888B2" w14:textId="77777777" w:rsidR="004C0764" w:rsidRPr="009963A1" w:rsidRDefault="004C0764" w:rsidP="007059FC">
      <w:pPr>
        <w:rPr>
          <w:rFonts w:ascii="Times New Roman" w:hAnsi="Times New Roman" w:cs="Times New Roman"/>
        </w:rPr>
      </w:pPr>
    </w:p>
    <w:p w14:paraId="3600DE18" w14:textId="77777777" w:rsidR="007059FC" w:rsidRPr="009963A1" w:rsidRDefault="007059FC" w:rsidP="007059FC">
      <w:pPr>
        <w:jc w:val="center"/>
        <w:rPr>
          <w:rFonts w:ascii="Times New Roman" w:hAnsi="Times New Roman" w:cs="Times New Roman"/>
        </w:rPr>
      </w:pPr>
      <w:r w:rsidRPr="009963A1">
        <w:rPr>
          <w:rFonts w:ascii="Times New Roman" w:hAnsi="Times New Roman" w:cs="Times New Roman"/>
          <w:b/>
          <w:u w:val="single"/>
        </w:rPr>
        <w:t>Oxygen Conservation Tips During COVID-19 from a Nursing Perspective</w:t>
      </w:r>
    </w:p>
    <w:p w14:paraId="5A5518DB" w14:textId="77777777" w:rsidR="007059FC" w:rsidRPr="009963A1" w:rsidRDefault="007059FC" w:rsidP="007059FC">
      <w:pPr>
        <w:rPr>
          <w:rFonts w:ascii="Times New Roman" w:hAnsi="Times New Roman" w:cs="Times New Roman"/>
        </w:rPr>
      </w:pPr>
    </w:p>
    <w:p w14:paraId="0DA7771B" w14:textId="77777777" w:rsidR="007059FC" w:rsidRPr="009963A1" w:rsidRDefault="007059FC" w:rsidP="007059FC">
      <w:pPr>
        <w:rPr>
          <w:rFonts w:ascii="Times New Roman" w:hAnsi="Times New Roman" w:cs="Times New Roman"/>
        </w:rPr>
      </w:pPr>
      <w:r w:rsidRPr="009963A1">
        <w:rPr>
          <w:rFonts w:ascii="Times New Roman" w:hAnsi="Times New Roman" w:cs="Times New Roman"/>
        </w:rPr>
        <w:t xml:space="preserve">Nurses often spend the most time of any HCW at the bedside of acutely ill patients. This has been particularly true during the COVID-19 pandemic, where the clinical nature of these patients requires close monitoring. Every patient is different, and none of this is in place of clinical expertise at the bedside, or institutional policies. </w:t>
      </w:r>
    </w:p>
    <w:p w14:paraId="6C910FB6" w14:textId="77777777" w:rsidR="007059FC" w:rsidRPr="009963A1" w:rsidRDefault="007059FC" w:rsidP="007059FC">
      <w:pPr>
        <w:pStyle w:val="ListParagraph"/>
        <w:numPr>
          <w:ilvl w:val="0"/>
          <w:numId w:val="2"/>
        </w:numPr>
        <w:spacing w:after="160" w:line="259" w:lineRule="auto"/>
        <w:rPr>
          <w:rFonts w:ascii="Times New Roman" w:hAnsi="Times New Roman" w:cs="Times New Roman"/>
          <w:b/>
        </w:rPr>
      </w:pPr>
      <w:r w:rsidRPr="009963A1">
        <w:rPr>
          <w:rFonts w:ascii="Times New Roman" w:hAnsi="Times New Roman" w:cs="Times New Roman"/>
          <w:b/>
        </w:rPr>
        <w:t xml:space="preserve">Encourage patients to Prone, Turn, Cough, and Deep Breath. Use </w:t>
      </w:r>
      <w:r w:rsidR="00B154C1" w:rsidRPr="009963A1">
        <w:rPr>
          <w:rFonts w:ascii="Times New Roman" w:hAnsi="Times New Roman" w:cs="Times New Roman"/>
          <w:b/>
        </w:rPr>
        <w:t>i</w:t>
      </w:r>
      <w:r w:rsidRPr="009963A1">
        <w:rPr>
          <w:rFonts w:ascii="Times New Roman" w:hAnsi="Times New Roman" w:cs="Times New Roman"/>
          <w:b/>
        </w:rPr>
        <w:t xml:space="preserve">ncentive </w:t>
      </w:r>
      <w:r w:rsidR="00B154C1" w:rsidRPr="009963A1">
        <w:rPr>
          <w:rFonts w:ascii="Times New Roman" w:hAnsi="Times New Roman" w:cs="Times New Roman"/>
          <w:b/>
        </w:rPr>
        <w:t>s</w:t>
      </w:r>
      <w:r w:rsidRPr="009963A1">
        <w:rPr>
          <w:rFonts w:ascii="Times New Roman" w:hAnsi="Times New Roman" w:cs="Times New Roman"/>
          <w:b/>
        </w:rPr>
        <w:t>pirometers if they are available</w:t>
      </w:r>
      <w:r w:rsidRPr="009963A1">
        <w:rPr>
          <w:rFonts w:ascii="Times New Roman" w:hAnsi="Times New Roman" w:cs="Times New Roman"/>
        </w:rPr>
        <w:t xml:space="preserve">. </w:t>
      </w:r>
      <w:r w:rsidRPr="009963A1">
        <w:rPr>
          <w:rFonts w:ascii="Times New Roman" w:hAnsi="Times New Roman" w:cs="Times New Roman"/>
          <w:b/>
        </w:rPr>
        <w:t xml:space="preserve">Chest physiotherapy may also be helpful, particularly for those with secretions. </w:t>
      </w:r>
      <w:r w:rsidRPr="009963A1">
        <w:rPr>
          <w:rFonts w:ascii="Times New Roman" w:hAnsi="Times New Roman" w:cs="Times New Roman"/>
        </w:rPr>
        <w:t xml:space="preserve"> </w:t>
      </w:r>
    </w:p>
    <w:p w14:paraId="1414AF35" w14:textId="77777777" w:rsidR="007059FC" w:rsidRPr="009963A1" w:rsidRDefault="007059FC" w:rsidP="007059FC">
      <w:pPr>
        <w:pStyle w:val="ListParagraph"/>
        <w:spacing w:after="160" w:line="259" w:lineRule="auto"/>
        <w:rPr>
          <w:rFonts w:ascii="Times New Roman" w:hAnsi="Times New Roman" w:cs="Times New Roman"/>
          <w:b/>
        </w:rPr>
      </w:pPr>
      <w:r w:rsidRPr="009963A1">
        <w:rPr>
          <w:rFonts w:ascii="Times New Roman" w:hAnsi="Times New Roman" w:cs="Times New Roman"/>
        </w:rPr>
        <w:t>Although respiratory care recommendations for COVID-19 patients vary widely, observational reports support basic respiratory care for these patients.</w:t>
      </w:r>
      <w:r w:rsidRPr="009963A1">
        <w:rPr>
          <w:rFonts w:ascii="Times New Roman" w:hAnsi="Times New Roman" w:cs="Times New Roman"/>
        </w:rPr>
        <w:fldChar w:fldCharType="begin"/>
      </w:r>
      <w:r w:rsidRPr="009963A1">
        <w:rPr>
          <w:rFonts w:ascii="Times New Roman" w:hAnsi="Times New Roman" w:cs="Times New Roman"/>
        </w:rPr>
        <w:instrText xml:space="preserve"> ADDIN EN.CITE &lt;EndNote&gt;&lt;Cite&gt;&lt;Author&gt;Seyller H&lt;/Author&gt;&lt;Year&gt;2021&lt;/Year&gt;&lt;RecNum&gt;721&lt;/RecNum&gt;&lt;DisplayText&gt;&lt;style face="superscript"&gt;13&lt;/style&gt;&lt;/DisplayText&gt;&lt;record&gt;&lt;rec-number&gt;721&lt;/rec-number&gt;&lt;foreign-keys&gt;&lt;key app="EN" db-id="sde9p5sp62xvezesxaax0eens9eetx2swzwz" timestamp="1621806034" guid="f30ef873-6c7a-40f9-89da-18b17510ad00"&gt;721&lt;/key&gt;&lt;/foreign-keys&gt;&lt;ref-type name="Journal Article"&gt;17&lt;/ref-type&gt;&lt;contributors&gt;&lt;authors&gt;&lt;author&gt;Seyller H, Gottlieb M, Colla J&lt;/author&gt;&lt;/authors&gt;&lt;/contributors&gt;&lt;titles&gt;&lt;title&gt;A breath of fresh air: The role of incentive spirometry in the treatment of COVID-19&lt;/title&gt;&lt;secondary-title&gt;American Journal of Emergency Medicine&lt;/secondary-title&gt;&lt;/titles&gt;&lt;periodical&gt;&lt;full-title&gt;American Journal of Emergency Medicine&lt;/full-title&gt;&lt;/periodical&gt;&lt;volume&gt;in press&lt;/volume&gt;&lt;edition&gt;February 01, 2021&lt;/edition&gt;&lt;dates&gt;&lt;year&gt;2021&lt;/year&gt;&lt;/dates&gt;&lt;urls&gt;&lt;related-urls&gt;&lt;url&gt;https://www.ajemjournal.com/article/S0735-6757(21)00087-5/fulltext#%20, https://www.ncbi.nlm.nih.gov/pmc/articles/PMC7430249/, https://pubmed.ncbi.nlm.nih.gov/32810081/ &lt;/url&gt;&lt;/related-urls&gt;&lt;/urls&gt;&lt;/record&gt;&lt;/Cite&gt;&lt;/EndNote&gt;</w:instrText>
      </w:r>
      <w:r w:rsidRPr="009963A1">
        <w:rPr>
          <w:rFonts w:ascii="Times New Roman" w:hAnsi="Times New Roman" w:cs="Times New Roman"/>
        </w:rPr>
        <w:fldChar w:fldCharType="separate"/>
      </w:r>
      <w:r w:rsidRPr="009963A1">
        <w:rPr>
          <w:rFonts w:ascii="Times New Roman" w:hAnsi="Times New Roman" w:cs="Times New Roman"/>
          <w:noProof/>
          <w:vertAlign w:val="superscript"/>
        </w:rPr>
        <w:t>13</w:t>
      </w:r>
      <w:r w:rsidRPr="009963A1">
        <w:rPr>
          <w:rFonts w:ascii="Times New Roman" w:hAnsi="Times New Roman" w:cs="Times New Roman"/>
        </w:rPr>
        <w:fldChar w:fldCharType="end"/>
      </w:r>
      <w:r w:rsidRPr="009963A1">
        <w:rPr>
          <w:rFonts w:ascii="Times New Roman" w:hAnsi="Times New Roman" w:cs="Times New Roman"/>
        </w:rPr>
        <w:t xml:space="preserve"> These techniques can reduce the likelihood of increasing oxygen needs. Patients can be educated to do most of these techniques independently, as tolerated, which is especially useful in settings. Patients with paroxysmal coughing with intermittent desaturation limited frequency, and duration at times, but did not preclude these techniques all together. </w:t>
      </w:r>
    </w:p>
    <w:p w14:paraId="789241EB" w14:textId="77777777" w:rsidR="007059FC" w:rsidRPr="009963A1" w:rsidRDefault="007059FC" w:rsidP="007059FC">
      <w:pPr>
        <w:pStyle w:val="ListParagraph"/>
        <w:numPr>
          <w:ilvl w:val="0"/>
          <w:numId w:val="2"/>
        </w:numPr>
        <w:spacing w:after="160" w:line="259" w:lineRule="auto"/>
        <w:rPr>
          <w:rFonts w:ascii="Times New Roman" w:hAnsi="Times New Roman" w:cs="Times New Roman"/>
          <w:b/>
        </w:rPr>
      </w:pPr>
      <w:r w:rsidRPr="009963A1">
        <w:rPr>
          <w:rFonts w:ascii="Times New Roman" w:hAnsi="Times New Roman" w:cs="Times New Roman"/>
          <w:b/>
        </w:rPr>
        <w:t xml:space="preserve">For patients with high oxygen requirements, give bed baths, use bedside commodes and promote in-bed PT when the patient is not able to tolerate ambulation. </w:t>
      </w:r>
      <w:r w:rsidRPr="009963A1">
        <w:rPr>
          <w:rFonts w:ascii="Times New Roman" w:hAnsi="Times New Roman" w:cs="Times New Roman"/>
        </w:rPr>
        <w:t xml:space="preserve">Balancing movement and oxygen demands in COVID-19 patients can be difficult as these patients routinely desaturate to 80% range, and sometimes lower with movement. In pts. with high oxygen demands, decreasing activity events like walking to the bathroom or shower can be helpful until they can be weaned to lower oxygen flow rates. It is particularly important to have these patients turn, prone, and perform in –bed physical therapy exercises. </w:t>
      </w:r>
    </w:p>
    <w:p w14:paraId="1DF7C105" w14:textId="77777777" w:rsidR="007059FC" w:rsidRPr="009963A1" w:rsidRDefault="007059FC" w:rsidP="007059FC">
      <w:pPr>
        <w:pStyle w:val="ListParagraph"/>
        <w:numPr>
          <w:ilvl w:val="0"/>
          <w:numId w:val="2"/>
        </w:numPr>
        <w:spacing w:after="160" w:line="259" w:lineRule="auto"/>
        <w:rPr>
          <w:rFonts w:ascii="Times New Roman" w:hAnsi="Times New Roman" w:cs="Times New Roman"/>
        </w:rPr>
      </w:pPr>
      <w:r w:rsidRPr="009963A1">
        <w:rPr>
          <w:rFonts w:ascii="Times New Roman" w:hAnsi="Times New Roman" w:cs="Times New Roman"/>
          <w:b/>
        </w:rPr>
        <w:t>Patient education is KEY in COVID-19</w:t>
      </w:r>
      <w:r w:rsidRPr="009963A1">
        <w:rPr>
          <w:rFonts w:ascii="Times New Roman" w:hAnsi="Times New Roman" w:cs="Times New Roman"/>
        </w:rPr>
        <w:t xml:space="preserve">. </w:t>
      </w:r>
    </w:p>
    <w:p w14:paraId="44B49EFA" w14:textId="77777777" w:rsidR="007059FC" w:rsidRPr="009963A1" w:rsidRDefault="007059FC" w:rsidP="007059FC">
      <w:pPr>
        <w:pStyle w:val="ListParagraph"/>
        <w:spacing w:after="160" w:line="259" w:lineRule="auto"/>
        <w:rPr>
          <w:rFonts w:ascii="Times New Roman" w:hAnsi="Times New Roman" w:cs="Times New Roman"/>
        </w:rPr>
      </w:pPr>
      <w:r w:rsidRPr="009963A1">
        <w:rPr>
          <w:rFonts w:ascii="Times New Roman" w:hAnsi="Times New Roman" w:cs="Times New Roman"/>
        </w:rPr>
        <w:t xml:space="preserve">Demonstrating breathing techniques such as pursed lip breathing, inhaling through the nose/open mouth exhale to these patients can help to decrease anxiety and potentially increase oxygenation. </w:t>
      </w:r>
    </w:p>
    <w:p w14:paraId="6043C592" w14:textId="77777777" w:rsidR="007059FC" w:rsidRPr="009963A1" w:rsidRDefault="007059FC" w:rsidP="007059FC">
      <w:pPr>
        <w:rPr>
          <w:rFonts w:ascii="Times New Roman" w:hAnsi="Times New Roman" w:cs="Times New Roman"/>
          <w:color w:val="000000"/>
        </w:rPr>
      </w:pPr>
    </w:p>
    <w:p w14:paraId="22FF4955" w14:textId="77777777" w:rsidR="007059FC" w:rsidRPr="009963A1" w:rsidRDefault="007059FC" w:rsidP="007059FC">
      <w:pPr>
        <w:rPr>
          <w:rFonts w:ascii="Times New Roman" w:hAnsi="Times New Roman" w:cs="Times New Roman"/>
        </w:rPr>
      </w:pPr>
    </w:p>
    <w:p w14:paraId="36AD0CCF" w14:textId="77777777" w:rsidR="007059FC" w:rsidRPr="009963A1" w:rsidRDefault="007059FC" w:rsidP="007059FC">
      <w:pPr>
        <w:rPr>
          <w:rFonts w:ascii="Times New Roman" w:hAnsi="Times New Roman" w:cs="Times New Roman"/>
        </w:rPr>
      </w:pPr>
    </w:p>
    <w:p w14:paraId="638BBBF7" w14:textId="77777777" w:rsidR="001F1E1E" w:rsidRPr="009963A1" w:rsidRDefault="001F1E1E" w:rsidP="007059FC">
      <w:pPr>
        <w:autoSpaceDE w:val="0"/>
        <w:autoSpaceDN w:val="0"/>
        <w:adjustRightInd w:val="0"/>
        <w:rPr>
          <w:rFonts w:ascii="Times New Roman" w:hAnsi="Times New Roman" w:cs="Times New Roman"/>
          <w:color w:val="000000"/>
        </w:rPr>
      </w:pPr>
    </w:p>
    <w:p w14:paraId="02B6DE7B" w14:textId="77777777" w:rsidR="001F1E1E" w:rsidRPr="009963A1" w:rsidRDefault="001F1E1E" w:rsidP="007059FC">
      <w:pPr>
        <w:autoSpaceDE w:val="0"/>
        <w:autoSpaceDN w:val="0"/>
        <w:adjustRightInd w:val="0"/>
        <w:rPr>
          <w:rFonts w:ascii="Times New Roman" w:hAnsi="Times New Roman" w:cs="Times New Roman"/>
          <w:color w:val="000000"/>
        </w:rPr>
      </w:pPr>
    </w:p>
    <w:p w14:paraId="3C81CFCD" w14:textId="77777777" w:rsidR="001F1E1E" w:rsidRPr="009963A1" w:rsidRDefault="001F1E1E" w:rsidP="007059FC">
      <w:pPr>
        <w:autoSpaceDE w:val="0"/>
        <w:autoSpaceDN w:val="0"/>
        <w:adjustRightInd w:val="0"/>
        <w:rPr>
          <w:rFonts w:ascii="Times New Roman" w:hAnsi="Times New Roman" w:cs="Times New Roman"/>
          <w:color w:val="000000"/>
        </w:rPr>
      </w:pPr>
    </w:p>
    <w:p w14:paraId="5B0DD160" w14:textId="77777777" w:rsidR="0063501B" w:rsidRPr="009963A1" w:rsidRDefault="0063501B" w:rsidP="007059FC">
      <w:pPr>
        <w:autoSpaceDE w:val="0"/>
        <w:autoSpaceDN w:val="0"/>
        <w:adjustRightInd w:val="0"/>
        <w:rPr>
          <w:rFonts w:ascii="Times New Roman" w:hAnsi="Times New Roman" w:cs="Times New Roman"/>
          <w:color w:val="000000"/>
        </w:rPr>
      </w:pPr>
    </w:p>
    <w:p w14:paraId="3C2641EB" w14:textId="77777777" w:rsidR="0063501B" w:rsidRPr="009963A1" w:rsidRDefault="0063501B" w:rsidP="007059FC">
      <w:pPr>
        <w:autoSpaceDE w:val="0"/>
        <w:autoSpaceDN w:val="0"/>
        <w:adjustRightInd w:val="0"/>
        <w:rPr>
          <w:rFonts w:ascii="Times New Roman" w:hAnsi="Times New Roman" w:cs="Times New Roman"/>
          <w:color w:val="000000"/>
        </w:rPr>
      </w:pPr>
    </w:p>
    <w:p w14:paraId="7FEE90B8" w14:textId="77777777" w:rsidR="001F1E1E" w:rsidRPr="009963A1" w:rsidRDefault="001F1E1E" w:rsidP="001F1E1E">
      <w:pPr>
        <w:rPr>
          <w:rFonts w:ascii="Times New Roman" w:hAnsi="Times New Roman" w:cs="Times New Roman"/>
        </w:rPr>
      </w:pPr>
    </w:p>
    <w:p w14:paraId="7E32DD33" w14:textId="77777777" w:rsidR="001F1E1E" w:rsidRPr="009963A1" w:rsidRDefault="001F1E1E" w:rsidP="001F1E1E">
      <w:pPr>
        <w:rPr>
          <w:rFonts w:ascii="Times New Roman" w:hAnsi="Times New Roman" w:cs="Times New Roman"/>
        </w:rPr>
      </w:pPr>
    </w:p>
    <w:p w14:paraId="0696C04E" w14:textId="77777777" w:rsidR="007059FC" w:rsidRDefault="007059FC"/>
    <w:sectPr w:rsidR="007059FC" w:rsidSect="00931BF0">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F976D" w14:textId="77777777" w:rsidR="004D2883" w:rsidRDefault="004D2883" w:rsidP="00A94E2F">
      <w:r>
        <w:separator/>
      </w:r>
    </w:p>
  </w:endnote>
  <w:endnote w:type="continuationSeparator" w:id="0">
    <w:p w14:paraId="25D398BE" w14:textId="77777777" w:rsidR="004D2883" w:rsidRDefault="004D2883" w:rsidP="00A94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97394639"/>
      <w:docPartObj>
        <w:docPartGallery w:val="Page Numbers (Bottom of Page)"/>
        <w:docPartUnique/>
      </w:docPartObj>
    </w:sdtPr>
    <w:sdtContent>
      <w:p w14:paraId="29F3990A" w14:textId="7E02FDCD" w:rsidR="00A94E2F" w:rsidRDefault="00A94E2F" w:rsidP="004A30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D9D5FF" w14:textId="77777777" w:rsidR="00A94E2F" w:rsidRDefault="00A94E2F" w:rsidP="00A94E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02657735"/>
      <w:docPartObj>
        <w:docPartGallery w:val="Page Numbers (Bottom of Page)"/>
        <w:docPartUnique/>
      </w:docPartObj>
    </w:sdtPr>
    <w:sdtContent>
      <w:p w14:paraId="334B49B2" w14:textId="53D262D2" w:rsidR="00A94E2F" w:rsidRDefault="00A94E2F" w:rsidP="004A30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6BA473B" w14:textId="77777777" w:rsidR="00A94E2F" w:rsidRDefault="00A94E2F" w:rsidP="00A94E2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929CE8" w14:textId="77777777" w:rsidR="004D2883" w:rsidRDefault="004D2883" w:rsidP="00A94E2F">
      <w:r>
        <w:separator/>
      </w:r>
    </w:p>
  </w:footnote>
  <w:footnote w:type="continuationSeparator" w:id="0">
    <w:p w14:paraId="7227B360" w14:textId="77777777" w:rsidR="004D2883" w:rsidRDefault="004D2883" w:rsidP="00A94E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C95B27"/>
    <w:multiLevelType w:val="multilevel"/>
    <w:tmpl w:val="769C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7E7C05"/>
    <w:multiLevelType w:val="hybridMultilevel"/>
    <w:tmpl w:val="840C2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DD767D"/>
    <w:multiLevelType w:val="hybridMultilevel"/>
    <w:tmpl w:val="B494031C"/>
    <w:lvl w:ilvl="0" w:tplc="A53424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A80"/>
    <w:rsid w:val="00002A80"/>
    <w:rsid w:val="000072F5"/>
    <w:rsid w:val="00021EA4"/>
    <w:rsid w:val="00032AE2"/>
    <w:rsid w:val="00057617"/>
    <w:rsid w:val="00064434"/>
    <w:rsid w:val="000809E8"/>
    <w:rsid w:val="00097B63"/>
    <w:rsid w:val="000A2921"/>
    <w:rsid w:val="000A7D48"/>
    <w:rsid w:val="000D2F98"/>
    <w:rsid w:val="000D54FE"/>
    <w:rsid w:val="000E3D2E"/>
    <w:rsid w:val="00104CD0"/>
    <w:rsid w:val="00126A35"/>
    <w:rsid w:val="001550FA"/>
    <w:rsid w:val="00162493"/>
    <w:rsid w:val="0016264D"/>
    <w:rsid w:val="0017480D"/>
    <w:rsid w:val="00177055"/>
    <w:rsid w:val="00181AD0"/>
    <w:rsid w:val="00183832"/>
    <w:rsid w:val="001912A3"/>
    <w:rsid w:val="001A0E07"/>
    <w:rsid w:val="001A4DCB"/>
    <w:rsid w:val="001D52B5"/>
    <w:rsid w:val="001D5C76"/>
    <w:rsid w:val="001D5CB7"/>
    <w:rsid w:val="001E4951"/>
    <w:rsid w:val="001F1E1E"/>
    <w:rsid w:val="001F417C"/>
    <w:rsid w:val="00223E4E"/>
    <w:rsid w:val="0024684B"/>
    <w:rsid w:val="002634C7"/>
    <w:rsid w:val="002753A1"/>
    <w:rsid w:val="00286EBC"/>
    <w:rsid w:val="002A2F17"/>
    <w:rsid w:val="002A4DBB"/>
    <w:rsid w:val="002A55D6"/>
    <w:rsid w:val="002C6604"/>
    <w:rsid w:val="002E088A"/>
    <w:rsid w:val="002E2AB5"/>
    <w:rsid w:val="002F6CEF"/>
    <w:rsid w:val="002F79EE"/>
    <w:rsid w:val="003038A9"/>
    <w:rsid w:val="00316D39"/>
    <w:rsid w:val="00316F47"/>
    <w:rsid w:val="0032498A"/>
    <w:rsid w:val="00337CE1"/>
    <w:rsid w:val="003412D9"/>
    <w:rsid w:val="00353F18"/>
    <w:rsid w:val="00375CF7"/>
    <w:rsid w:val="0038033D"/>
    <w:rsid w:val="003B28A9"/>
    <w:rsid w:val="003B2E19"/>
    <w:rsid w:val="003B7156"/>
    <w:rsid w:val="003C6AB1"/>
    <w:rsid w:val="003E2D38"/>
    <w:rsid w:val="003E4CE0"/>
    <w:rsid w:val="003F1F95"/>
    <w:rsid w:val="003F7FCD"/>
    <w:rsid w:val="0040633E"/>
    <w:rsid w:val="00411B11"/>
    <w:rsid w:val="0042653E"/>
    <w:rsid w:val="00426E36"/>
    <w:rsid w:val="004377CD"/>
    <w:rsid w:val="00440042"/>
    <w:rsid w:val="00446642"/>
    <w:rsid w:val="00455383"/>
    <w:rsid w:val="00460BFE"/>
    <w:rsid w:val="0047418B"/>
    <w:rsid w:val="00480284"/>
    <w:rsid w:val="00482313"/>
    <w:rsid w:val="00482EEB"/>
    <w:rsid w:val="004833D3"/>
    <w:rsid w:val="004A13C0"/>
    <w:rsid w:val="004A2AE4"/>
    <w:rsid w:val="004C0764"/>
    <w:rsid w:val="004C3DBC"/>
    <w:rsid w:val="004C5AD7"/>
    <w:rsid w:val="004C638E"/>
    <w:rsid w:val="004D0FE7"/>
    <w:rsid w:val="004D2883"/>
    <w:rsid w:val="004D4EB9"/>
    <w:rsid w:val="005003E4"/>
    <w:rsid w:val="00520A20"/>
    <w:rsid w:val="0053534C"/>
    <w:rsid w:val="005414AE"/>
    <w:rsid w:val="00542A98"/>
    <w:rsid w:val="00564E09"/>
    <w:rsid w:val="00566902"/>
    <w:rsid w:val="00573F1F"/>
    <w:rsid w:val="005B1D21"/>
    <w:rsid w:val="005B5267"/>
    <w:rsid w:val="005D7050"/>
    <w:rsid w:val="005E17C0"/>
    <w:rsid w:val="005E59B3"/>
    <w:rsid w:val="005F58F6"/>
    <w:rsid w:val="00607654"/>
    <w:rsid w:val="00612261"/>
    <w:rsid w:val="00614392"/>
    <w:rsid w:val="00616B9E"/>
    <w:rsid w:val="00620726"/>
    <w:rsid w:val="0062086A"/>
    <w:rsid w:val="0062339D"/>
    <w:rsid w:val="006318C3"/>
    <w:rsid w:val="0063501B"/>
    <w:rsid w:val="006408A5"/>
    <w:rsid w:val="006475D3"/>
    <w:rsid w:val="00655160"/>
    <w:rsid w:val="00686379"/>
    <w:rsid w:val="00693CD5"/>
    <w:rsid w:val="006B268C"/>
    <w:rsid w:val="006C0850"/>
    <w:rsid w:val="006C3C9E"/>
    <w:rsid w:val="006C408D"/>
    <w:rsid w:val="006F233F"/>
    <w:rsid w:val="007027C2"/>
    <w:rsid w:val="007059FC"/>
    <w:rsid w:val="00707126"/>
    <w:rsid w:val="00713096"/>
    <w:rsid w:val="00715C30"/>
    <w:rsid w:val="00736844"/>
    <w:rsid w:val="00766C1B"/>
    <w:rsid w:val="00771F3A"/>
    <w:rsid w:val="007806A9"/>
    <w:rsid w:val="007865EE"/>
    <w:rsid w:val="00797DD4"/>
    <w:rsid w:val="007A4A83"/>
    <w:rsid w:val="007B283C"/>
    <w:rsid w:val="007C62F2"/>
    <w:rsid w:val="007F6FFF"/>
    <w:rsid w:val="008010C6"/>
    <w:rsid w:val="00812A4D"/>
    <w:rsid w:val="008163B4"/>
    <w:rsid w:val="00816707"/>
    <w:rsid w:val="0082464F"/>
    <w:rsid w:val="008462BD"/>
    <w:rsid w:val="008542B0"/>
    <w:rsid w:val="008623C8"/>
    <w:rsid w:val="00865ABA"/>
    <w:rsid w:val="00870D58"/>
    <w:rsid w:val="00871DBE"/>
    <w:rsid w:val="008745A9"/>
    <w:rsid w:val="00886301"/>
    <w:rsid w:val="008A09A6"/>
    <w:rsid w:val="008C75EA"/>
    <w:rsid w:val="008F3C08"/>
    <w:rsid w:val="008F7F03"/>
    <w:rsid w:val="009146DC"/>
    <w:rsid w:val="00921AAC"/>
    <w:rsid w:val="00921C80"/>
    <w:rsid w:val="0092306F"/>
    <w:rsid w:val="00924DBF"/>
    <w:rsid w:val="00931BF0"/>
    <w:rsid w:val="009602B3"/>
    <w:rsid w:val="00960E81"/>
    <w:rsid w:val="009622F9"/>
    <w:rsid w:val="00962B73"/>
    <w:rsid w:val="00966E96"/>
    <w:rsid w:val="009739F6"/>
    <w:rsid w:val="00981F7C"/>
    <w:rsid w:val="00984CA9"/>
    <w:rsid w:val="0099445B"/>
    <w:rsid w:val="009954AA"/>
    <w:rsid w:val="009963A1"/>
    <w:rsid w:val="009B2424"/>
    <w:rsid w:val="009C189D"/>
    <w:rsid w:val="009C6360"/>
    <w:rsid w:val="009D06BF"/>
    <w:rsid w:val="009E4E5C"/>
    <w:rsid w:val="009F5DC5"/>
    <w:rsid w:val="00A00559"/>
    <w:rsid w:val="00A046D3"/>
    <w:rsid w:val="00A15001"/>
    <w:rsid w:val="00A24BA6"/>
    <w:rsid w:val="00A41B99"/>
    <w:rsid w:val="00A41BCF"/>
    <w:rsid w:val="00A44E34"/>
    <w:rsid w:val="00A52101"/>
    <w:rsid w:val="00A5381E"/>
    <w:rsid w:val="00A64403"/>
    <w:rsid w:val="00A87A6B"/>
    <w:rsid w:val="00A92E35"/>
    <w:rsid w:val="00A94E2F"/>
    <w:rsid w:val="00A95CB0"/>
    <w:rsid w:val="00AA34E0"/>
    <w:rsid w:val="00AD20F2"/>
    <w:rsid w:val="00AD3C72"/>
    <w:rsid w:val="00AD7DCB"/>
    <w:rsid w:val="00B154C1"/>
    <w:rsid w:val="00B2127A"/>
    <w:rsid w:val="00B2785B"/>
    <w:rsid w:val="00B55FD7"/>
    <w:rsid w:val="00B62CD9"/>
    <w:rsid w:val="00B81386"/>
    <w:rsid w:val="00B91509"/>
    <w:rsid w:val="00B940E9"/>
    <w:rsid w:val="00BA7E4F"/>
    <w:rsid w:val="00BE2BE2"/>
    <w:rsid w:val="00BF7E9C"/>
    <w:rsid w:val="00C36BDD"/>
    <w:rsid w:val="00C41D00"/>
    <w:rsid w:val="00C624B6"/>
    <w:rsid w:val="00C718C0"/>
    <w:rsid w:val="00C7460F"/>
    <w:rsid w:val="00C7663B"/>
    <w:rsid w:val="00CA3586"/>
    <w:rsid w:val="00CA7842"/>
    <w:rsid w:val="00CB2D1A"/>
    <w:rsid w:val="00CC12FC"/>
    <w:rsid w:val="00CC6AA7"/>
    <w:rsid w:val="00CD02B5"/>
    <w:rsid w:val="00CD5E99"/>
    <w:rsid w:val="00CD6765"/>
    <w:rsid w:val="00CD697E"/>
    <w:rsid w:val="00CD6AA6"/>
    <w:rsid w:val="00CE1C79"/>
    <w:rsid w:val="00CF4838"/>
    <w:rsid w:val="00D0023D"/>
    <w:rsid w:val="00D23AD9"/>
    <w:rsid w:val="00D24DEB"/>
    <w:rsid w:val="00D573D8"/>
    <w:rsid w:val="00D57510"/>
    <w:rsid w:val="00D73F0B"/>
    <w:rsid w:val="00D87A04"/>
    <w:rsid w:val="00D96105"/>
    <w:rsid w:val="00DA0452"/>
    <w:rsid w:val="00DA2C60"/>
    <w:rsid w:val="00DC3B4A"/>
    <w:rsid w:val="00DC6F6C"/>
    <w:rsid w:val="00DD1096"/>
    <w:rsid w:val="00DF3FC6"/>
    <w:rsid w:val="00E139F7"/>
    <w:rsid w:val="00E242B8"/>
    <w:rsid w:val="00E441F0"/>
    <w:rsid w:val="00E74A67"/>
    <w:rsid w:val="00E94880"/>
    <w:rsid w:val="00EA2A97"/>
    <w:rsid w:val="00ED58D6"/>
    <w:rsid w:val="00EF0033"/>
    <w:rsid w:val="00F14871"/>
    <w:rsid w:val="00F16458"/>
    <w:rsid w:val="00F20497"/>
    <w:rsid w:val="00F2370A"/>
    <w:rsid w:val="00F32C7C"/>
    <w:rsid w:val="00F66F2A"/>
    <w:rsid w:val="00F73DC8"/>
    <w:rsid w:val="00F76DB2"/>
    <w:rsid w:val="00F9346D"/>
    <w:rsid w:val="00FA0661"/>
    <w:rsid w:val="00FA3879"/>
    <w:rsid w:val="00FB0001"/>
    <w:rsid w:val="00FB539E"/>
    <w:rsid w:val="00FB54CA"/>
    <w:rsid w:val="00FD001D"/>
    <w:rsid w:val="00FD47C8"/>
    <w:rsid w:val="00FE74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FD5EF3C"/>
  <w15:chartTrackingRefBased/>
  <w15:docId w15:val="{E210B72F-5CBD-5C41-A568-09B743166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A80"/>
    <w:rPr>
      <w:color w:val="0563C1" w:themeColor="hyperlink"/>
      <w:u w:val="single"/>
    </w:rPr>
  </w:style>
  <w:style w:type="character" w:customStyle="1" w:styleId="apple-converted-space">
    <w:name w:val="apple-converted-space"/>
    <w:basedOn w:val="DefaultParagraphFont"/>
    <w:rsid w:val="00002A80"/>
  </w:style>
  <w:style w:type="paragraph" w:customStyle="1" w:styleId="xmsonormal">
    <w:name w:val="xmsonormal"/>
    <w:basedOn w:val="Normal"/>
    <w:rsid w:val="00002A80"/>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9445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445B"/>
    <w:rPr>
      <w:rFonts w:ascii="Times New Roman" w:hAnsi="Times New Roman" w:cs="Times New Roman"/>
      <w:sz w:val="18"/>
      <w:szCs w:val="18"/>
    </w:rPr>
  </w:style>
  <w:style w:type="paragraph" w:styleId="Revision">
    <w:name w:val="Revision"/>
    <w:hidden/>
    <w:uiPriority w:val="99"/>
    <w:semiHidden/>
    <w:rsid w:val="0099445B"/>
  </w:style>
  <w:style w:type="character" w:styleId="Emphasis">
    <w:name w:val="Emphasis"/>
    <w:basedOn w:val="DefaultParagraphFont"/>
    <w:uiPriority w:val="20"/>
    <w:qFormat/>
    <w:rsid w:val="00C718C0"/>
    <w:rPr>
      <w:i/>
      <w:iCs/>
    </w:rPr>
  </w:style>
  <w:style w:type="paragraph" w:styleId="ListParagraph">
    <w:name w:val="List Paragraph"/>
    <w:basedOn w:val="Normal"/>
    <w:uiPriority w:val="34"/>
    <w:qFormat/>
    <w:rsid w:val="007059FC"/>
    <w:pPr>
      <w:ind w:left="720"/>
      <w:contextualSpacing/>
    </w:pPr>
  </w:style>
  <w:style w:type="character" w:styleId="CommentReference">
    <w:name w:val="annotation reference"/>
    <w:basedOn w:val="DefaultParagraphFont"/>
    <w:uiPriority w:val="99"/>
    <w:semiHidden/>
    <w:unhideWhenUsed/>
    <w:rsid w:val="001F417C"/>
    <w:rPr>
      <w:sz w:val="16"/>
      <w:szCs w:val="16"/>
    </w:rPr>
  </w:style>
  <w:style w:type="paragraph" w:styleId="CommentText">
    <w:name w:val="annotation text"/>
    <w:basedOn w:val="Normal"/>
    <w:link w:val="CommentTextChar"/>
    <w:uiPriority w:val="99"/>
    <w:semiHidden/>
    <w:unhideWhenUsed/>
    <w:rsid w:val="001F417C"/>
    <w:rPr>
      <w:sz w:val="20"/>
      <w:szCs w:val="20"/>
    </w:rPr>
  </w:style>
  <w:style w:type="character" w:customStyle="1" w:styleId="CommentTextChar">
    <w:name w:val="Comment Text Char"/>
    <w:basedOn w:val="DefaultParagraphFont"/>
    <w:link w:val="CommentText"/>
    <w:uiPriority w:val="99"/>
    <w:semiHidden/>
    <w:rsid w:val="001F417C"/>
    <w:rPr>
      <w:sz w:val="20"/>
      <w:szCs w:val="20"/>
    </w:rPr>
  </w:style>
  <w:style w:type="table" w:styleId="TableGrid">
    <w:name w:val="Table Grid"/>
    <w:basedOn w:val="TableNormal"/>
    <w:uiPriority w:val="39"/>
    <w:rsid w:val="001F4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1F41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1F417C"/>
    <w:pPr>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B154C1"/>
    <w:rPr>
      <w:color w:val="954F72" w:themeColor="followedHyperlink"/>
      <w:u w:val="single"/>
    </w:rPr>
  </w:style>
  <w:style w:type="paragraph" w:styleId="Footer">
    <w:name w:val="footer"/>
    <w:basedOn w:val="Normal"/>
    <w:link w:val="FooterChar"/>
    <w:uiPriority w:val="99"/>
    <w:unhideWhenUsed/>
    <w:rsid w:val="00A94E2F"/>
    <w:pPr>
      <w:tabs>
        <w:tab w:val="center" w:pos="4680"/>
        <w:tab w:val="right" w:pos="9360"/>
      </w:tabs>
    </w:pPr>
  </w:style>
  <w:style w:type="character" w:customStyle="1" w:styleId="FooterChar">
    <w:name w:val="Footer Char"/>
    <w:basedOn w:val="DefaultParagraphFont"/>
    <w:link w:val="Footer"/>
    <w:uiPriority w:val="99"/>
    <w:rsid w:val="00A94E2F"/>
  </w:style>
  <w:style w:type="character" w:styleId="PageNumber">
    <w:name w:val="page number"/>
    <w:basedOn w:val="DefaultParagraphFont"/>
    <w:uiPriority w:val="99"/>
    <w:semiHidden/>
    <w:unhideWhenUsed/>
    <w:rsid w:val="00A94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108131">
      <w:bodyDiv w:val="1"/>
      <w:marLeft w:val="0"/>
      <w:marRight w:val="0"/>
      <w:marTop w:val="0"/>
      <w:marBottom w:val="0"/>
      <w:divBdr>
        <w:top w:val="none" w:sz="0" w:space="0" w:color="auto"/>
        <w:left w:val="none" w:sz="0" w:space="0" w:color="auto"/>
        <w:bottom w:val="none" w:sz="0" w:space="0" w:color="auto"/>
        <w:right w:val="none" w:sz="0" w:space="0" w:color="auto"/>
      </w:divBdr>
    </w:div>
    <w:div w:id="759331847">
      <w:bodyDiv w:val="1"/>
      <w:marLeft w:val="0"/>
      <w:marRight w:val="0"/>
      <w:marTop w:val="0"/>
      <w:marBottom w:val="0"/>
      <w:divBdr>
        <w:top w:val="none" w:sz="0" w:space="0" w:color="auto"/>
        <w:left w:val="none" w:sz="0" w:space="0" w:color="auto"/>
        <w:bottom w:val="none" w:sz="0" w:space="0" w:color="auto"/>
        <w:right w:val="none" w:sz="0" w:space="0" w:color="auto"/>
      </w:divBdr>
    </w:div>
    <w:div w:id="103634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1062</Words>
  <Characters>6057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Asha Devereaux</dc:creator>
  <cp:keywords/>
  <dc:description/>
  <cp:lastModifiedBy>Asha Devereaux</cp:lastModifiedBy>
  <cp:revision>7</cp:revision>
  <dcterms:created xsi:type="dcterms:W3CDTF">2021-07-27T02:52:00Z</dcterms:created>
  <dcterms:modified xsi:type="dcterms:W3CDTF">2021-07-27T03:28:00Z</dcterms:modified>
</cp:coreProperties>
</file>