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7F66B" w14:textId="77777777" w:rsidR="006A619C" w:rsidRPr="00153E59" w:rsidRDefault="006A619C" w:rsidP="00153E59">
      <w:pPr>
        <w:spacing w:line="520" w:lineRule="exact"/>
        <w:rPr>
          <w:rFonts w:ascii="Times New Roman" w:hAnsi="Times New Roman" w:cs="Times New Roman"/>
          <w:b/>
          <w:bCs/>
          <w:sz w:val="24"/>
          <w:szCs w:val="24"/>
        </w:rPr>
      </w:pPr>
      <w:r w:rsidRPr="00153E59">
        <w:rPr>
          <w:rFonts w:ascii="Times New Roman" w:hAnsi="Times New Roman" w:cs="Times New Roman"/>
          <w:b/>
          <w:bCs/>
          <w:sz w:val="24"/>
          <w:szCs w:val="24"/>
        </w:rPr>
        <w:t>Supplement 1</w:t>
      </w:r>
    </w:p>
    <w:p w14:paraId="623543A1" w14:textId="77777777" w:rsidR="006A619C" w:rsidRPr="00153E59" w:rsidRDefault="006A619C" w:rsidP="00153E59">
      <w:pPr>
        <w:spacing w:line="520" w:lineRule="exact"/>
        <w:rPr>
          <w:rFonts w:ascii="Times New Roman" w:hAnsi="Times New Roman" w:cs="Times New Roman"/>
          <w:sz w:val="24"/>
          <w:szCs w:val="24"/>
        </w:rPr>
      </w:pPr>
    </w:p>
    <w:p w14:paraId="307072BF" w14:textId="1AC1EB34" w:rsidR="006A619C" w:rsidRPr="00153E59" w:rsidRDefault="006A619C" w:rsidP="00153E59">
      <w:pPr>
        <w:spacing w:line="520" w:lineRule="exact"/>
        <w:ind w:firstLine="840"/>
        <w:rPr>
          <w:rFonts w:ascii="Times New Roman" w:hAnsi="Times New Roman" w:cs="Times New Roman"/>
          <w:sz w:val="24"/>
          <w:szCs w:val="24"/>
        </w:rPr>
      </w:pPr>
      <w:r w:rsidRPr="00153E59">
        <w:rPr>
          <w:rFonts w:ascii="Times New Roman" w:hAnsi="Times New Roman" w:cs="Times New Roman"/>
          <w:sz w:val="24"/>
          <w:szCs w:val="24"/>
        </w:rPr>
        <w:t xml:space="preserve">We describe the effects of joint city-wide disaster drills and associated collaborations based on </w:t>
      </w:r>
      <w:r>
        <w:rPr>
          <w:rFonts w:ascii="Times New Roman" w:eastAsia="游明朝" w:hAnsi="Times New Roman" w:cs="Times New Roman"/>
          <w:sz w:val="24"/>
          <w:szCs w:val="24"/>
        </w:rPr>
        <w:t>the collective opinions of the authors (members of the Minato City Coordination C</w:t>
      </w:r>
      <w:r w:rsidRPr="00153E59">
        <w:rPr>
          <w:rFonts w:ascii="Times New Roman" w:hAnsi="Times New Roman" w:cs="Times New Roman"/>
          <w:sz w:val="24"/>
          <w:szCs w:val="24"/>
        </w:rPr>
        <w:t xml:space="preserve">ouncil for Disaster Medical Care, hereafter referred to as </w:t>
      </w:r>
      <w:r>
        <w:rPr>
          <w:rFonts w:ascii="Times New Roman" w:eastAsia="游明朝" w:hAnsi="Times New Roman" w:cs="Times New Roman"/>
          <w:sz w:val="24"/>
          <w:szCs w:val="24"/>
        </w:rPr>
        <w:t xml:space="preserve">the coordination committee). </w:t>
      </w:r>
      <w:r w:rsidRPr="00153E59">
        <w:rPr>
          <w:rFonts w:ascii="Times New Roman" w:hAnsi="Times New Roman" w:cs="Times New Roman"/>
          <w:sz w:val="24"/>
          <w:szCs w:val="24"/>
        </w:rPr>
        <w:t>To achieve consensus regarding the effects, the members followed the three-round Delphi survey procedure</w:t>
      </w:r>
      <w:r>
        <w:rPr>
          <w:rFonts w:ascii="Times New Roman" w:hAnsi="Times New Roman" w:cs="Times New Roman"/>
          <w:sz w:val="24"/>
          <w:szCs w:val="24"/>
        </w:rPr>
        <w:t>.</w:t>
      </w:r>
      <w:r w:rsidRPr="00C6159B">
        <w:rPr>
          <w:rFonts w:ascii="Times New Roman" w:hAnsi="Times New Roman" w:cs="Times New Roman"/>
          <w:noProof/>
          <w:sz w:val="24"/>
          <w:szCs w:val="24"/>
          <w:vertAlign w:val="superscript"/>
        </w:rPr>
        <w:t>1</w:t>
      </w:r>
      <w:r w:rsidRPr="00153E59">
        <w:rPr>
          <w:rFonts w:ascii="Times New Roman" w:hAnsi="Times New Roman" w:cs="Times New Roman"/>
          <w:sz w:val="24"/>
          <w:szCs w:val="24"/>
        </w:rPr>
        <w:t xml:space="preserve"> In the first round, they independently generated as many descriptions of the effects as possible. One of the authors (SN) consistently summarized the collected descriptions so that specific descriptions were categorized and described in generic ways. For example, “the participants could learn the procedures of food delivery without electricity” and “the participants could learn the benefits of doing activities in pairs in disaster situations” were combined into a category of “the participants could learn and become familiar with the action plans in disaster management.” In the second round, the members rated the importance of the descriptions (effects of the activities) using a 5-point scale ranging from 1 (very low) to 5 (very high</w:t>
      </w:r>
      <w:proofErr w:type="gramStart"/>
      <w:r w:rsidRPr="00153E59">
        <w:rPr>
          <w:rFonts w:ascii="Times New Roman" w:hAnsi="Times New Roman" w:cs="Times New Roman"/>
          <w:sz w:val="24"/>
          <w:szCs w:val="24"/>
        </w:rPr>
        <w:t>), and</w:t>
      </w:r>
      <w:proofErr w:type="gramEnd"/>
      <w:r w:rsidRPr="00153E59">
        <w:rPr>
          <w:rFonts w:ascii="Times New Roman" w:hAnsi="Times New Roman" w:cs="Times New Roman"/>
          <w:sz w:val="24"/>
          <w:szCs w:val="24"/>
        </w:rPr>
        <w:t xml:space="preserve"> indicated additional effects that </w:t>
      </w:r>
      <w:r>
        <w:rPr>
          <w:rFonts w:ascii="Times New Roman" w:hAnsi="Times New Roman" w:cs="Times New Roman"/>
          <w:sz w:val="24"/>
          <w:szCs w:val="24"/>
        </w:rPr>
        <w:t>were not</w:t>
      </w:r>
      <w:r w:rsidRPr="00153E59">
        <w:rPr>
          <w:rFonts w:ascii="Times New Roman" w:hAnsi="Times New Roman" w:cs="Times New Roman"/>
          <w:sz w:val="24"/>
          <w:szCs w:val="24"/>
        </w:rPr>
        <w:t xml:space="preserve"> described in the first round. Third, the members received the group scores of their ratings and changed their own ratings reflecting the scores as they </w:t>
      </w:r>
      <w:r>
        <w:rPr>
          <w:rFonts w:ascii="Times New Roman" w:hAnsi="Times New Roman" w:cs="Times New Roman" w:hint="eastAsia"/>
          <w:sz w:val="24"/>
          <w:szCs w:val="24"/>
        </w:rPr>
        <w:t>s</w:t>
      </w:r>
      <w:r>
        <w:rPr>
          <w:rFonts w:ascii="Times New Roman" w:hAnsi="Times New Roman" w:cs="Times New Roman"/>
          <w:sz w:val="24"/>
          <w:szCs w:val="24"/>
        </w:rPr>
        <w:t>aw fit</w:t>
      </w:r>
      <w:r w:rsidRPr="00153E59">
        <w:rPr>
          <w:rFonts w:ascii="Times New Roman" w:hAnsi="Times New Roman" w:cs="Times New Roman"/>
          <w:sz w:val="24"/>
          <w:szCs w:val="24"/>
        </w:rPr>
        <w:t xml:space="preserve"> and</w:t>
      </w:r>
      <w:r>
        <w:rPr>
          <w:rFonts w:ascii="Times New Roman" w:eastAsia="游明朝" w:hAnsi="Times New Roman" w:cs="Times New Roman"/>
          <w:sz w:val="24"/>
          <w:szCs w:val="24"/>
        </w:rPr>
        <w:t xml:space="preserve"> rated the added effect items</w:t>
      </w:r>
      <w:r w:rsidRPr="00153E59">
        <w:rPr>
          <w:rFonts w:ascii="Times New Roman" w:hAnsi="Times New Roman" w:cs="Times New Roman"/>
          <w:sz w:val="24"/>
          <w:szCs w:val="24"/>
        </w:rPr>
        <w:t xml:space="preserve">. Mean scores were </w:t>
      </w:r>
      <w:r>
        <w:rPr>
          <w:rFonts w:ascii="Times New Roman" w:hAnsi="Times New Roman" w:cs="Times New Roman"/>
          <w:sz w:val="24"/>
          <w:szCs w:val="24"/>
        </w:rPr>
        <w:t xml:space="preserve">then </w:t>
      </w:r>
      <w:r w:rsidRPr="00153E59">
        <w:rPr>
          <w:rFonts w:ascii="Times New Roman" w:hAnsi="Times New Roman" w:cs="Times New Roman"/>
          <w:sz w:val="24"/>
          <w:szCs w:val="24"/>
        </w:rPr>
        <w:t xml:space="preserve">calculated. </w:t>
      </w:r>
    </w:p>
    <w:p w14:paraId="64EEDB82" w14:textId="19C4F4E9" w:rsidR="006A619C" w:rsidRDefault="006A619C" w:rsidP="006A619C">
      <w:pPr>
        <w:spacing w:line="480" w:lineRule="auto"/>
        <w:rPr>
          <w:rFonts w:ascii="Times New Roman" w:hAnsi="Times New Roman" w:cs="Times New Roman"/>
          <w:sz w:val="24"/>
          <w:szCs w:val="24"/>
        </w:rPr>
      </w:pPr>
      <w:r w:rsidRPr="00153E59">
        <w:rPr>
          <w:rFonts w:ascii="Times New Roman" w:hAnsi="Times New Roman" w:cs="Times New Roman"/>
          <w:sz w:val="24"/>
          <w:szCs w:val="24"/>
        </w:rPr>
        <w:tab/>
        <w:t xml:space="preserve">We distributed the questionnaire for the Delphi survey to 17 members of the Council (representatives from 12 hospitals, public health </w:t>
      </w:r>
      <w:proofErr w:type="spellStart"/>
      <w:r w:rsidRPr="00153E59">
        <w:rPr>
          <w:rFonts w:ascii="Times New Roman" w:hAnsi="Times New Roman" w:cs="Times New Roman"/>
          <w:sz w:val="24"/>
          <w:szCs w:val="24"/>
        </w:rPr>
        <w:t>centers</w:t>
      </w:r>
      <w:proofErr w:type="spellEnd"/>
      <w:r w:rsidRPr="00153E59">
        <w:rPr>
          <w:rFonts w:ascii="Times New Roman" w:hAnsi="Times New Roman" w:cs="Times New Roman"/>
          <w:sz w:val="24"/>
          <w:szCs w:val="24"/>
        </w:rPr>
        <w:t>, and four health profession</w:t>
      </w:r>
      <w:r>
        <w:rPr>
          <w:rFonts w:ascii="Times New Roman" w:hAnsi="Times New Roman" w:cs="Times New Roman"/>
          <w:sz w:val="24"/>
          <w:szCs w:val="24"/>
        </w:rPr>
        <w:t>al</w:t>
      </w:r>
      <w:r w:rsidRPr="00153E59">
        <w:rPr>
          <w:rFonts w:ascii="Times New Roman" w:hAnsi="Times New Roman" w:cs="Times New Roman"/>
          <w:sz w:val="24"/>
          <w:szCs w:val="24"/>
        </w:rPr>
        <w:t xml:space="preserve"> associations). Of them, 12 representatives returned the first questionnaire, and 14 returned the second and third questionnaires. </w:t>
      </w:r>
    </w:p>
    <w:p w14:paraId="33F4402C" w14:textId="77777777" w:rsidR="006A619C" w:rsidRPr="00153E59" w:rsidRDefault="006A619C" w:rsidP="006A619C">
      <w:pPr>
        <w:spacing w:line="480" w:lineRule="auto"/>
        <w:rPr>
          <w:rFonts w:ascii="Times New Roman" w:hAnsi="Times New Roman" w:cs="Times New Roman"/>
          <w:sz w:val="24"/>
          <w:szCs w:val="24"/>
        </w:rPr>
      </w:pPr>
    </w:p>
    <w:p w14:paraId="3A67E710" w14:textId="77777777" w:rsidR="006A619C" w:rsidRPr="00C6159B" w:rsidRDefault="006A619C" w:rsidP="006A619C">
      <w:pPr>
        <w:pStyle w:val="EndNoteBibliography"/>
        <w:spacing w:line="480" w:lineRule="auto"/>
        <w:ind w:left="720" w:hanging="720"/>
      </w:pPr>
      <w:r w:rsidRPr="00C6159B">
        <w:rPr>
          <w:b/>
        </w:rPr>
        <w:t>1.</w:t>
      </w:r>
      <w:r w:rsidRPr="00C6159B">
        <w:tab/>
      </w:r>
      <w:r w:rsidRPr="006A619C">
        <w:rPr>
          <w:rFonts w:ascii="Times New Roman" w:hAnsi="Times New Roman" w:cs="Times New Roman"/>
          <w:sz w:val="24"/>
          <w:szCs w:val="24"/>
        </w:rPr>
        <w:t xml:space="preserve">Keeney S, Hasson F, H M. </w:t>
      </w:r>
      <w:r w:rsidRPr="006A619C">
        <w:rPr>
          <w:rFonts w:ascii="Times New Roman" w:hAnsi="Times New Roman" w:cs="Times New Roman"/>
          <w:i/>
          <w:sz w:val="24"/>
          <w:szCs w:val="24"/>
        </w:rPr>
        <w:t>The Delphi technique in nursing and health research</w:t>
      </w:r>
      <w:r w:rsidRPr="006A619C">
        <w:rPr>
          <w:rFonts w:ascii="Times New Roman" w:hAnsi="Times New Roman" w:cs="Times New Roman"/>
          <w:sz w:val="24"/>
          <w:szCs w:val="24"/>
        </w:rPr>
        <w:t>. Oxford, UK: John Wiley &amp; Sons; 2011.</w:t>
      </w:r>
    </w:p>
    <w:p w14:paraId="47A9FE56" w14:textId="77777777" w:rsidR="00001296" w:rsidRDefault="00001296"/>
    <w:sectPr w:rsidR="00001296" w:rsidSect="006A619C">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A619C"/>
    <w:rsid w:val="00001296"/>
    <w:rsid w:val="00436F70"/>
    <w:rsid w:val="006A6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B5CDF"/>
  <w15:chartTrackingRefBased/>
  <w15:docId w15:val="{CEF0634E-1F9A-4C83-8494-6CE1AD3F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19C"/>
    <w:rPr>
      <w:lang w:val="en-GB"/>
    </w:rPr>
  </w:style>
  <w:style w:type="character" w:default="1" w:styleId="a0">
    <w:name w:val="Default Paragraph Font"/>
    <w:uiPriority w:val="1"/>
    <w:semiHidden/>
    <w:unhideWhenUsed/>
    <w:rsid w:val="006A619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A619C"/>
  </w:style>
  <w:style w:type="paragraph" w:customStyle="1" w:styleId="EndNoteBibliographyTitle">
    <w:name w:val="EndNote Bibliography Title"/>
    <w:basedOn w:val="a"/>
    <w:link w:val="EndNoteBibliographyTitle0"/>
    <w:rsid w:val="006A619C"/>
    <w:pPr>
      <w:jc w:val="center"/>
    </w:pPr>
    <w:rPr>
      <w:rFonts w:ascii="游明朝" w:eastAsia="游明朝" w:hAnsi="游明朝"/>
      <w:noProof/>
      <w:sz w:val="20"/>
    </w:rPr>
  </w:style>
  <w:style w:type="character" w:customStyle="1" w:styleId="EndNoteBibliographyTitle0">
    <w:name w:val="EndNote Bibliography Title (文字)"/>
    <w:basedOn w:val="a0"/>
    <w:link w:val="EndNoteBibliographyTitle"/>
    <w:rsid w:val="006A619C"/>
    <w:rPr>
      <w:rFonts w:ascii="游明朝" w:eastAsia="游明朝" w:hAnsi="游明朝"/>
      <w:noProof/>
      <w:sz w:val="20"/>
      <w:lang w:val="en-GB"/>
    </w:rPr>
  </w:style>
  <w:style w:type="paragraph" w:customStyle="1" w:styleId="EndNoteBibliography">
    <w:name w:val="EndNote Bibliography"/>
    <w:basedOn w:val="a"/>
    <w:link w:val="EndNoteBibliography0"/>
    <w:rsid w:val="006A619C"/>
    <w:rPr>
      <w:rFonts w:ascii="游明朝" w:eastAsia="游明朝" w:hAnsi="游明朝"/>
      <w:noProof/>
      <w:sz w:val="20"/>
    </w:rPr>
  </w:style>
  <w:style w:type="character" w:customStyle="1" w:styleId="EndNoteBibliography0">
    <w:name w:val="EndNote Bibliography (文字)"/>
    <w:basedOn w:val="a0"/>
    <w:link w:val="EndNoteBibliography"/>
    <w:rsid w:val="006A619C"/>
    <w:rPr>
      <w:rFonts w:ascii="游明朝" w:eastAsia="游明朝" w:hAnsi="游明朝"/>
      <w:noProof/>
      <w:sz w:val="20"/>
      <w:lang w:val="en-GB"/>
    </w:rPr>
  </w:style>
  <w:style w:type="paragraph" w:styleId="a3">
    <w:name w:val="header"/>
    <w:basedOn w:val="a"/>
    <w:link w:val="a4"/>
    <w:uiPriority w:val="99"/>
    <w:unhideWhenUsed/>
    <w:rsid w:val="006A619C"/>
    <w:pPr>
      <w:tabs>
        <w:tab w:val="center" w:pos="4252"/>
        <w:tab w:val="right" w:pos="8504"/>
      </w:tabs>
      <w:snapToGrid w:val="0"/>
    </w:pPr>
  </w:style>
  <w:style w:type="character" w:customStyle="1" w:styleId="a4">
    <w:name w:val="ヘッダー (文字)"/>
    <w:basedOn w:val="a0"/>
    <w:link w:val="a3"/>
    <w:uiPriority w:val="99"/>
    <w:rsid w:val="006A619C"/>
    <w:rPr>
      <w:lang w:val="en-GB"/>
    </w:rPr>
  </w:style>
  <w:style w:type="paragraph" w:styleId="a5">
    <w:name w:val="footer"/>
    <w:basedOn w:val="a"/>
    <w:link w:val="a6"/>
    <w:uiPriority w:val="99"/>
    <w:unhideWhenUsed/>
    <w:rsid w:val="006A619C"/>
    <w:pPr>
      <w:tabs>
        <w:tab w:val="center" w:pos="4252"/>
        <w:tab w:val="right" w:pos="8504"/>
      </w:tabs>
      <w:snapToGrid w:val="0"/>
    </w:pPr>
  </w:style>
  <w:style w:type="character" w:customStyle="1" w:styleId="a6">
    <w:name w:val="フッター (文字)"/>
    <w:basedOn w:val="a0"/>
    <w:link w:val="a5"/>
    <w:uiPriority w:val="99"/>
    <w:rsid w:val="006A619C"/>
    <w:rPr>
      <w:lang w:val="en-GB"/>
    </w:rPr>
  </w:style>
  <w:style w:type="character" w:styleId="a7">
    <w:name w:val="annotation reference"/>
    <w:basedOn w:val="a0"/>
    <w:uiPriority w:val="99"/>
    <w:semiHidden/>
    <w:unhideWhenUsed/>
    <w:rsid w:val="006A619C"/>
    <w:rPr>
      <w:sz w:val="16"/>
      <w:szCs w:val="16"/>
    </w:rPr>
  </w:style>
  <w:style w:type="paragraph" w:styleId="a8">
    <w:name w:val="annotation text"/>
    <w:basedOn w:val="a"/>
    <w:link w:val="a9"/>
    <w:uiPriority w:val="99"/>
    <w:semiHidden/>
    <w:unhideWhenUsed/>
    <w:rsid w:val="006A619C"/>
    <w:rPr>
      <w:sz w:val="20"/>
      <w:szCs w:val="20"/>
    </w:rPr>
  </w:style>
  <w:style w:type="character" w:customStyle="1" w:styleId="a9">
    <w:name w:val="コメント文字列 (文字)"/>
    <w:basedOn w:val="a0"/>
    <w:link w:val="a8"/>
    <w:uiPriority w:val="99"/>
    <w:semiHidden/>
    <w:rsid w:val="006A619C"/>
    <w:rPr>
      <w:sz w:val="20"/>
      <w:szCs w:val="20"/>
      <w:lang w:val="en-GB"/>
    </w:rPr>
  </w:style>
  <w:style w:type="paragraph" w:styleId="aa">
    <w:name w:val="annotation subject"/>
    <w:basedOn w:val="a8"/>
    <w:next w:val="a8"/>
    <w:link w:val="ab"/>
    <w:uiPriority w:val="99"/>
    <w:semiHidden/>
    <w:unhideWhenUsed/>
    <w:rsid w:val="006A619C"/>
    <w:rPr>
      <w:b/>
      <w:bCs/>
    </w:rPr>
  </w:style>
  <w:style w:type="character" w:customStyle="1" w:styleId="ab">
    <w:name w:val="コメント内容 (文字)"/>
    <w:basedOn w:val="a9"/>
    <w:link w:val="aa"/>
    <w:uiPriority w:val="99"/>
    <w:semiHidden/>
    <w:rsid w:val="006A619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Nakahara</dc:creator>
  <cp:keywords/>
  <dc:description/>
  <cp:lastModifiedBy>Nakahara</cp:lastModifiedBy>
  <cp:revision>1</cp:revision>
  <dcterms:created xsi:type="dcterms:W3CDTF">2021-03-01T04:40:00Z</dcterms:created>
  <dcterms:modified xsi:type="dcterms:W3CDTF">2021-03-01T04:43:00Z</dcterms:modified>
</cp:coreProperties>
</file>