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A099" w14:textId="436D29E0" w:rsidR="00352450" w:rsidRDefault="00352450">
      <w:r>
        <w:rPr>
          <w:noProof/>
        </w:rPr>
        <w:drawing>
          <wp:inline distT="0" distB="0" distL="0" distR="0" wp14:anchorId="746BA009" wp14:editId="31F5F2B7">
            <wp:extent cx="7735570" cy="5734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35570" cy="5734685"/>
                    </a:xfrm>
                    <a:prstGeom prst="rect">
                      <a:avLst/>
                    </a:prstGeom>
                    <a:noFill/>
                  </pic:spPr>
                </pic:pic>
              </a:graphicData>
            </a:graphic>
          </wp:inline>
        </w:drawing>
      </w:r>
      <w:r>
        <w:br w:type="page"/>
      </w:r>
    </w:p>
    <w:p w14:paraId="6EEDA6C0" w14:textId="77777777" w:rsidR="00352450" w:rsidRPr="00352450" w:rsidRDefault="00352450" w:rsidP="00352450">
      <w:pPr>
        <w:rPr>
          <w:b/>
          <w:bCs/>
          <w:sz w:val="28"/>
          <w:szCs w:val="28"/>
        </w:rPr>
      </w:pPr>
      <w:r w:rsidRPr="00352450">
        <w:rPr>
          <w:b/>
          <w:bCs/>
          <w:sz w:val="28"/>
          <w:szCs w:val="28"/>
        </w:rPr>
        <w:lastRenderedPageBreak/>
        <w:t>Cross over TWH and Employer Preparedness Domains</w:t>
      </w:r>
    </w:p>
    <w:p w14:paraId="54D019CC" w14:textId="4421660F" w:rsidR="00783BFC" w:rsidRPr="004612DF" w:rsidRDefault="00352450" w:rsidP="00783BFC">
      <w:pPr>
        <w:keepNext/>
        <w:widowControl w:val="0"/>
        <w:spacing w:line="240" w:lineRule="auto"/>
        <w:rPr>
          <w:rFonts w:ascii="Arial" w:eastAsia="Calibri" w:hAnsi="Arial" w:cs="Arial"/>
        </w:rPr>
      </w:pPr>
      <w:r>
        <w:rPr>
          <w:rFonts w:ascii="Arial" w:eastAsia="Calibri" w:hAnsi="Arial" w:cs="Arial"/>
        </w:rPr>
        <w:t>I</w:t>
      </w:r>
      <w:r w:rsidR="00783BFC" w:rsidRPr="004612DF">
        <w:rPr>
          <w:rFonts w:ascii="Arial" w:eastAsia="Calibri" w:hAnsi="Arial" w:cs="Arial"/>
        </w:rPr>
        <w:t xml:space="preserve">n the first category of </w:t>
      </w:r>
      <w:r w:rsidR="00783BFC" w:rsidRPr="004612DF">
        <w:rPr>
          <w:rFonts w:ascii="Arial" w:eastAsia="Calibri" w:hAnsi="Arial" w:cs="Arial"/>
          <w:b/>
          <w:bCs/>
        </w:rPr>
        <w:t>“Control of Hazards and Exposures,”</w:t>
      </w:r>
      <w:r w:rsidR="00783BFC" w:rsidRPr="004612DF">
        <w:rPr>
          <w:rFonts w:ascii="Arial" w:eastAsia="Calibri" w:hAnsi="Arial" w:cs="Arial"/>
        </w:rPr>
        <w:t xml:space="preserve"> Employer Preparedness considers control of exposures during unanticipated events such as weather-related disasters. There may be hazards that would only exist during an emergency or disaster, and employers may need to consider what can be handled by their own staff and what would require outside assistance of emergency responders and hazardous materials specialists. </w:t>
      </w:r>
    </w:p>
    <w:p w14:paraId="4E7A9002" w14:textId="77777777" w:rsidR="00783BFC" w:rsidRPr="004612DF" w:rsidRDefault="00783BFC" w:rsidP="00783BFC">
      <w:pPr>
        <w:keepNext/>
        <w:widowControl w:val="0"/>
        <w:spacing w:line="240" w:lineRule="auto"/>
        <w:rPr>
          <w:rFonts w:ascii="Arial" w:eastAsia="Calibri" w:hAnsi="Arial" w:cs="Arial"/>
        </w:rPr>
      </w:pPr>
      <w:r>
        <w:rPr>
          <w:rFonts w:ascii="Arial" w:eastAsia="Calibri" w:hAnsi="Arial" w:cs="Arial"/>
        </w:rPr>
        <w:t>T</w:t>
      </w:r>
      <w:r w:rsidRPr="004612DF">
        <w:rPr>
          <w:rFonts w:ascii="Arial" w:eastAsia="Calibri" w:hAnsi="Arial" w:cs="Arial"/>
        </w:rPr>
        <w:t xml:space="preserve">he </w:t>
      </w:r>
      <w:r w:rsidRPr="004612DF">
        <w:rPr>
          <w:rFonts w:ascii="Arial" w:eastAsia="Calibri" w:hAnsi="Arial" w:cs="Arial"/>
          <w:b/>
          <w:bCs/>
        </w:rPr>
        <w:t>“Organization of Work”</w:t>
      </w:r>
      <w:r w:rsidRPr="004612DF">
        <w:rPr>
          <w:rFonts w:ascii="Arial" w:eastAsia="Calibri" w:hAnsi="Arial" w:cs="Arial"/>
        </w:rPr>
        <w:t xml:space="preserve"> </w:t>
      </w:r>
      <w:r>
        <w:rPr>
          <w:rFonts w:ascii="Arial" w:eastAsia="Calibri" w:hAnsi="Arial" w:cs="Arial"/>
        </w:rPr>
        <w:t xml:space="preserve">TWH </w:t>
      </w:r>
      <w:r w:rsidRPr="004612DF">
        <w:rPr>
          <w:rFonts w:ascii="Arial" w:eastAsia="Calibri" w:hAnsi="Arial" w:cs="Arial"/>
        </w:rPr>
        <w:t xml:space="preserve">category </w:t>
      </w:r>
      <w:r>
        <w:rPr>
          <w:rFonts w:ascii="Arial" w:eastAsia="Calibri" w:hAnsi="Arial" w:cs="Arial"/>
        </w:rPr>
        <w:t xml:space="preserve">is particularly relevant to TWH Employer Preparedness as it includes the </w:t>
      </w:r>
      <w:r w:rsidRPr="004612DF">
        <w:rPr>
          <w:rFonts w:ascii="Arial" w:eastAsia="Calibri" w:hAnsi="Arial" w:cs="Arial"/>
        </w:rPr>
        <w:t xml:space="preserve">impact of understaffing, rotating shifts, overtime, and long work hours. </w:t>
      </w:r>
      <w:r>
        <w:rPr>
          <w:rFonts w:ascii="Arial" w:eastAsia="Calibri" w:hAnsi="Arial" w:cs="Arial"/>
        </w:rPr>
        <w:t>Management policies on p</w:t>
      </w:r>
      <w:r w:rsidRPr="004612DF">
        <w:rPr>
          <w:rFonts w:ascii="Arial" w:eastAsia="Calibri" w:hAnsi="Arial" w:cs="Arial"/>
        </w:rPr>
        <w:t xml:space="preserve">reparedness </w:t>
      </w:r>
      <w:r>
        <w:rPr>
          <w:rFonts w:ascii="Arial" w:eastAsia="Calibri" w:hAnsi="Arial" w:cs="Arial"/>
        </w:rPr>
        <w:t xml:space="preserve">would be </w:t>
      </w:r>
      <w:r w:rsidRPr="004612DF">
        <w:rPr>
          <w:rFonts w:ascii="Arial" w:eastAsia="Calibri" w:hAnsi="Arial" w:cs="Arial"/>
        </w:rPr>
        <w:t xml:space="preserve">an example of a TWH </w:t>
      </w:r>
      <w:r w:rsidRPr="004612DF">
        <w:rPr>
          <w:rFonts w:ascii="Arial" w:eastAsia="Calibri" w:hAnsi="Arial" w:cs="Arial"/>
          <w:b/>
          <w:bCs/>
        </w:rPr>
        <w:t xml:space="preserve">“Leadership” </w:t>
      </w:r>
      <w:r w:rsidRPr="004612DF">
        <w:rPr>
          <w:rFonts w:ascii="Arial" w:eastAsia="Calibri" w:hAnsi="Arial" w:cs="Arial"/>
        </w:rPr>
        <w:t xml:space="preserve">issue. For example, employers can provide clarity and reassurance regarding operational continuity or access to worksites to retrieve personal belongings. Employers can recognize that employees will have work-life balance challenges and assist them in meeting them without excessive conflict. Employers can anticipate that some of their employees may participate in civic preparedness and response activities that keep them out of work and can recognize their contributions to the community. Employers’ inclusion of employees in on-going cycles of preparedness planning is also a relevant TWH leadership strategy. </w:t>
      </w:r>
    </w:p>
    <w:p w14:paraId="4EF381F4" w14:textId="77777777" w:rsidR="00783BFC" w:rsidRPr="004612DF" w:rsidRDefault="00783BFC" w:rsidP="00783BFC">
      <w:pPr>
        <w:keepNext/>
        <w:widowControl w:val="0"/>
        <w:spacing w:line="240" w:lineRule="auto"/>
        <w:rPr>
          <w:rFonts w:ascii="Arial" w:eastAsia="Calibri" w:hAnsi="Arial" w:cs="Arial"/>
        </w:rPr>
      </w:pPr>
      <w:r w:rsidRPr="004612DF">
        <w:rPr>
          <w:rFonts w:ascii="Arial" w:eastAsia="Calibri" w:hAnsi="Arial" w:cs="Arial"/>
        </w:rPr>
        <w:t xml:space="preserve">There are many significant </w:t>
      </w:r>
      <w:r w:rsidRPr="004612DF">
        <w:rPr>
          <w:rFonts w:ascii="Arial" w:eastAsia="Calibri" w:hAnsi="Arial" w:cs="Arial"/>
          <w:b/>
          <w:bCs/>
        </w:rPr>
        <w:t>“Compensation and Benefits”</w:t>
      </w:r>
      <w:r w:rsidRPr="004612DF">
        <w:rPr>
          <w:rFonts w:ascii="Arial" w:eastAsia="Calibri" w:hAnsi="Arial" w:cs="Arial"/>
        </w:rPr>
        <w:t xml:space="preserve"> issues related to human resources management post-disaster. Most importantly, employees will want to know that if their place of employment is closed due to a disaster, they will continue to receive pay and benefits for a designated time. Employees who will be required to work through disasters many need or deserve “hazard pay.” Work-life or health promotion programs could include training to help employees prepare their communities and families for emergencies and disasters. In the event of an emergency, impacted employees may need access to both physical and mental health resources and to be assured that their community is returning to safety. Employers may need to consider whether employees need to relocate until basic safe conditions are restored. These are cross-over elements from the TWH </w:t>
      </w:r>
      <w:r w:rsidRPr="004612DF">
        <w:rPr>
          <w:rFonts w:ascii="Arial" w:eastAsia="Calibri" w:hAnsi="Arial" w:cs="Arial"/>
          <w:b/>
          <w:bCs/>
        </w:rPr>
        <w:t>“Community Supports”</w:t>
      </w:r>
      <w:r w:rsidRPr="004612DF">
        <w:rPr>
          <w:rFonts w:ascii="Arial" w:eastAsia="Calibri" w:hAnsi="Arial" w:cs="Arial"/>
        </w:rPr>
        <w:t xml:space="preserve"> domain. </w:t>
      </w:r>
    </w:p>
    <w:p w14:paraId="6ECD56B0" w14:textId="77777777" w:rsidR="00783BFC" w:rsidRPr="004612DF" w:rsidRDefault="00783BFC" w:rsidP="00783BFC">
      <w:pPr>
        <w:keepNext/>
        <w:widowControl w:val="0"/>
        <w:spacing w:line="240" w:lineRule="auto"/>
        <w:rPr>
          <w:rFonts w:ascii="Arial" w:eastAsia="Calibri" w:hAnsi="Arial" w:cs="Arial"/>
        </w:rPr>
      </w:pPr>
      <w:r w:rsidRPr="004612DF">
        <w:rPr>
          <w:rFonts w:ascii="Arial" w:eastAsia="Calibri" w:hAnsi="Arial" w:cs="Arial"/>
        </w:rPr>
        <w:t xml:space="preserve">In the </w:t>
      </w:r>
      <w:r w:rsidRPr="004612DF">
        <w:rPr>
          <w:rFonts w:ascii="Arial" w:eastAsia="Calibri" w:hAnsi="Arial" w:cs="Arial"/>
          <w:b/>
          <w:bCs/>
        </w:rPr>
        <w:t>“Changing Workforce Demographics”</w:t>
      </w:r>
      <w:r w:rsidRPr="004612DF">
        <w:rPr>
          <w:rFonts w:ascii="Arial" w:eastAsia="Calibri" w:hAnsi="Arial" w:cs="Arial"/>
        </w:rPr>
        <w:t xml:space="preserve"> category, prepared employers will assure that all members of the workforce, included disabled and older employees, are able to cope and escape, if necessary. Workers with chronic health conditions may need medical surveillance if their work exposes them to excess heat </w:t>
      </w:r>
      <w:r w:rsidRPr="004612DF">
        <w:rPr>
          <w:rFonts w:ascii="Arial" w:eastAsia="Calibri" w:hAnsi="Arial" w:cs="Arial"/>
        </w:rPr>
        <w:fldChar w:fldCharType="begin"/>
      </w:r>
      <w:r w:rsidRPr="004612DF">
        <w:rPr>
          <w:rFonts w:ascii="Arial" w:eastAsia="Calibri" w:hAnsi="Arial" w:cs="Arial"/>
        </w:rPr>
        <w:instrText xml:space="preserve"> ADDIN ZOTERO_ITEM CSL_CITATION {"citationID":"g3V5HJjr","properties":{"formattedCitation":"(Coco et al., 2016)","plainCitation":"(Coco et al., 2016)","noteIndex":0},"citationItems":[{"id":327,"uris":["http://zotero.org/users/2839465/items/SK32987F"],"uri":["http://zotero.org/users/2839465/items/SK32987F"],"itemData":{"id":327,"type":"report","number":"Publication 2016-106","publisher":"U.S. Department of Health and Human Services, Centers for Disease Control and Prevention, National Institute for Occupational Safety and Health","source":"Google Scholar","title":"Criteria for a Recommended Standard: Occupational Exposure to Heat and Hot Environments.","title-short":"Criteria for a Recommended Standard","URL":"http://www.elcosh.org/document/3998/d001392/Criteria%2Bfor%2Ba%2BRecommended%2BStandard%253A%2BOccupational%2BExposure%2Bto%2BHeat%2Band%2BHot%2BEnvironments.html?show_text=1","author":[{"family":"Coco","given":"Aitor"},{"family":"Jacklitsch","given":"Brenda"},{"family":"Williams","given":"Jon"},{"family":"Kim","given":"Jung-Hyun"},{"family":"Musolin","given":"Kristin"},{"family":"Turner","given":"Nina"},{"literal":"NIOSH"}],"accessed":{"date-parts":[["2016",9,14]]},"issued":{"date-parts":[["2016"]]}}}],"schema":"https://github.com/citation-style-language/schema/raw/master/csl-citation.json"} </w:instrText>
      </w:r>
      <w:r w:rsidRPr="004612DF">
        <w:rPr>
          <w:rFonts w:ascii="Arial" w:eastAsia="Calibri" w:hAnsi="Arial" w:cs="Arial"/>
        </w:rPr>
        <w:fldChar w:fldCharType="separate"/>
      </w:r>
      <w:r w:rsidRPr="004612DF">
        <w:rPr>
          <w:rFonts w:ascii="Arial" w:eastAsia="Calibri" w:hAnsi="Arial" w:cs="Arial"/>
        </w:rPr>
        <w:t>(Coco et al., 2016)</w:t>
      </w:r>
      <w:r w:rsidRPr="004612DF">
        <w:rPr>
          <w:rFonts w:ascii="Arial" w:eastAsia="Calibri" w:hAnsi="Arial" w:cs="Arial"/>
        </w:rPr>
        <w:fldChar w:fldCharType="end"/>
      </w:r>
      <w:r w:rsidRPr="004612DF">
        <w:rPr>
          <w:rFonts w:ascii="Arial" w:eastAsia="Calibri" w:hAnsi="Arial" w:cs="Arial"/>
        </w:rPr>
        <w:t xml:space="preserve">. Vulnerable worker populations may be more impacted than others during disasters. For instance, if employees have family members without documented immigration status, they may be hesitant to access emergency services such as the Red Cross </w:t>
      </w:r>
      <w:r w:rsidRPr="004612DF">
        <w:rPr>
          <w:rFonts w:ascii="Arial" w:eastAsia="Calibri" w:hAnsi="Arial" w:cs="Arial"/>
        </w:rPr>
        <w:fldChar w:fldCharType="begin"/>
      </w:r>
      <w:r w:rsidRPr="004612DF">
        <w:rPr>
          <w:rFonts w:ascii="Arial" w:eastAsia="Calibri" w:hAnsi="Arial" w:cs="Arial"/>
        </w:rPr>
        <w:instrText xml:space="preserve"> ADDIN ZOTERO_ITEM CSL_CITATION {"citationID":"AJZJhx7R","properties":{"formattedCitation":"(Fussell et al., 2018)","plainCitation":"(Fussell et al., 2018)","noteIndex":0},"citationItems":[{"id":1142,"uris":["http://zotero.org/users/2839465/items/UF9YZGTD"],"uri":["http://zotero.org/users/2839465/items/UF9YZGTD"],"itemData":{"id":1142,"type":"article-journal","abstract":"This commentary highlights how immigrants who are linguistically isolated, have limited social networks, and lack legal immigration status experience unique health risks in disaster zones. Research on immigrants and disasters tends to focus on immigrants with these characteristics who are residents of disaster-affected areas, disaster recovery workers, or both. We review the sparse research literature and provide examples of innovative but underresourced programs that reduce immigrants' exposure to disaster-related health hazards and economic exploitation in the recovery. We conclude with recommendations for advancing these initiatives while, simultaneously, addressing the anti-immigrant policies that contribute to these disaster-related inequities.","container-title":"American Journal of Public Health","DOI":"10.2105/AJPH.2018.304554","ISSN":"1541-0048","issue":"12","journalAbbreviation":"Am J Public Health","language":"eng","note":"PMID: 30359114\nPMCID: PMC6236743","page":"1617-1620","source":"PubMed","title":"Implications of Social and Legal Status on Immigrants' Health in Disaster Zones","volume":"108","author":[{"family":"Fussell","given":"Elizabeth"},{"family":"Delp","given":"Linda"},{"family":"Riley","given":"Kevin"},{"family":"Chávez","given":"Sergio"},{"family":"Valenzuela","given":"Abel"}],"issued":{"date-parts":[["2018",12]]}}}],"schema":"https://github.com/citation-style-language/schema/raw/master/csl-citation.json"} </w:instrText>
      </w:r>
      <w:r w:rsidRPr="004612DF">
        <w:rPr>
          <w:rFonts w:ascii="Arial" w:eastAsia="Calibri" w:hAnsi="Arial" w:cs="Arial"/>
        </w:rPr>
        <w:fldChar w:fldCharType="separate"/>
      </w:r>
      <w:r w:rsidRPr="004612DF">
        <w:rPr>
          <w:rFonts w:ascii="Arial" w:eastAsia="Calibri" w:hAnsi="Arial" w:cs="Arial"/>
        </w:rPr>
        <w:t>(Fussell et al., 2018)</w:t>
      </w:r>
      <w:r w:rsidRPr="004612DF">
        <w:rPr>
          <w:rFonts w:ascii="Arial" w:eastAsia="Calibri" w:hAnsi="Arial" w:cs="Arial"/>
        </w:rPr>
        <w:fldChar w:fldCharType="end"/>
      </w:r>
      <w:r w:rsidRPr="004612DF">
        <w:rPr>
          <w:rFonts w:ascii="Arial" w:eastAsia="Calibri" w:hAnsi="Arial" w:cs="Arial"/>
        </w:rPr>
        <w:t xml:space="preserve">. Employers may need to step in in response. There are also several TWH </w:t>
      </w:r>
      <w:r w:rsidRPr="004612DF">
        <w:rPr>
          <w:rFonts w:ascii="Arial" w:eastAsia="Calibri" w:hAnsi="Arial" w:cs="Arial"/>
          <w:b/>
          <w:bCs/>
        </w:rPr>
        <w:t>“Policy Issues”</w:t>
      </w:r>
      <w:r w:rsidRPr="004612DF">
        <w:rPr>
          <w:rFonts w:ascii="Arial" w:eastAsia="Calibri" w:hAnsi="Arial" w:cs="Arial"/>
        </w:rPr>
        <w:t xml:space="preserve"> that have Employer Preparedness dimensions. Employees who have experienced injuries or illnesses either at work or from exposures in their communities will need accommodations and effective return to work programs. Leave policies may need to be put in place to assure that impacted employees can attend to their and their family’s health and personal needs that disasters have made urgent. </w:t>
      </w:r>
    </w:p>
    <w:p w14:paraId="5683911A" w14:textId="77777777" w:rsidR="00783BFC" w:rsidRPr="004612DF" w:rsidRDefault="00783BFC" w:rsidP="00783BFC">
      <w:pPr>
        <w:keepNext/>
        <w:widowControl w:val="0"/>
        <w:spacing w:line="240" w:lineRule="auto"/>
        <w:rPr>
          <w:rFonts w:ascii="Arial" w:eastAsia="Calibri" w:hAnsi="Arial" w:cs="Arial"/>
        </w:rPr>
      </w:pPr>
      <w:r w:rsidRPr="004612DF">
        <w:rPr>
          <w:rFonts w:ascii="Arial" w:eastAsia="Calibri" w:hAnsi="Arial" w:cs="Arial"/>
        </w:rPr>
        <w:t xml:space="preserve">Disasters may accelerate </w:t>
      </w:r>
      <w:r w:rsidRPr="004612DF">
        <w:rPr>
          <w:rFonts w:ascii="Arial" w:eastAsia="Calibri" w:hAnsi="Arial" w:cs="Arial"/>
          <w:b/>
          <w:bCs/>
        </w:rPr>
        <w:t>“New Employment Patterns.”</w:t>
      </w:r>
      <w:r w:rsidRPr="004612DF">
        <w:rPr>
          <w:rFonts w:ascii="Arial" w:eastAsia="Calibri" w:hAnsi="Arial" w:cs="Arial"/>
        </w:rPr>
        <w:t xml:space="preserve"> Employers may need to expand or shrink their workforce in response to emergencies and these policies may need to assure that responsibility for employee well-being is maintained for regular and contingent workers. While we are well-aware of the negative workforce impacts of the COVID-19 epidemic, where entire sectors of workers faced unemployment, crises can also lead to new business and employment patterns. Many recent weather-related disasters lead to an increase in recovery-oriented small business and labor contracting opportunities </w:t>
      </w:r>
      <w:r w:rsidRPr="004612DF">
        <w:rPr>
          <w:rFonts w:ascii="Arial" w:eastAsia="Calibri" w:hAnsi="Arial" w:cs="Arial"/>
        </w:rPr>
        <w:fldChar w:fldCharType="begin"/>
      </w:r>
      <w:r w:rsidRPr="004612DF">
        <w:rPr>
          <w:rFonts w:ascii="Arial" w:eastAsia="Calibri" w:hAnsi="Arial" w:cs="Arial"/>
        </w:rPr>
        <w:instrText xml:space="preserve"> ADDIN ZOTERO_ITEM CSL_CITATION {"citationID":"eTMvbZ7V","properties":{"formattedCitation":"(Ochsner et al., 2018)","plainCitation":"(Ochsner et al., 2018)","noteIndex":0},"citationItems":[{"id":1045,"uris":["http://zotero.org/users/2839465/items/B2EPZSIV"],"uri":["http://zotero.org/users/2839465/items/B2EPZSIV"],"itemData":{"id":1045,"type":"article-journal","abstract":"BACKGROUND: Given predictions that climate change will lead to an increase in severe storms, it is important to more fully understand the risks experienced by workers charged with the cleanup and removal of storm damaged trees. These hazards have received little attention in the occupational safety and health literature.\nMETHODS: This paper is based on semi-structured interviews with 23 stakeholders involved in the Hurricane Sandy cleanup effort.\nRESULTS: Interview participants identified at risk sectors, gaps in training and preparedness, and raised particular concerns about storm downed trees, electrical hazards, and fatigue and suggested steps to reduce these hazards.\nCONCLUSIONS: Stakeholders' observations about storm response suggest directions for improving the health and safety of this critical workforce.","container-title":"American Journal of Industrial Medicine","DOI":"10.1002/ajim.22822","ISSN":"1097-0274","journalAbbreviation":"Am. J. Ind. Med.","language":"eng","note":"PMID: 29516531","source":"PubMed","title":"Trees down, hazards abound: Observations and lessons from Hurricane Sandy","title-short":"Trees down, hazards abound","author":[{"family":"Ochsner","given":"Michele"},{"family":"Marshall","given":"Elizabeth G."},{"family":"Lefkowitz","given":"Daniel"}],"issued":{"date-parts":[["2018",3,8]]}}}],"schema":"https://github.com/citation-style-language/schema/raw/master/csl-citation.json"} </w:instrText>
      </w:r>
      <w:r w:rsidRPr="004612DF">
        <w:rPr>
          <w:rFonts w:ascii="Arial" w:eastAsia="Calibri" w:hAnsi="Arial" w:cs="Arial"/>
        </w:rPr>
        <w:fldChar w:fldCharType="separate"/>
      </w:r>
      <w:r w:rsidRPr="004612DF">
        <w:rPr>
          <w:rFonts w:ascii="Arial" w:eastAsia="Calibri" w:hAnsi="Arial" w:cs="Arial"/>
        </w:rPr>
        <w:t>(Ochsner et al., 2018)</w:t>
      </w:r>
      <w:r w:rsidRPr="004612DF">
        <w:rPr>
          <w:rFonts w:ascii="Arial" w:eastAsia="Calibri" w:hAnsi="Arial" w:cs="Arial"/>
        </w:rPr>
        <w:fldChar w:fldCharType="end"/>
      </w:r>
      <w:r w:rsidRPr="004612DF">
        <w:rPr>
          <w:rFonts w:ascii="Arial" w:eastAsia="Calibri" w:hAnsi="Arial" w:cs="Arial"/>
        </w:rPr>
        <w:t xml:space="preserve">. </w:t>
      </w:r>
      <w:r w:rsidRPr="004612DF">
        <w:rPr>
          <w:rFonts w:ascii="Arial" w:eastAsia="Calibri" w:hAnsi="Arial" w:cs="Arial"/>
        </w:rPr>
        <w:lastRenderedPageBreak/>
        <w:t xml:space="preserve">However, these individuals and companies may not be well-prepared to protect themselves or their employees in the face of new hazardous environments. Owners of facilities and public agencies responding to crises such as wildland fires, will need to assure that contractors and recruits are adequately trained and protected to be able to work safely </w:t>
      </w:r>
      <w:r w:rsidRPr="004612DF">
        <w:rPr>
          <w:rFonts w:ascii="Arial" w:eastAsia="Calibri" w:hAnsi="Arial" w:cs="Arial"/>
        </w:rPr>
        <w:fldChar w:fldCharType="begin"/>
      </w:r>
      <w:r w:rsidRPr="004612DF">
        <w:rPr>
          <w:rFonts w:ascii="Arial" w:eastAsia="Calibri" w:hAnsi="Arial" w:cs="Arial"/>
        </w:rPr>
        <w:instrText xml:space="preserve"> ADDIN ZOTERO_ITEM CSL_CITATION {"citationID":"kN5t2s5j","properties":{"formattedCitation":"(Koopmans et al., 2020)","plainCitation":"(Koopmans et al., 2020)","noteIndex":0},"citationItems":[{"id":2818,"uris":["http://zotero.org/users/2839465/items/SPBE7QBB"],"uri":["http://zotero.org/users/2839465/items/SPBE7QBB"],"itemData":{"id":2818,"type":"article-journal","abstract":"Background\nWith an increase in wildfire activity across the globe and growing numbers of personnel involved each year, it is necessary to explore the health impacts of occupational exposure to wildfires and the practices and policies that can be implemented to mitigate these effects. The aim of this work is to (1) identify the impact occupational exposure to wildfires has on health outcomes including physical, mental, and social wellbeing; (2) examine the characteristics and effectiveness of mitigation strategies or policies to reduce negative health impacts as reported by current literature and reports; and (3) develop a program of research to address and understand the health impacts of occupational exposure to wildfires based on gaps in the literature and stakeholder priorities.\n\nMethods\nThis scoping study will be conducted in two phases: (1) scoping literature review and (2) modified Delphi process. The literature review will follow a methodologically rigorous scoping review approach that includes (a) identifying the research question (and protocol development), (b) identifying literature (an iterative process), (c) selecting relevant studies, (d) extracting data into tables, and (e) synthesizing, summarizing, and reporting results. Alongside this, a modified Delphi process will be conducted to define priorities for wildland fire occupational health research. A partnership with the British Columbia (BC) Wildfire Service will enable exploring the appropriateness of identified mitigation strategies and health risks for the BC context.\n\nDiscussion\nThis two-phase approach will provide an in-depth review of the literature of the health impacts of occupational exposure to wildfires and identify mitigation strategies or policies implemented to protect workers and reduce negative health impacts. It is anticipated that these findings may provide recommendations for “quick wins” or initial action that can be implemented within the BC context to reduce negative health outcomes, and inform gaps in context-specific research that needs to be addressed through a strategic, collaborative research program over the next 5 years.\n\nSystematic review registration\nOpen Science Framework osf.io/ugz4","container-title":"Systematic Reviews","DOI":"10.1186/s13643-020-01381-y","ISSN":"2046-4053","journalAbbreviation":"Syst Rev","note":"PMID: 32466787\nPMCID: PMC7257175","source":"PubMed Central","title":"Exploring prevention and mitigation strategies to reduce the health impacts of occupational exposure to wildfires for wildland firefighters and related personnel: protocol of a scoping study","title-short":"Exploring prevention and mitigation strategies to reduce the health impacts of occupational exposure to wildfires for wildland firefighters and related personnel","URL":"https://www.ncbi.nlm.nih.gov/pmc/articles/PMC7257175/","volume":"9","author":[{"family":"Koopmans","given":"Erica"},{"family":"Fyfe","given":"Trina"},{"family":"Eadie","given":"Mike"},{"family":"Pelletier","given":"Chelsea A."}],"accessed":{"date-parts":[["2020",9,23]]},"issued":{"date-parts":[["2020",5,29]]}}}],"schema":"https://github.com/citation-style-language/schema/raw/master/csl-citation.json"} </w:instrText>
      </w:r>
      <w:r w:rsidRPr="004612DF">
        <w:rPr>
          <w:rFonts w:ascii="Arial" w:eastAsia="Calibri" w:hAnsi="Arial" w:cs="Arial"/>
        </w:rPr>
        <w:fldChar w:fldCharType="separate"/>
      </w:r>
      <w:r w:rsidRPr="004612DF">
        <w:rPr>
          <w:rFonts w:ascii="Arial" w:eastAsia="Calibri" w:hAnsi="Arial" w:cs="Arial"/>
        </w:rPr>
        <w:t>(Koopmans et al., 2020)</w:t>
      </w:r>
      <w:r w:rsidRPr="004612DF">
        <w:rPr>
          <w:rFonts w:ascii="Arial" w:eastAsia="Calibri" w:hAnsi="Arial" w:cs="Arial"/>
        </w:rPr>
        <w:fldChar w:fldCharType="end"/>
      </w:r>
      <w:r w:rsidRPr="004612DF">
        <w:rPr>
          <w:rFonts w:ascii="Arial" w:eastAsia="Calibri" w:hAnsi="Arial" w:cs="Arial"/>
        </w:rPr>
        <w:t xml:space="preserve">. These cross-over issues are examples of how TWH and Employer Preparedness intersect with community emergency preparedness and response. </w:t>
      </w:r>
    </w:p>
    <w:p w14:paraId="103177DD" w14:textId="77777777" w:rsidR="00783BFC" w:rsidRDefault="00783BFC"/>
    <w:sectPr w:rsidR="00783BFC" w:rsidSect="00352450">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DF53" w14:textId="77777777" w:rsidR="00A75261" w:rsidRDefault="00A75261" w:rsidP="00BD51DF">
      <w:pPr>
        <w:spacing w:after="0" w:line="240" w:lineRule="auto"/>
      </w:pPr>
      <w:r>
        <w:separator/>
      </w:r>
    </w:p>
  </w:endnote>
  <w:endnote w:type="continuationSeparator" w:id="0">
    <w:p w14:paraId="1B9A2A1B" w14:textId="77777777" w:rsidR="00A75261" w:rsidRDefault="00A75261" w:rsidP="00BD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694452"/>
      <w:docPartObj>
        <w:docPartGallery w:val="Page Numbers (Bottom of Page)"/>
        <w:docPartUnique/>
      </w:docPartObj>
    </w:sdtPr>
    <w:sdtEndPr>
      <w:rPr>
        <w:noProof/>
      </w:rPr>
    </w:sdtEndPr>
    <w:sdtContent>
      <w:p w14:paraId="17506CA3" w14:textId="3C7E4163" w:rsidR="00BD51DF" w:rsidRDefault="00BD51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3B9E5" w14:textId="77777777" w:rsidR="00BD51DF" w:rsidRDefault="00BD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00E2" w14:textId="77777777" w:rsidR="00A75261" w:rsidRDefault="00A75261" w:rsidP="00BD51DF">
      <w:pPr>
        <w:spacing w:after="0" w:line="240" w:lineRule="auto"/>
      </w:pPr>
      <w:r>
        <w:separator/>
      </w:r>
    </w:p>
  </w:footnote>
  <w:footnote w:type="continuationSeparator" w:id="0">
    <w:p w14:paraId="2411BC12" w14:textId="77777777" w:rsidR="00A75261" w:rsidRDefault="00A75261" w:rsidP="00BD5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FC"/>
    <w:rsid w:val="00016B25"/>
    <w:rsid w:val="00352450"/>
    <w:rsid w:val="00783BFC"/>
    <w:rsid w:val="00A75261"/>
    <w:rsid w:val="00AD595F"/>
    <w:rsid w:val="00BD51DF"/>
    <w:rsid w:val="00C7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A447"/>
  <w15:chartTrackingRefBased/>
  <w15:docId w15:val="{D739E44E-4FB2-49A7-BD78-CAEB5EE6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1DF"/>
  </w:style>
  <w:style w:type="paragraph" w:styleId="Footer">
    <w:name w:val="footer"/>
    <w:basedOn w:val="Normal"/>
    <w:link w:val="FooterChar"/>
    <w:uiPriority w:val="99"/>
    <w:unhideWhenUsed/>
    <w:rsid w:val="00BD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c:creator>
  <cp:keywords/>
  <dc:description/>
  <cp:lastModifiedBy>CR</cp:lastModifiedBy>
  <cp:revision>3</cp:revision>
  <dcterms:created xsi:type="dcterms:W3CDTF">2021-04-12T19:16:00Z</dcterms:created>
  <dcterms:modified xsi:type="dcterms:W3CDTF">2021-10-19T21:49:00Z</dcterms:modified>
</cp:coreProperties>
</file>