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4FABC" w14:textId="0425D31B" w:rsidR="005B29BF" w:rsidRPr="002C4CC6" w:rsidRDefault="002C4CC6" w:rsidP="002C4CC6">
      <w:r>
        <w:t>Supplemental</w:t>
      </w:r>
    </w:p>
    <w:p w14:paraId="2EB3CCC0" w14:textId="2238923A" w:rsidR="00DD3B2D" w:rsidRDefault="00DD3B2D" w:rsidP="00E23AF8">
      <w:pPr>
        <w:spacing w:line="240" w:lineRule="auto"/>
      </w:pPr>
      <w:r w:rsidRPr="00E23AF8">
        <w:rPr>
          <w:b/>
        </w:rPr>
        <w:t>Table S1.</w:t>
      </w:r>
      <w:r w:rsidR="00C01349">
        <w:t xml:space="preserve"> Recognition of </w:t>
      </w:r>
      <w:r w:rsidR="00C01349" w:rsidRPr="00124CC9">
        <w:rPr>
          <w:i/>
        </w:rPr>
        <w:t>Salsola</w:t>
      </w:r>
      <w:r w:rsidR="00C01349">
        <w:t xml:space="preserve"> species in the U.S. as identified by commonly used plant taxonomy resources</w:t>
      </w:r>
      <w:r w:rsidR="00E33267">
        <w:t xml:space="preserve">: </w:t>
      </w:r>
      <w:r w:rsidR="00EA3546">
        <w:t>Integrated Taxonomic Information System</w:t>
      </w:r>
      <w:r w:rsidR="00C01349">
        <w:t xml:space="preserve"> (</w:t>
      </w:r>
      <w:r w:rsidR="00EA3546">
        <w:t>IT</w:t>
      </w:r>
      <w:r w:rsidR="00C01349">
        <w:t xml:space="preserve">IS, </w:t>
      </w:r>
      <w:r w:rsidR="00B133CC" w:rsidRPr="00B133CC">
        <w:t>https://www.itis.gov/</w:t>
      </w:r>
      <w:r w:rsidR="00B133CC">
        <w:t xml:space="preserve">), </w:t>
      </w:r>
      <w:r w:rsidR="00EA3546">
        <w:t>the Plants Database</w:t>
      </w:r>
      <w:r w:rsidR="00C01349">
        <w:t xml:space="preserve"> (Plants, </w:t>
      </w:r>
      <w:r w:rsidR="00EA3546" w:rsidRPr="00B62B7D">
        <w:t>https://plants.usda.gov/java/</w:t>
      </w:r>
      <w:r w:rsidR="00C01349">
        <w:t xml:space="preserve">), </w:t>
      </w:r>
      <w:r w:rsidR="00EA3546">
        <w:t xml:space="preserve">the </w:t>
      </w:r>
      <w:r w:rsidR="00C01349">
        <w:t xml:space="preserve">Flora of North America (Flora, </w:t>
      </w:r>
      <w:r w:rsidR="00EA3546" w:rsidRPr="00B62B7D">
        <w:t>http://floranorthamerica.org/</w:t>
      </w:r>
      <w:r w:rsidR="00C01349">
        <w:t xml:space="preserve">), and </w:t>
      </w:r>
      <w:r w:rsidR="00D51BCB">
        <w:t xml:space="preserve">the </w:t>
      </w:r>
      <w:r w:rsidR="00C01349">
        <w:t xml:space="preserve">Jepson </w:t>
      </w:r>
      <w:proofErr w:type="spellStart"/>
      <w:r w:rsidR="00D51BCB">
        <w:t>eFlora</w:t>
      </w:r>
      <w:proofErr w:type="spellEnd"/>
      <w:r w:rsidR="00C01349">
        <w:t xml:space="preserve"> (</w:t>
      </w:r>
      <w:proofErr w:type="spellStart"/>
      <w:r w:rsidR="000E5556">
        <w:t>eFlora</w:t>
      </w:r>
      <w:proofErr w:type="spellEnd"/>
      <w:r w:rsidR="000E5556">
        <w:t xml:space="preserve">, </w:t>
      </w:r>
      <w:r w:rsidR="00D51BCB" w:rsidRPr="00D51BCB">
        <w:t>http://ucjeps.berkeley.edu/eflora/</w:t>
      </w:r>
      <w:r w:rsidR="00C01349">
        <w:t xml:space="preserve">). </w:t>
      </w:r>
    </w:p>
    <w:tbl>
      <w:tblPr>
        <w:tblW w:w="6690" w:type="dxa"/>
        <w:tblLook w:val="04A0" w:firstRow="1" w:lastRow="0" w:firstColumn="1" w:lastColumn="0" w:noHBand="0" w:noVBand="1"/>
      </w:tblPr>
      <w:tblGrid>
        <w:gridCol w:w="3320"/>
        <w:gridCol w:w="697"/>
        <w:gridCol w:w="857"/>
        <w:gridCol w:w="776"/>
        <w:gridCol w:w="1040"/>
      </w:tblGrid>
      <w:tr w:rsidR="000E5556" w:rsidRPr="000E5556" w14:paraId="0FC5B328" w14:textId="77777777" w:rsidTr="000E5556">
        <w:trPr>
          <w:trHeight w:val="312"/>
        </w:trPr>
        <w:tc>
          <w:tcPr>
            <w:tcW w:w="3320" w:type="dxa"/>
            <w:tcBorders>
              <w:top w:val="single" w:sz="4" w:space="0" w:color="auto"/>
              <w:left w:val="nil"/>
              <w:bottom w:val="single" w:sz="4" w:space="0" w:color="auto"/>
              <w:right w:val="nil"/>
            </w:tcBorders>
            <w:shd w:val="clear" w:color="auto" w:fill="auto"/>
            <w:noWrap/>
            <w:vAlign w:val="bottom"/>
            <w:hideMark/>
          </w:tcPr>
          <w:p w14:paraId="141EAD6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697" w:type="dxa"/>
            <w:tcBorders>
              <w:top w:val="single" w:sz="4" w:space="0" w:color="auto"/>
              <w:left w:val="nil"/>
              <w:bottom w:val="single" w:sz="4" w:space="0" w:color="auto"/>
              <w:right w:val="dashed" w:sz="4" w:space="0" w:color="auto"/>
            </w:tcBorders>
            <w:shd w:val="clear" w:color="auto" w:fill="auto"/>
            <w:noWrap/>
            <w:vAlign w:val="bottom"/>
            <w:hideMark/>
          </w:tcPr>
          <w:p w14:paraId="77EDF951" w14:textId="77777777" w:rsidR="000E5556" w:rsidRPr="000E5556" w:rsidRDefault="000E5556" w:rsidP="000E5556">
            <w:pPr>
              <w:spacing w:after="0" w:line="240" w:lineRule="auto"/>
              <w:rPr>
                <w:rFonts w:eastAsia="Times New Roman"/>
                <w:b/>
                <w:bCs/>
                <w:color w:val="000000"/>
              </w:rPr>
            </w:pPr>
            <w:r w:rsidRPr="000E5556">
              <w:rPr>
                <w:rFonts w:eastAsia="Times New Roman"/>
                <w:b/>
                <w:bCs/>
                <w:color w:val="000000"/>
              </w:rPr>
              <w:t>ITIS</w:t>
            </w:r>
          </w:p>
        </w:tc>
        <w:tc>
          <w:tcPr>
            <w:tcW w:w="857" w:type="dxa"/>
            <w:tcBorders>
              <w:top w:val="single" w:sz="4" w:space="0" w:color="auto"/>
              <w:left w:val="nil"/>
              <w:bottom w:val="single" w:sz="4" w:space="0" w:color="auto"/>
              <w:right w:val="dashed" w:sz="4" w:space="0" w:color="auto"/>
            </w:tcBorders>
            <w:shd w:val="clear" w:color="auto" w:fill="auto"/>
            <w:vAlign w:val="bottom"/>
            <w:hideMark/>
          </w:tcPr>
          <w:p w14:paraId="7F82872B" w14:textId="77777777" w:rsidR="000E5556" w:rsidRPr="000E5556" w:rsidRDefault="000E5556" w:rsidP="000E5556">
            <w:pPr>
              <w:spacing w:after="0" w:line="240" w:lineRule="auto"/>
              <w:rPr>
                <w:rFonts w:eastAsia="Times New Roman"/>
                <w:b/>
                <w:bCs/>
                <w:color w:val="000000"/>
              </w:rPr>
            </w:pPr>
            <w:r w:rsidRPr="000E5556">
              <w:rPr>
                <w:rFonts w:eastAsia="Times New Roman"/>
                <w:b/>
                <w:bCs/>
                <w:color w:val="000000"/>
              </w:rPr>
              <w:t>Plants</w:t>
            </w:r>
          </w:p>
        </w:tc>
        <w:tc>
          <w:tcPr>
            <w:tcW w:w="776" w:type="dxa"/>
            <w:tcBorders>
              <w:top w:val="single" w:sz="4" w:space="0" w:color="auto"/>
              <w:left w:val="nil"/>
              <w:bottom w:val="single" w:sz="4" w:space="0" w:color="auto"/>
              <w:right w:val="dashed" w:sz="4" w:space="0" w:color="auto"/>
            </w:tcBorders>
            <w:shd w:val="clear" w:color="auto" w:fill="auto"/>
            <w:vAlign w:val="bottom"/>
            <w:hideMark/>
          </w:tcPr>
          <w:p w14:paraId="4D886871" w14:textId="77777777" w:rsidR="000E5556" w:rsidRPr="000E5556" w:rsidRDefault="000E5556" w:rsidP="000E5556">
            <w:pPr>
              <w:spacing w:after="0" w:line="240" w:lineRule="auto"/>
              <w:rPr>
                <w:rFonts w:eastAsia="Times New Roman"/>
                <w:b/>
                <w:bCs/>
                <w:color w:val="000000"/>
              </w:rPr>
            </w:pPr>
            <w:r w:rsidRPr="000E5556">
              <w:rPr>
                <w:rFonts w:eastAsia="Times New Roman"/>
                <w:b/>
                <w:bCs/>
                <w:color w:val="000000"/>
              </w:rPr>
              <w:t>Flora</w:t>
            </w:r>
          </w:p>
        </w:tc>
        <w:tc>
          <w:tcPr>
            <w:tcW w:w="1040" w:type="dxa"/>
            <w:tcBorders>
              <w:top w:val="single" w:sz="4" w:space="0" w:color="auto"/>
              <w:left w:val="nil"/>
              <w:bottom w:val="single" w:sz="4" w:space="0" w:color="auto"/>
              <w:right w:val="nil"/>
            </w:tcBorders>
            <w:shd w:val="clear" w:color="auto" w:fill="auto"/>
            <w:noWrap/>
            <w:vAlign w:val="bottom"/>
            <w:hideMark/>
          </w:tcPr>
          <w:p w14:paraId="051B9F94" w14:textId="77777777" w:rsidR="000E5556" w:rsidRPr="000E5556" w:rsidRDefault="000E5556" w:rsidP="000E5556">
            <w:pPr>
              <w:spacing w:after="0" w:line="240" w:lineRule="auto"/>
              <w:rPr>
                <w:rFonts w:eastAsia="Times New Roman"/>
                <w:b/>
                <w:bCs/>
                <w:color w:val="000000"/>
              </w:rPr>
            </w:pPr>
            <w:proofErr w:type="spellStart"/>
            <w:r w:rsidRPr="000E5556">
              <w:rPr>
                <w:rFonts w:eastAsia="Times New Roman"/>
                <w:b/>
                <w:bCs/>
                <w:color w:val="000000"/>
              </w:rPr>
              <w:t>eFlora</w:t>
            </w:r>
            <w:proofErr w:type="spellEnd"/>
          </w:p>
        </w:tc>
      </w:tr>
      <w:tr w:rsidR="000E5556" w:rsidRPr="000E5556" w14:paraId="34E9D10A"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2E76B676"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aphylla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1B4297CC"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64C63929"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c>
          <w:tcPr>
            <w:tcW w:w="776" w:type="dxa"/>
            <w:tcBorders>
              <w:top w:val="nil"/>
              <w:left w:val="nil"/>
              <w:bottom w:val="single" w:sz="4" w:space="0" w:color="auto"/>
              <w:right w:val="dashed" w:sz="4" w:space="0" w:color="auto"/>
            </w:tcBorders>
            <w:shd w:val="clear" w:color="auto" w:fill="auto"/>
            <w:noWrap/>
            <w:vAlign w:val="bottom"/>
            <w:hideMark/>
          </w:tcPr>
          <w:p w14:paraId="238BC1B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c>
          <w:tcPr>
            <w:tcW w:w="1040" w:type="dxa"/>
            <w:tcBorders>
              <w:top w:val="nil"/>
              <w:left w:val="nil"/>
              <w:bottom w:val="single" w:sz="4" w:space="0" w:color="auto"/>
              <w:right w:val="nil"/>
            </w:tcBorders>
            <w:shd w:val="clear" w:color="auto" w:fill="auto"/>
            <w:noWrap/>
            <w:vAlign w:val="bottom"/>
            <w:hideMark/>
          </w:tcPr>
          <w:p w14:paraId="43948CC9"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r>
      <w:tr w:rsidR="000E5556" w:rsidRPr="000E5556" w14:paraId="34C549DB"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09053431"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australis</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27B0013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262A498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c>
          <w:tcPr>
            <w:tcW w:w="776" w:type="dxa"/>
            <w:tcBorders>
              <w:top w:val="nil"/>
              <w:left w:val="nil"/>
              <w:bottom w:val="single" w:sz="4" w:space="0" w:color="auto"/>
              <w:right w:val="dashed" w:sz="4" w:space="0" w:color="auto"/>
            </w:tcBorders>
            <w:shd w:val="clear" w:color="auto" w:fill="auto"/>
            <w:noWrap/>
            <w:vAlign w:val="bottom"/>
            <w:hideMark/>
          </w:tcPr>
          <w:p w14:paraId="3F54B27D"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1040" w:type="dxa"/>
            <w:tcBorders>
              <w:top w:val="nil"/>
              <w:left w:val="nil"/>
              <w:bottom w:val="single" w:sz="4" w:space="0" w:color="auto"/>
              <w:right w:val="nil"/>
            </w:tcBorders>
            <w:shd w:val="clear" w:color="auto" w:fill="auto"/>
            <w:noWrap/>
            <w:vAlign w:val="bottom"/>
            <w:hideMark/>
          </w:tcPr>
          <w:p w14:paraId="2F504073"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100AAC2C"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0FAF1461"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collina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4AAD7B18"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7C5827D9" w14:textId="2D0F1C27" w:rsidR="000E5556" w:rsidRPr="000E5556" w:rsidRDefault="000E5556" w:rsidP="000E5556">
            <w:pPr>
              <w:spacing w:after="0" w:line="240" w:lineRule="auto"/>
              <w:rPr>
                <w:rFonts w:eastAsia="Times New Roman"/>
                <w:color w:val="000000"/>
                <w:vertAlign w:val="superscript"/>
              </w:rPr>
            </w:pPr>
            <w:r>
              <w:rPr>
                <w:rFonts w:eastAsia="Times New Roman"/>
                <w:color w:val="000000"/>
              </w:rPr>
              <w:t>x</w:t>
            </w:r>
            <w:r>
              <w:rPr>
                <w:rFonts w:eastAsia="Times New Roman"/>
                <w:color w:val="000000"/>
                <w:vertAlign w:val="superscript"/>
              </w:rPr>
              <w:t>1</w:t>
            </w:r>
          </w:p>
        </w:tc>
        <w:tc>
          <w:tcPr>
            <w:tcW w:w="776" w:type="dxa"/>
            <w:tcBorders>
              <w:top w:val="nil"/>
              <w:left w:val="nil"/>
              <w:bottom w:val="single" w:sz="4" w:space="0" w:color="auto"/>
              <w:right w:val="dashed" w:sz="4" w:space="0" w:color="auto"/>
            </w:tcBorders>
            <w:shd w:val="clear" w:color="auto" w:fill="auto"/>
            <w:noWrap/>
            <w:vAlign w:val="bottom"/>
            <w:hideMark/>
          </w:tcPr>
          <w:p w14:paraId="5CFDB1C2"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0B99381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r>
      <w:tr w:rsidR="000E5556" w:rsidRPr="000E5556" w14:paraId="06B71149"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047BBC3A"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damascena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19F09EF1"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857" w:type="dxa"/>
            <w:tcBorders>
              <w:top w:val="nil"/>
              <w:left w:val="nil"/>
              <w:bottom w:val="single" w:sz="4" w:space="0" w:color="auto"/>
              <w:right w:val="dashed" w:sz="4" w:space="0" w:color="auto"/>
            </w:tcBorders>
            <w:shd w:val="clear" w:color="auto" w:fill="auto"/>
            <w:noWrap/>
            <w:vAlign w:val="bottom"/>
            <w:hideMark/>
          </w:tcPr>
          <w:p w14:paraId="3F0E3AEC"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776" w:type="dxa"/>
            <w:tcBorders>
              <w:top w:val="nil"/>
              <w:left w:val="nil"/>
              <w:bottom w:val="single" w:sz="4" w:space="0" w:color="auto"/>
              <w:right w:val="dashed" w:sz="4" w:space="0" w:color="auto"/>
            </w:tcBorders>
            <w:shd w:val="clear" w:color="auto" w:fill="auto"/>
            <w:noWrap/>
            <w:vAlign w:val="bottom"/>
            <w:hideMark/>
          </w:tcPr>
          <w:p w14:paraId="1FF7527E"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1040" w:type="dxa"/>
            <w:tcBorders>
              <w:top w:val="nil"/>
              <w:left w:val="nil"/>
              <w:bottom w:val="single" w:sz="4" w:space="0" w:color="auto"/>
              <w:right w:val="nil"/>
            </w:tcBorders>
            <w:shd w:val="clear" w:color="auto" w:fill="auto"/>
            <w:noWrap/>
            <w:vAlign w:val="bottom"/>
            <w:hideMark/>
          </w:tcPr>
          <w:p w14:paraId="6E246EA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62EDE3D0"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381ECB9A"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gobicola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1075A1A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857" w:type="dxa"/>
            <w:tcBorders>
              <w:top w:val="nil"/>
              <w:left w:val="nil"/>
              <w:bottom w:val="single" w:sz="4" w:space="0" w:color="auto"/>
              <w:right w:val="dashed" w:sz="4" w:space="0" w:color="auto"/>
            </w:tcBorders>
            <w:shd w:val="clear" w:color="auto" w:fill="auto"/>
            <w:noWrap/>
            <w:vAlign w:val="bottom"/>
            <w:hideMark/>
          </w:tcPr>
          <w:p w14:paraId="0BC61FF7"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776" w:type="dxa"/>
            <w:tcBorders>
              <w:top w:val="nil"/>
              <w:left w:val="nil"/>
              <w:bottom w:val="single" w:sz="4" w:space="0" w:color="auto"/>
              <w:right w:val="dashed" w:sz="4" w:space="0" w:color="auto"/>
            </w:tcBorders>
            <w:shd w:val="clear" w:color="auto" w:fill="auto"/>
            <w:noWrap/>
            <w:vAlign w:val="bottom"/>
            <w:hideMark/>
          </w:tcPr>
          <w:p w14:paraId="4AC4F9FB"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1040" w:type="dxa"/>
            <w:tcBorders>
              <w:top w:val="nil"/>
              <w:left w:val="nil"/>
              <w:bottom w:val="single" w:sz="4" w:space="0" w:color="auto"/>
              <w:right w:val="nil"/>
            </w:tcBorders>
            <w:shd w:val="clear" w:color="auto" w:fill="auto"/>
            <w:noWrap/>
            <w:vAlign w:val="bottom"/>
            <w:hideMark/>
          </w:tcPr>
          <w:p w14:paraId="01B6F551"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38444C84"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5B499607" w14:textId="1DEE4D93" w:rsidR="000E5556" w:rsidRPr="000E5556" w:rsidRDefault="000E5556" w:rsidP="000E5556">
            <w:pPr>
              <w:spacing w:after="0" w:line="240" w:lineRule="auto"/>
              <w:rPr>
                <w:rFonts w:eastAsia="Times New Roman"/>
                <w:i/>
                <w:iCs/>
                <w:color w:val="000000"/>
                <w:vertAlign w:val="superscript"/>
              </w:rPr>
            </w:pPr>
            <w:r w:rsidRPr="000E5556">
              <w:rPr>
                <w:rFonts w:eastAsia="Times New Roman"/>
                <w:i/>
                <w:iCs/>
                <w:color w:val="000000"/>
              </w:rPr>
              <w:t>Salsola kali</w:t>
            </w:r>
            <w:r>
              <w:rPr>
                <w:rFonts w:eastAsia="Times New Roman"/>
                <w:i/>
                <w:iCs/>
                <w:color w:val="000000"/>
                <w:vertAlign w:val="superscript"/>
              </w:rPr>
              <w:t>2</w:t>
            </w:r>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310D77DD"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6CBC33A5"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776" w:type="dxa"/>
            <w:tcBorders>
              <w:top w:val="nil"/>
              <w:left w:val="nil"/>
              <w:bottom w:val="single" w:sz="4" w:space="0" w:color="auto"/>
              <w:right w:val="dashed" w:sz="4" w:space="0" w:color="auto"/>
            </w:tcBorders>
            <w:shd w:val="clear" w:color="auto" w:fill="auto"/>
            <w:noWrap/>
            <w:vAlign w:val="bottom"/>
            <w:hideMark/>
          </w:tcPr>
          <w:p w14:paraId="0B164365"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7024364E"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74D08F8D"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2F38394C" w14:textId="77777777" w:rsidR="000E5556" w:rsidRPr="000E5556" w:rsidRDefault="000E5556" w:rsidP="000E5556">
            <w:pPr>
              <w:spacing w:after="0" w:line="240" w:lineRule="auto"/>
              <w:rPr>
                <w:rFonts w:eastAsia="Times New Roman"/>
                <w:i/>
                <w:iCs/>
                <w:color w:val="000000"/>
              </w:rPr>
            </w:pPr>
            <w:r w:rsidRPr="000E5556">
              <w:rPr>
                <w:rFonts w:eastAsia="Times New Roman"/>
                <w:i/>
                <w:iCs/>
                <w:color w:val="000000"/>
              </w:rPr>
              <w:t xml:space="preserve">Salsola kali </w:t>
            </w:r>
            <w:r w:rsidRPr="000E5556">
              <w:rPr>
                <w:rFonts w:eastAsia="Times New Roman"/>
                <w:color w:val="000000"/>
              </w:rPr>
              <w:t>ssp.</w:t>
            </w:r>
            <w:r w:rsidRPr="000E5556">
              <w:rPr>
                <w:rFonts w:eastAsia="Times New Roman"/>
                <w:i/>
                <w:iCs/>
                <w:color w:val="000000"/>
              </w:rPr>
              <w:t xml:space="preserve"> kali</w:t>
            </w:r>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1AFAEE2E"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27901ED3"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776" w:type="dxa"/>
            <w:tcBorders>
              <w:top w:val="nil"/>
              <w:left w:val="nil"/>
              <w:bottom w:val="single" w:sz="4" w:space="0" w:color="auto"/>
              <w:right w:val="dashed" w:sz="4" w:space="0" w:color="auto"/>
            </w:tcBorders>
            <w:shd w:val="clear" w:color="auto" w:fill="auto"/>
            <w:noWrap/>
            <w:vAlign w:val="bottom"/>
            <w:hideMark/>
          </w:tcPr>
          <w:p w14:paraId="5EFB3C66"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6748F449"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r>
      <w:tr w:rsidR="000E5556" w:rsidRPr="000E5556" w14:paraId="4C0035E7"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001FF7CE" w14:textId="77777777" w:rsidR="000E5556" w:rsidRPr="000E5556" w:rsidRDefault="000E5556" w:rsidP="000E5556">
            <w:pPr>
              <w:spacing w:after="0" w:line="240" w:lineRule="auto"/>
              <w:rPr>
                <w:rFonts w:eastAsia="Times New Roman"/>
                <w:i/>
                <w:iCs/>
                <w:color w:val="000000"/>
              </w:rPr>
            </w:pPr>
            <w:r w:rsidRPr="000E5556">
              <w:rPr>
                <w:rFonts w:eastAsia="Times New Roman"/>
                <w:i/>
                <w:iCs/>
                <w:color w:val="000000"/>
              </w:rPr>
              <w:t xml:space="preserve">Salsola kali </w:t>
            </w:r>
            <w:r w:rsidRPr="000E5556">
              <w:rPr>
                <w:rFonts w:eastAsia="Times New Roman"/>
                <w:color w:val="000000"/>
              </w:rPr>
              <w:t>ssp.</w:t>
            </w:r>
            <w:r w:rsidRPr="000E5556">
              <w:rPr>
                <w:rFonts w:eastAsia="Times New Roman"/>
                <w:i/>
                <w:iCs/>
                <w:color w:val="000000"/>
              </w:rPr>
              <w:t xml:space="preserve"> </w:t>
            </w:r>
            <w:proofErr w:type="spellStart"/>
            <w:r w:rsidRPr="000E5556">
              <w:rPr>
                <w:rFonts w:eastAsia="Times New Roman"/>
                <w:i/>
                <w:iCs/>
                <w:color w:val="000000"/>
              </w:rPr>
              <w:t>pontica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65725CB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6F5CED18"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776" w:type="dxa"/>
            <w:tcBorders>
              <w:top w:val="nil"/>
              <w:left w:val="nil"/>
              <w:bottom w:val="single" w:sz="4" w:space="0" w:color="auto"/>
              <w:right w:val="dashed" w:sz="4" w:space="0" w:color="auto"/>
            </w:tcBorders>
            <w:shd w:val="clear" w:color="auto" w:fill="auto"/>
            <w:noWrap/>
            <w:vAlign w:val="bottom"/>
            <w:hideMark/>
          </w:tcPr>
          <w:p w14:paraId="5B00948C"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404FAF2D"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2B759619"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3F20AF9E" w14:textId="5A22B05B" w:rsidR="000E5556" w:rsidRPr="000E5556" w:rsidRDefault="000E5556" w:rsidP="000E5556">
            <w:pPr>
              <w:spacing w:after="0" w:line="240" w:lineRule="auto"/>
              <w:rPr>
                <w:rFonts w:eastAsia="Times New Roman"/>
                <w:i/>
                <w:iCs/>
                <w:color w:val="000000"/>
              </w:rPr>
            </w:pPr>
            <w:r w:rsidRPr="000E5556">
              <w:rPr>
                <w:rFonts w:eastAsia="Times New Roman"/>
                <w:i/>
                <w:iCs/>
                <w:color w:val="000000"/>
              </w:rPr>
              <w:t>Salsola paulsenii</w:t>
            </w:r>
            <w:r w:rsidRPr="000E5556">
              <w:rPr>
                <w:rFonts w:eastAsia="Times New Roman"/>
                <w:i/>
                <w:iCs/>
                <w:color w:val="000000"/>
                <w:vertAlign w:val="superscript"/>
              </w:rPr>
              <w:t>3</w:t>
            </w:r>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63FE0BED"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241C6089" w14:textId="2567D9FC" w:rsidR="000E5556" w:rsidRPr="000E5556" w:rsidRDefault="000E5556" w:rsidP="000E5556">
            <w:pPr>
              <w:spacing w:after="0" w:line="240" w:lineRule="auto"/>
              <w:rPr>
                <w:rFonts w:eastAsia="Times New Roman"/>
                <w:color w:val="000000"/>
                <w:vertAlign w:val="superscript"/>
              </w:rPr>
            </w:pPr>
            <w:r>
              <w:rPr>
                <w:rFonts w:eastAsia="Times New Roman"/>
                <w:color w:val="000000"/>
              </w:rPr>
              <w:t>x</w:t>
            </w:r>
            <w:r>
              <w:rPr>
                <w:rFonts w:eastAsia="Times New Roman"/>
                <w:color w:val="000000"/>
                <w:vertAlign w:val="superscript"/>
              </w:rPr>
              <w:t>1</w:t>
            </w:r>
          </w:p>
        </w:tc>
        <w:tc>
          <w:tcPr>
            <w:tcW w:w="776" w:type="dxa"/>
            <w:tcBorders>
              <w:top w:val="nil"/>
              <w:left w:val="nil"/>
              <w:bottom w:val="single" w:sz="4" w:space="0" w:color="auto"/>
              <w:right w:val="dashed" w:sz="4" w:space="0" w:color="auto"/>
            </w:tcBorders>
            <w:shd w:val="clear" w:color="auto" w:fill="auto"/>
            <w:noWrap/>
            <w:vAlign w:val="bottom"/>
            <w:hideMark/>
          </w:tcPr>
          <w:p w14:paraId="6FB02EA6"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54FA901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7DC14CD6"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590C0037"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ryanii</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3C713498"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5DFB734C"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xml:space="preserve"> </w:t>
            </w:r>
          </w:p>
        </w:tc>
        <w:tc>
          <w:tcPr>
            <w:tcW w:w="776" w:type="dxa"/>
            <w:tcBorders>
              <w:top w:val="nil"/>
              <w:left w:val="nil"/>
              <w:bottom w:val="single" w:sz="4" w:space="0" w:color="auto"/>
              <w:right w:val="dashed" w:sz="4" w:space="0" w:color="auto"/>
            </w:tcBorders>
            <w:shd w:val="clear" w:color="auto" w:fill="auto"/>
            <w:noWrap/>
            <w:vAlign w:val="bottom"/>
            <w:hideMark/>
          </w:tcPr>
          <w:p w14:paraId="128320C6"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 </w:t>
            </w:r>
          </w:p>
        </w:tc>
        <w:tc>
          <w:tcPr>
            <w:tcW w:w="1040" w:type="dxa"/>
            <w:tcBorders>
              <w:top w:val="nil"/>
              <w:left w:val="nil"/>
              <w:bottom w:val="single" w:sz="4" w:space="0" w:color="auto"/>
              <w:right w:val="nil"/>
            </w:tcBorders>
            <w:shd w:val="clear" w:color="auto" w:fill="auto"/>
            <w:noWrap/>
            <w:vAlign w:val="bottom"/>
            <w:hideMark/>
          </w:tcPr>
          <w:p w14:paraId="4B8D109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20E5E758"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7BAD967D" w14:textId="77777777" w:rsidR="000E5556" w:rsidRPr="000E5556" w:rsidRDefault="000E5556" w:rsidP="000E5556">
            <w:pPr>
              <w:spacing w:after="0" w:line="240" w:lineRule="auto"/>
              <w:rPr>
                <w:rFonts w:eastAsia="Times New Roman"/>
                <w:i/>
                <w:iCs/>
                <w:color w:val="000000"/>
              </w:rPr>
            </w:pPr>
            <w:r w:rsidRPr="000E5556">
              <w:rPr>
                <w:rFonts w:eastAsia="Times New Roman"/>
                <w:i/>
                <w:iCs/>
                <w:color w:val="000000"/>
              </w:rPr>
              <w:t>Salsola soda</w:t>
            </w:r>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4D733737"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581A11EB"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776" w:type="dxa"/>
            <w:tcBorders>
              <w:top w:val="nil"/>
              <w:left w:val="nil"/>
              <w:bottom w:val="single" w:sz="4" w:space="0" w:color="auto"/>
              <w:right w:val="dashed" w:sz="4" w:space="0" w:color="auto"/>
            </w:tcBorders>
            <w:shd w:val="clear" w:color="auto" w:fill="auto"/>
            <w:noWrap/>
            <w:vAlign w:val="bottom"/>
            <w:hideMark/>
          </w:tcPr>
          <w:p w14:paraId="7B2E5582"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3B936712"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29535FAB"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2EE8F196" w14:textId="7FD4767C" w:rsidR="000E5556" w:rsidRPr="000E5556" w:rsidRDefault="000E5556" w:rsidP="000E5556">
            <w:pPr>
              <w:spacing w:after="0" w:line="240" w:lineRule="auto"/>
              <w:rPr>
                <w:rFonts w:eastAsia="Times New Roman"/>
                <w:i/>
                <w:iCs/>
                <w:color w:val="000000"/>
              </w:rPr>
            </w:pPr>
            <w:r w:rsidRPr="000E5556">
              <w:rPr>
                <w:rFonts w:eastAsia="Times New Roman"/>
                <w:i/>
                <w:iCs/>
                <w:color w:val="000000"/>
              </w:rPr>
              <w:t>Salsola tragus</w:t>
            </w:r>
            <w:r w:rsidRPr="000E5556">
              <w:rPr>
                <w:rFonts w:eastAsia="Times New Roman"/>
                <w:i/>
                <w:iCs/>
                <w:color w:val="000000"/>
                <w:vertAlign w:val="superscript"/>
              </w:rPr>
              <w:t>3</w:t>
            </w:r>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3988E06F"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5316CD1A" w14:textId="2A48784A" w:rsidR="000E5556" w:rsidRPr="000E5556" w:rsidRDefault="000E5556" w:rsidP="000E5556">
            <w:pPr>
              <w:spacing w:after="0" w:line="240" w:lineRule="auto"/>
              <w:rPr>
                <w:rFonts w:eastAsia="Times New Roman"/>
                <w:color w:val="000000"/>
              </w:rPr>
            </w:pPr>
            <w:r>
              <w:rPr>
                <w:rFonts w:eastAsia="Times New Roman"/>
                <w:color w:val="000000"/>
              </w:rPr>
              <w:t>x</w:t>
            </w:r>
            <w:r w:rsidRPr="000E5556">
              <w:rPr>
                <w:rFonts w:eastAsia="Times New Roman"/>
                <w:color w:val="000000"/>
                <w:vertAlign w:val="superscript"/>
              </w:rPr>
              <w:t>1</w:t>
            </w:r>
          </w:p>
        </w:tc>
        <w:tc>
          <w:tcPr>
            <w:tcW w:w="776" w:type="dxa"/>
            <w:tcBorders>
              <w:top w:val="nil"/>
              <w:left w:val="nil"/>
              <w:bottom w:val="single" w:sz="4" w:space="0" w:color="auto"/>
              <w:right w:val="dashed" w:sz="4" w:space="0" w:color="auto"/>
            </w:tcBorders>
            <w:shd w:val="clear" w:color="auto" w:fill="auto"/>
            <w:noWrap/>
            <w:vAlign w:val="bottom"/>
            <w:hideMark/>
          </w:tcPr>
          <w:p w14:paraId="2CC742ED"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735F47D3"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r w:rsidR="000E5556" w:rsidRPr="000E5556" w14:paraId="69BA2870" w14:textId="77777777" w:rsidTr="000E5556">
        <w:trPr>
          <w:trHeight w:val="312"/>
        </w:trPr>
        <w:tc>
          <w:tcPr>
            <w:tcW w:w="3320" w:type="dxa"/>
            <w:tcBorders>
              <w:top w:val="nil"/>
              <w:left w:val="nil"/>
              <w:bottom w:val="single" w:sz="4" w:space="0" w:color="auto"/>
              <w:right w:val="nil"/>
            </w:tcBorders>
            <w:shd w:val="clear" w:color="auto" w:fill="auto"/>
            <w:noWrap/>
            <w:vAlign w:val="bottom"/>
            <w:hideMark/>
          </w:tcPr>
          <w:p w14:paraId="7E89D9E4" w14:textId="77777777" w:rsidR="000E5556" w:rsidRPr="000E5556" w:rsidRDefault="000E5556" w:rsidP="000E5556">
            <w:pPr>
              <w:spacing w:after="0" w:line="240" w:lineRule="auto"/>
              <w:rPr>
                <w:rFonts w:eastAsia="Times New Roman"/>
                <w:i/>
                <w:iCs/>
                <w:color w:val="000000"/>
              </w:rPr>
            </w:pPr>
            <w:proofErr w:type="spellStart"/>
            <w:r w:rsidRPr="000E5556">
              <w:rPr>
                <w:rFonts w:eastAsia="Times New Roman"/>
                <w:i/>
                <w:iCs/>
                <w:color w:val="000000"/>
              </w:rPr>
              <w:t>Salsola</w:t>
            </w:r>
            <w:proofErr w:type="spellEnd"/>
            <w:r w:rsidRPr="000E5556">
              <w:rPr>
                <w:rFonts w:eastAsia="Times New Roman"/>
                <w:i/>
                <w:iCs/>
                <w:color w:val="000000"/>
              </w:rPr>
              <w:t xml:space="preserve"> </w:t>
            </w:r>
            <w:proofErr w:type="spellStart"/>
            <w:r w:rsidRPr="000E5556">
              <w:rPr>
                <w:rFonts w:eastAsia="Times New Roman"/>
                <w:i/>
                <w:iCs/>
                <w:color w:val="000000"/>
              </w:rPr>
              <w:t>vermiculata</w:t>
            </w:r>
            <w:proofErr w:type="spellEnd"/>
          </w:p>
        </w:tc>
        <w:tc>
          <w:tcPr>
            <w:tcW w:w="697" w:type="dxa"/>
            <w:tcBorders>
              <w:top w:val="nil"/>
              <w:left w:val="dashed" w:sz="4" w:space="0" w:color="auto"/>
              <w:bottom w:val="single" w:sz="4" w:space="0" w:color="auto"/>
              <w:right w:val="dashed" w:sz="4" w:space="0" w:color="auto"/>
            </w:tcBorders>
            <w:shd w:val="clear" w:color="auto" w:fill="auto"/>
            <w:noWrap/>
            <w:vAlign w:val="bottom"/>
            <w:hideMark/>
          </w:tcPr>
          <w:p w14:paraId="0978F791"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857" w:type="dxa"/>
            <w:tcBorders>
              <w:top w:val="nil"/>
              <w:left w:val="nil"/>
              <w:bottom w:val="single" w:sz="4" w:space="0" w:color="auto"/>
              <w:right w:val="dashed" w:sz="4" w:space="0" w:color="auto"/>
            </w:tcBorders>
            <w:shd w:val="clear" w:color="auto" w:fill="auto"/>
            <w:noWrap/>
            <w:vAlign w:val="bottom"/>
            <w:hideMark/>
          </w:tcPr>
          <w:p w14:paraId="00BE3359"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776" w:type="dxa"/>
            <w:tcBorders>
              <w:top w:val="nil"/>
              <w:left w:val="nil"/>
              <w:bottom w:val="single" w:sz="4" w:space="0" w:color="auto"/>
              <w:right w:val="dashed" w:sz="4" w:space="0" w:color="auto"/>
            </w:tcBorders>
            <w:shd w:val="clear" w:color="auto" w:fill="auto"/>
            <w:noWrap/>
            <w:vAlign w:val="bottom"/>
            <w:hideMark/>
          </w:tcPr>
          <w:p w14:paraId="1BC47D41"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c>
          <w:tcPr>
            <w:tcW w:w="1040" w:type="dxa"/>
            <w:tcBorders>
              <w:top w:val="nil"/>
              <w:left w:val="nil"/>
              <w:bottom w:val="single" w:sz="4" w:space="0" w:color="auto"/>
              <w:right w:val="nil"/>
            </w:tcBorders>
            <w:shd w:val="clear" w:color="auto" w:fill="auto"/>
            <w:noWrap/>
            <w:vAlign w:val="bottom"/>
            <w:hideMark/>
          </w:tcPr>
          <w:p w14:paraId="5C05E8A0" w14:textId="77777777" w:rsidR="000E5556" w:rsidRPr="000E5556" w:rsidRDefault="000E5556" w:rsidP="000E5556">
            <w:pPr>
              <w:spacing w:after="0" w:line="240" w:lineRule="auto"/>
              <w:rPr>
                <w:rFonts w:eastAsia="Times New Roman"/>
                <w:color w:val="000000"/>
              </w:rPr>
            </w:pPr>
            <w:r w:rsidRPr="000E5556">
              <w:rPr>
                <w:rFonts w:eastAsia="Times New Roman"/>
                <w:color w:val="000000"/>
              </w:rPr>
              <w:t>x</w:t>
            </w:r>
          </w:p>
        </w:tc>
      </w:tr>
    </w:tbl>
    <w:p w14:paraId="397ACF97" w14:textId="77777777" w:rsidR="000E5556" w:rsidRDefault="000E5556" w:rsidP="00DD3B2D">
      <w:pPr>
        <w:rPr>
          <w:highlight w:val="yellow"/>
        </w:rPr>
      </w:pPr>
    </w:p>
    <w:p w14:paraId="04BD0149" w14:textId="393B7817" w:rsidR="00DD3B2D" w:rsidRPr="000E5556" w:rsidRDefault="00C01349" w:rsidP="00E23AF8">
      <w:pPr>
        <w:spacing w:line="240" w:lineRule="auto"/>
      </w:pPr>
      <w:r w:rsidRPr="000E5556">
        <w:rPr>
          <w:vertAlign w:val="superscript"/>
        </w:rPr>
        <w:t>1</w:t>
      </w:r>
      <w:r w:rsidRPr="000E5556">
        <w:t xml:space="preserve"> Recognized in Arizona and Utah only.</w:t>
      </w:r>
    </w:p>
    <w:p w14:paraId="79657409" w14:textId="54E571F0" w:rsidR="002C4CC6" w:rsidRDefault="002C4CC6" w:rsidP="00E23AF8">
      <w:pPr>
        <w:spacing w:line="240" w:lineRule="auto"/>
      </w:pPr>
      <w:r w:rsidRPr="000E5556">
        <w:rPr>
          <w:vertAlign w:val="superscript"/>
        </w:rPr>
        <w:t>2</w:t>
      </w:r>
      <w:r w:rsidRPr="000E5556">
        <w:t xml:space="preserve"> </w:t>
      </w:r>
      <w:r w:rsidRPr="002C4CC6">
        <w:t xml:space="preserve">Previously </w:t>
      </w:r>
      <w:r w:rsidRPr="002C4CC6">
        <w:rPr>
          <w:i/>
        </w:rPr>
        <w:t xml:space="preserve">S. </w:t>
      </w:r>
      <w:proofErr w:type="gramStart"/>
      <w:r w:rsidRPr="002C4CC6">
        <w:rPr>
          <w:i/>
        </w:rPr>
        <w:t>kali</w:t>
      </w:r>
      <w:proofErr w:type="gramEnd"/>
      <w:r w:rsidRPr="002C4CC6">
        <w:t xml:space="preserve"> L. or </w:t>
      </w:r>
      <w:r w:rsidRPr="002C4CC6">
        <w:rPr>
          <w:i/>
        </w:rPr>
        <w:t xml:space="preserve">S. kali </w:t>
      </w:r>
      <w:proofErr w:type="spellStart"/>
      <w:r w:rsidRPr="00124CC9">
        <w:t>ssp</w:t>
      </w:r>
      <w:proofErr w:type="spellEnd"/>
      <w:r w:rsidRPr="002C4CC6">
        <w:rPr>
          <w:i/>
        </w:rPr>
        <w:t xml:space="preserve"> tragus</w:t>
      </w:r>
      <w:r w:rsidRPr="002C4CC6">
        <w:t xml:space="preserve"> were recognized in the southwest USA; however, </w:t>
      </w:r>
      <w:r w:rsidRPr="002C4CC6">
        <w:rPr>
          <w:i/>
        </w:rPr>
        <w:t>S. kali</w:t>
      </w:r>
      <w:r w:rsidRPr="002C4CC6">
        <w:t xml:space="preserve"> is no longer accepted nomenclature for </w:t>
      </w:r>
      <w:r w:rsidRPr="00B133CC">
        <w:rPr>
          <w:i/>
        </w:rPr>
        <w:t>Salsola</w:t>
      </w:r>
      <w:r w:rsidRPr="002C4CC6">
        <w:t xml:space="preserve"> species found in the Southwest (</w:t>
      </w:r>
      <w:r w:rsidR="006C6726">
        <w:t>IT</w:t>
      </w:r>
      <w:r w:rsidR="00B133CC">
        <w:t>IS, Plants Database</w:t>
      </w:r>
      <w:r w:rsidRPr="002C4CC6">
        <w:t xml:space="preserve">).  Historic literature on the currently recognized </w:t>
      </w:r>
      <w:r w:rsidRPr="002C4CC6">
        <w:rPr>
          <w:i/>
        </w:rPr>
        <w:t>S. tragus</w:t>
      </w:r>
      <w:r w:rsidRPr="002C4CC6">
        <w:t xml:space="preserve"> may refer to synonyms (S</w:t>
      </w:r>
      <w:r w:rsidRPr="002C4CC6">
        <w:rPr>
          <w:i/>
        </w:rPr>
        <w:t xml:space="preserve">. kali, S. kali ssp. </w:t>
      </w:r>
      <w:proofErr w:type="spellStart"/>
      <w:r w:rsidRPr="002C4CC6">
        <w:rPr>
          <w:i/>
        </w:rPr>
        <w:t>tenuifolia</w:t>
      </w:r>
      <w:proofErr w:type="spellEnd"/>
      <w:r w:rsidRPr="002C4CC6">
        <w:rPr>
          <w:i/>
        </w:rPr>
        <w:t xml:space="preserve">, S. kali ssp. </w:t>
      </w:r>
      <w:proofErr w:type="spellStart"/>
      <w:r w:rsidRPr="002C4CC6">
        <w:rPr>
          <w:i/>
        </w:rPr>
        <w:t>ruthenica</w:t>
      </w:r>
      <w:proofErr w:type="spellEnd"/>
      <w:r w:rsidRPr="002C4CC6">
        <w:rPr>
          <w:i/>
        </w:rPr>
        <w:t xml:space="preserve">, S. kali ssp. tragus, S. </w:t>
      </w:r>
      <w:proofErr w:type="spellStart"/>
      <w:r w:rsidRPr="002C4CC6">
        <w:rPr>
          <w:i/>
        </w:rPr>
        <w:t>ruthenica</w:t>
      </w:r>
      <w:proofErr w:type="spellEnd"/>
      <w:r w:rsidRPr="002C4CC6">
        <w:rPr>
          <w:i/>
        </w:rPr>
        <w:t xml:space="preserve">, S. </w:t>
      </w:r>
      <w:proofErr w:type="spellStart"/>
      <w:r w:rsidRPr="002C4CC6">
        <w:rPr>
          <w:i/>
        </w:rPr>
        <w:t>iberica</w:t>
      </w:r>
      <w:proofErr w:type="spellEnd"/>
      <w:r w:rsidRPr="002C4CC6">
        <w:rPr>
          <w:i/>
        </w:rPr>
        <w:t xml:space="preserve">, S. </w:t>
      </w:r>
      <w:proofErr w:type="spellStart"/>
      <w:r w:rsidRPr="002C4CC6">
        <w:rPr>
          <w:i/>
        </w:rPr>
        <w:t>pestifer</w:t>
      </w:r>
      <w:proofErr w:type="spellEnd"/>
      <w:r w:rsidRPr="002C4CC6">
        <w:t xml:space="preserve">; </w:t>
      </w:r>
      <w:r w:rsidR="00B133CC">
        <w:t>(ITIS).</w:t>
      </w:r>
    </w:p>
    <w:p w14:paraId="3DFBF465" w14:textId="6498EB39" w:rsidR="00B133CC" w:rsidRDefault="002C4CC6" w:rsidP="00E23AF8">
      <w:pPr>
        <w:spacing w:line="240" w:lineRule="auto"/>
      </w:pPr>
      <w:r>
        <w:t xml:space="preserve">3 </w:t>
      </w:r>
      <w:proofErr w:type="spellStart"/>
      <w:r w:rsidR="00124CC9">
        <w:t>Hrusa</w:t>
      </w:r>
      <w:proofErr w:type="spellEnd"/>
      <w:r w:rsidR="00124CC9">
        <w:t xml:space="preserve"> (Jepson</w:t>
      </w:r>
      <w:r w:rsidR="006C6726">
        <w:t xml:space="preserve"> </w:t>
      </w:r>
      <w:proofErr w:type="spellStart"/>
      <w:r w:rsidR="006C6726">
        <w:t>eFlora</w:t>
      </w:r>
      <w:proofErr w:type="spellEnd"/>
      <w:r w:rsidR="00124CC9">
        <w:t>)</w:t>
      </w:r>
      <w:r w:rsidR="00124CC9" w:rsidRPr="00DD3B2D">
        <w:t xml:space="preserve">. </w:t>
      </w:r>
      <w:r w:rsidR="00124CC9">
        <w:t xml:space="preserve">proposed that </w:t>
      </w:r>
      <w:r w:rsidR="005B29BF" w:rsidRPr="00DD3B2D">
        <w:t xml:space="preserve">naturalized </w:t>
      </w:r>
      <w:proofErr w:type="spellStart"/>
      <w:r w:rsidR="005B29BF" w:rsidRPr="00124CC9">
        <w:rPr>
          <w:i/>
        </w:rPr>
        <w:t>Salsola</w:t>
      </w:r>
      <w:proofErr w:type="spellEnd"/>
      <w:r w:rsidR="00124CC9">
        <w:t xml:space="preserve"> </w:t>
      </w:r>
      <w:proofErr w:type="spellStart"/>
      <w:r w:rsidR="005B29BF" w:rsidRPr="00124CC9">
        <w:rPr>
          <w:i/>
        </w:rPr>
        <w:t>gobicola</w:t>
      </w:r>
      <w:proofErr w:type="spellEnd"/>
      <w:r w:rsidR="005B29BF" w:rsidRPr="00DD3B2D">
        <w:t xml:space="preserve">, may exist in Arizona and represents a naturalized hybrid of </w:t>
      </w:r>
      <w:r w:rsidR="005B29BF" w:rsidRPr="00124CC9">
        <w:rPr>
          <w:i/>
        </w:rPr>
        <w:t xml:space="preserve">S. </w:t>
      </w:r>
      <w:proofErr w:type="spellStart"/>
      <w:r w:rsidR="005B29BF" w:rsidRPr="00124CC9">
        <w:rPr>
          <w:i/>
        </w:rPr>
        <w:t>paulsenii</w:t>
      </w:r>
      <w:proofErr w:type="spellEnd"/>
      <w:r w:rsidR="005B29BF" w:rsidRPr="00DD3B2D">
        <w:t xml:space="preserve"> and </w:t>
      </w:r>
      <w:r w:rsidR="005B29BF" w:rsidRPr="00124CC9">
        <w:rPr>
          <w:i/>
        </w:rPr>
        <w:t>S. tragus</w:t>
      </w:r>
      <w:r w:rsidR="00124CC9">
        <w:rPr>
          <w:i/>
        </w:rPr>
        <w:t>.</w:t>
      </w:r>
      <w:r>
        <w:t xml:space="preserve"> </w:t>
      </w:r>
      <w:r w:rsidR="005B29BF" w:rsidRPr="00DD3B2D">
        <w:t>Either of the latter species may have</w:t>
      </w:r>
      <w:r w:rsidR="00DD3B2D" w:rsidRPr="00DD3B2D">
        <w:t xml:space="preserve"> misapplied names and may be </w:t>
      </w:r>
      <w:r w:rsidR="00DD3B2D" w:rsidRPr="00124CC9">
        <w:rPr>
          <w:i/>
        </w:rPr>
        <w:t>S. x</w:t>
      </w:r>
      <w:r w:rsidR="005B29BF" w:rsidRPr="00124CC9">
        <w:rPr>
          <w:i/>
        </w:rPr>
        <w:t xml:space="preserve"> </w:t>
      </w:r>
      <w:proofErr w:type="spellStart"/>
      <w:r w:rsidR="005B29BF" w:rsidRPr="00124CC9">
        <w:rPr>
          <w:i/>
        </w:rPr>
        <w:t>gobicola</w:t>
      </w:r>
      <w:proofErr w:type="spellEnd"/>
      <w:r w:rsidR="005B29BF" w:rsidRPr="00DD3B2D">
        <w:t xml:space="preserve">. The species are difficult to distinguish; neither </w:t>
      </w:r>
      <w:r w:rsidR="005B29BF" w:rsidRPr="00124CC9">
        <w:rPr>
          <w:i/>
        </w:rPr>
        <w:t xml:space="preserve">S. </w:t>
      </w:r>
      <w:proofErr w:type="spellStart"/>
      <w:r w:rsidR="005B29BF" w:rsidRPr="00124CC9">
        <w:rPr>
          <w:i/>
        </w:rPr>
        <w:t>paulsenii</w:t>
      </w:r>
      <w:proofErr w:type="spellEnd"/>
      <w:r w:rsidR="005B29BF" w:rsidRPr="00DD3B2D">
        <w:t xml:space="preserve"> nor </w:t>
      </w:r>
      <w:r w:rsidR="005B29BF" w:rsidRPr="00124CC9">
        <w:rPr>
          <w:i/>
        </w:rPr>
        <w:t xml:space="preserve">S. </w:t>
      </w:r>
      <w:proofErr w:type="spellStart"/>
      <w:r w:rsidR="005B29BF" w:rsidRPr="00124CC9">
        <w:rPr>
          <w:i/>
        </w:rPr>
        <w:t>collina</w:t>
      </w:r>
      <w:proofErr w:type="spellEnd"/>
      <w:r w:rsidR="005B29BF" w:rsidRPr="00DD3B2D">
        <w:t xml:space="preserve"> have been reported widely on</w:t>
      </w:r>
      <w:r w:rsidR="00B133CC">
        <w:t xml:space="preserve"> the southern Colorado Plateau </w:t>
      </w:r>
      <w:r w:rsidR="00DD3B2D" w:rsidRPr="00DD3B2D">
        <w:t xml:space="preserve">and documentation of </w:t>
      </w:r>
      <w:r w:rsidR="00DD3B2D" w:rsidRPr="00124CC9">
        <w:rPr>
          <w:i/>
        </w:rPr>
        <w:t>S. x</w:t>
      </w:r>
      <w:r w:rsidR="005B29BF" w:rsidRPr="00124CC9">
        <w:rPr>
          <w:i/>
        </w:rPr>
        <w:t xml:space="preserve"> </w:t>
      </w:r>
      <w:proofErr w:type="spellStart"/>
      <w:r w:rsidR="005B29BF" w:rsidRPr="00124CC9">
        <w:rPr>
          <w:i/>
        </w:rPr>
        <w:t>gobicola</w:t>
      </w:r>
      <w:proofErr w:type="spellEnd"/>
      <w:r w:rsidR="005B29BF" w:rsidRPr="00DD3B2D">
        <w:t xml:space="preserve"> is scant</w:t>
      </w:r>
      <w:r w:rsidR="00B133CC">
        <w:t xml:space="preserve"> (Flora of North America)</w:t>
      </w:r>
      <w:r w:rsidR="005B29BF" w:rsidRPr="00DD3B2D">
        <w:t xml:space="preserve">. </w:t>
      </w:r>
      <w:r w:rsidR="007D5385">
        <w:t xml:space="preserve"> </w:t>
      </w:r>
      <w:r w:rsidR="005B29BF" w:rsidRPr="00DD3B2D">
        <w:t xml:space="preserve"> </w:t>
      </w:r>
    </w:p>
    <w:p w14:paraId="53E70762" w14:textId="77777777" w:rsidR="00B133CC" w:rsidRDefault="00B133CC" w:rsidP="00E23AF8">
      <w:pPr>
        <w:spacing w:line="240" w:lineRule="auto"/>
      </w:pPr>
    </w:p>
    <w:p w14:paraId="61E704AA" w14:textId="5AFAA431" w:rsidR="00E23AF8" w:rsidRDefault="00C9584A" w:rsidP="00E23AF8">
      <w:pPr>
        <w:spacing w:line="240" w:lineRule="auto"/>
      </w:pPr>
      <w:r w:rsidRPr="00DD3B2D">
        <w:t xml:space="preserve"> </w:t>
      </w:r>
    </w:p>
    <w:p w14:paraId="5C79C6C3" w14:textId="77777777" w:rsidR="00E23AF8" w:rsidRDefault="00E23AF8">
      <w:pPr>
        <w:spacing w:line="259" w:lineRule="auto"/>
      </w:pPr>
      <w:r>
        <w:br w:type="page"/>
      </w:r>
    </w:p>
    <w:p w14:paraId="05AD0DE4" w14:textId="77777777" w:rsidR="005B29BF" w:rsidRDefault="005B29BF" w:rsidP="00E23AF8">
      <w:pPr>
        <w:spacing w:line="240" w:lineRule="auto"/>
      </w:pPr>
    </w:p>
    <w:p w14:paraId="6D245B38" w14:textId="75C85240" w:rsidR="00C935AD" w:rsidRDefault="002C4CC6" w:rsidP="00E23AF8">
      <w:pPr>
        <w:spacing w:line="240" w:lineRule="auto"/>
      </w:pPr>
      <w:r w:rsidRPr="00E23AF8">
        <w:rPr>
          <w:b/>
        </w:rPr>
        <w:t>Table S2</w:t>
      </w:r>
      <w:r w:rsidRPr="00E079B5">
        <w:t xml:space="preserve">. </w:t>
      </w:r>
      <w:r>
        <w:t>Counts of e</w:t>
      </w:r>
      <w:r w:rsidRPr="00E079B5">
        <w:t>rosion</w:t>
      </w:r>
      <w:r>
        <w:t xml:space="preserve"> measuring stakes with either sediment accumulation (</w:t>
      </w:r>
      <w:proofErr w:type="spellStart"/>
      <w:r>
        <w:t>Accum</w:t>
      </w:r>
      <w:proofErr w:type="spellEnd"/>
      <w:r>
        <w:t xml:space="preserve">) or erosion </w:t>
      </w:r>
      <w:r w:rsidRPr="00E079B5">
        <w:t xml:space="preserve">for each plot at </w:t>
      </w:r>
      <w:r w:rsidR="00511550">
        <w:t>the sand dune</w:t>
      </w:r>
      <w:r w:rsidRPr="00E079B5">
        <w:t xml:space="preserve"> (19 total) and </w:t>
      </w:r>
      <w:r w:rsidR="00511550">
        <w:t>sand sheet</w:t>
      </w:r>
      <w:r w:rsidRPr="00E079B5">
        <w:t xml:space="preserve"> (12 total)</w:t>
      </w:r>
      <w:r w:rsidR="00511550">
        <w:t xml:space="preserve"> sites</w:t>
      </w:r>
      <w:r w:rsidRPr="00E079B5">
        <w:t xml:space="preserve">. </w:t>
      </w:r>
      <w:r w:rsidR="00E33267">
        <w:t>Each plot</w:t>
      </w:r>
      <w:r w:rsidRPr="00E079B5">
        <w:t xml:space="preserve"> had two erosion measuring stakes with washers so total possible count for erosion and accumulation (</w:t>
      </w:r>
      <w:proofErr w:type="spellStart"/>
      <w:r w:rsidRPr="00E079B5">
        <w:t>Accum</w:t>
      </w:r>
      <w:proofErr w:type="spellEnd"/>
      <w:r w:rsidRPr="00E079B5">
        <w:t xml:space="preserve">) is twice the number of plots. </w:t>
      </w:r>
      <w:r>
        <w:t xml:space="preserve">Each washer with 2 mm or more sediment accumulated on the washer and/or missing from below the washer (erosion) was counted. Accumulated sediment was counted only for washers with at least one-half covered with sediment and washers could exhibit both erosion and accumulation of sediment. </w:t>
      </w:r>
      <w:r w:rsidRPr="00E079B5">
        <w:t>As precise measurement of sediment was difficult because of the configuration</w:t>
      </w:r>
      <w:r>
        <w:t xml:space="preserve"> of the stake and washer set up</w:t>
      </w:r>
      <w:r w:rsidRPr="00E079B5">
        <w:t xml:space="preserve"> and that sediment frequently did not cover the washer evenly, these metrics should be interpreted as indication of the magnitude of sediment movement into (accumulation) and from (erosion) </w:t>
      </w:r>
      <w:r>
        <w:t>each plot</w:t>
      </w:r>
      <w:r w:rsidRPr="00E079B5">
        <w:t>.</w:t>
      </w:r>
    </w:p>
    <w:p w14:paraId="21085D55" w14:textId="77777777" w:rsidR="00E23AF8" w:rsidRDefault="00E23AF8" w:rsidP="00E23AF8">
      <w:pPr>
        <w:spacing w:line="240" w:lineRule="auto"/>
      </w:pPr>
    </w:p>
    <w:tbl>
      <w:tblPr>
        <w:tblW w:w="7360" w:type="dxa"/>
        <w:tblLook w:val="04A0" w:firstRow="1" w:lastRow="0" w:firstColumn="1" w:lastColumn="0" w:noHBand="0" w:noVBand="1"/>
      </w:tblPr>
      <w:tblGrid>
        <w:gridCol w:w="1350"/>
        <w:gridCol w:w="663"/>
        <w:gridCol w:w="1024"/>
        <w:gridCol w:w="896"/>
        <w:gridCol w:w="1024"/>
        <w:gridCol w:w="896"/>
        <w:gridCol w:w="906"/>
        <w:gridCol w:w="794"/>
      </w:tblGrid>
      <w:tr w:rsidR="00004C6A" w:rsidRPr="00004C6A" w14:paraId="13DE0B0F" w14:textId="77777777" w:rsidTr="00511550">
        <w:trPr>
          <w:trHeight w:val="300"/>
        </w:trPr>
        <w:tc>
          <w:tcPr>
            <w:tcW w:w="1350" w:type="dxa"/>
            <w:tcBorders>
              <w:top w:val="single" w:sz="4" w:space="0" w:color="auto"/>
              <w:left w:val="nil"/>
              <w:bottom w:val="nil"/>
              <w:right w:val="nil"/>
            </w:tcBorders>
            <w:shd w:val="clear" w:color="auto" w:fill="auto"/>
            <w:noWrap/>
            <w:vAlign w:val="bottom"/>
            <w:hideMark/>
          </w:tcPr>
          <w:p w14:paraId="0A4F0F94"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470" w:type="dxa"/>
            <w:tcBorders>
              <w:top w:val="single" w:sz="4" w:space="0" w:color="auto"/>
              <w:left w:val="nil"/>
              <w:bottom w:val="nil"/>
              <w:right w:val="nil"/>
            </w:tcBorders>
            <w:shd w:val="clear" w:color="auto" w:fill="auto"/>
            <w:noWrap/>
            <w:vAlign w:val="bottom"/>
            <w:hideMark/>
          </w:tcPr>
          <w:p w14:paraId="16154E1A"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1920" w:type="dxa"/>
            <w:gridSpan w:val="2"/>
            <w:tcBorders>
              <w:top w:val="single" w:sz="4" w:space="0" w:color="auto"/>
              <w:left w:val="nil"/>
              <w:bottom w:val="single" w:sz="8" w:space="0" w:color="auto"/>
              <w:right w:val="nil"/>
            </w:tcBorders>
            <w:shd w:val="clear" w:color="auto" w:fill="auto"/>
            <w:noWrap/>
            <w:vAlign w:val="bottom"/>
            <w:hideMark/>
          </w:tcPr>
          <w:p w14:paraId="4A61EACD" w14:textId="77777777" w:rsidR="00004C6A" w:rsidRPr="00004C6A" w:rsidRDefault="00004C6A" w:rsidP="00004C6A">
            <w:pPr>
              <w:spacing w:after="0" w:line="240" w:lineRule="auto"/>
              <w:jc w:val="center"/>
              <w:rPr>
                <w:rFonts w:ascii="Calibri" w:eastAsia="Times New Roman" w:hAnsi="Calibri" w:cs="Calibri"/>
                <w:color w:val="000000"/>
                <w:sz w:val="22"/>
                <w:szCs w:val="22"/>
              </w:rPr>
            </w:pPr>
            <w:r w:rsidRPr="00004C6A">
              <w:rPr>
                <w:rFonts w:ascii="Calibri" w:eastAsia="Times New Roman" w:hAnsi="Calibri" w:cs="Calibri"/>
                <w:color w:val="000000"/>
                <w:sz w:val="22"/>
                <w:szCs w:val="22"/>
              </w:rPr>
              <w:t>June</w:t>
            </w:r>
          </w:p>
        </w:tc>
        <w:tc>
          <w:tcPr>
            <w:tcW w:w="1920" w:type="dxa"/>
            <w:gridSpan w:val="2"/>
            <w:tcBorders>
              <w:top w:val="single" w:sz="4" w:space="0" w:color="auto"/>
              <w:left w:val="nil"/>
              <w:bottom w:val="single" w:sz="8" w:space="0" w:color="auto"/>
              <w:right w:val="nil"/>
            </w:tcBorders>
            <w:shd w:val="clear" w:color="auto" w:fill="auto"/>
            <w:noWrap/>
            <w:vAlign w:val="bottom"/>
            <w:hideMark/>
          </w:tcPr>
          <w:p w14:paraId="29798C85" w14:textId="77777777" w:rsidR="00004C6A" w:rsidRPr="00004C6A" w:rsidRDefault="00004C6A" w:rsidP="00004C6A">
            <w:pPr>
              <w:spacing w:after="0" w:line="240" w:lineRule="auto"/>
              <w:jc w:val="center"/>
              <w:rPr>
                <w:rFonts w:ascii="Calibri" w:eastAsia="Times New Roman" w:hAnsi="Calibri" w:cs="Calibri"/>
                <w:color w:val="000000"/>
                <w:sz w:val="22"/>
                <w:szCs w:val="22"/>
              </w:rPr>
            </w:pPr>
            <w:r w:rsidRPr="00004C6A">
              <w:rPr>
                <w:rFonts w:ascii="Calibri" w:eastAsia="Times New Roman" w:hAnsi="Calibri" w:cs="Calibri"/>
                <w:color w:val="000000"/>
                <w:sz w:val="22"/>
                <w:szCs w:val="22"/>
              </w:rPr>
              <w:t>July/Aug</w:t>
            </w:r>
          </w:p>
        </w:tc>
        <w:tc>
          <w:tcPr>
            <w:tcW w:w="1700" w:type="dxa"/>
            <w:gridSpan w:val="2"/>
            <w:tcBorders>
              <w:top w:val="single" w:sz="4" w:space="0" w:color="auto"/>
              <w:left w:val="nil"/>
              <w:bottom w:val="single" w:sz="8" w:space="0" w:color="auto"/>
              <w:right w:val="nil"/>
            </w:tcBorders>
            <w:shd w:val="clear" w:color="auto" w:fill="auto"/>
            <w:noWrap/>
            <w:vAlign w:val="bottom"/>
            <w:hideMark/>
          </w:tcPr>
          <w:p w14:paraId="3710A02F" w14:textId="77777777" w:rsidR="00004C6A" w:rsidRPr="00004C6A" w:rsidRDefault="00004C6A" w:rsidP="00004C6A">
            <w:pPr>
              <w:spacing w:after="0" w:line="240" w:lineRule="auto"/>
              <w:jc w:val="center"/>
              <w:rPr>
                <w:rFonts w:ascii="Calibri" w:eastAsia="Times New Roman" w:hAnsi="Calibri" w:cs="Calibri"/>
                <w:color w:val="000000"/>
                <w:sz w:val="22"/>
                <w:szCs w:val="22"/>
              </w:rPr>
            </w:pPr>
            <w:r w:rsidRPr="00004C6A">
              <w:rPr>
                <w:rFonts w:ascii="Calibri" w:eastAsia="Times New Roman" w:hAnsi="Calibri" w:cs="Calibri"/>
                <w:color w:val="000000"/>
                <w:sz w:val="22"/>
                <w:szCs w:val="22"/>
              </w:rPr>
              <w:t>Sept</w:t>
            </w:r>
          </w:p>
        </w:tc>
      </w:tr>
      <w:tr w:rsidR="00004C6A" w:rsidRPr="00004C6A" w14:paraId="306CE9BC" w14:textId="77777777" w:rsidTr="00511550">
        <w:trPr>
          <w:trHeight w:val="288"/>
        </w:trPr>
        <w:tc>
          <w:tcPr>
            <w:tcW w:w="1350" w:type="dxa"/>
            <w:tcBorders>
              <w:top w:val="single" w:sz="8" w:space="0" w:color="auto"/>
              <w:left w:val="nil"/>
              <w:bottom w:val="single" w:sz="4" w:space="0" w:color="auto"/>
              <w:right w:val="nil"/>
            </w:tcBorders>
            <w:shd w:val="clear" w:color="auto" w:fill="auto"/>
            <w:noWrap/>
            <w:vAlign w:val="bottom"/>
            <w:hideMark/>
          </w:tcPr>
          <w:p w14:paraId="485B0C13"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470" w:type="dxa"/>
            <w:tcBorders>
              <w:top w:val="single" w:sz="8" w:space="0" w:color="auto"/>
              <w:left w:val="single" w:sz="4" w:space="0" w:color="auto"/>
              <w:bottom w:val="single" w:sz="4" w:space="0" w:color="auto"/>
              <w:right w:val="nil"/>
            </w:tcBorders>
            <w:shd w:val="clear" w:color="auto" w:fill="auto"/>
            <w:noWrap/>
            <w:vAlign w:val="bottom"/>
            <w:hideMark/>
          </w:tcPr>
          <w:p w14:paraId="67EB15A2"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1024" w:type="dxa"/>
            <w:tcBorders>
              <w:top w:val="nil"/>
              <w:left w:val="nil"/>
              <w:bottom w:val="single" w:sz="4" w:space="0" w:color="auto"/>
              <w:right w:val="nil"/>
            </w:tcBorders>
            <w:shd w:val="clear" w:color="auto" w:fill="auto"/>
            <w:noWrap/>
            <w:vAlign w:val="bottom"/>
            <w:hideMark/>
          </w:tcPr>
          <w:p w14:paraId="40A9D4CC" w14:textId="77777777" w:rsidR="00004C6A" w:rsidRPr="00004C6A" w:rsidRDefault="00004C6A" w:rsidP="00004C6A">
            <w:pPr>
              <w:spacing w:after="0" w:line="240" w:lineRule="auto"/>
              <w:rPr>
                <w:rFonts w:ascii="Calibri" w:eastAsia="Times New Roman" w:hAnsi="Calibri" w:cs="Calibri"/>
                <w:color w:val="000000"/>
                <w:sz w:val="22"/>
                <w:szCs w:val="22"/>
              </w:rPr>
            </w:pPr>
            <w:proofErr w:type="spellStart"/>
            <w:r w:rsidRPr="00004C6A">
              <w:rPr>
                <w:rFonts w:ascii="Calibri" w:eastAsia="Times New Roman" w:hAnsi="Calibri" w:cs="Calibri"/>
                <w:color w:val="000000"/>
                <w:sz w:val="22"/>
                <w:szCs w:val="22"/>
              </w:rPr>
              <w:t>Accum</w:t>
            </w:r>
            <w:proofErr w:type="spellEnd"/>
          </w:p>
        </w:tc>
        <w:tc>
          <w:tcPr>
            <w:tcW w:w="896" w:type="dxa"/>
            <w:tcBorders>
              <w:top w:val="nil"/>
              <w:left w:val="dashed" w:sz="4" w:space="0" w:color="auto"/>
              <w:bottom w:val="single" w:sz="4" w:space="0" w:color="auto"/>
              <w:right w:val="single" w:sz="4" w:space="0" w:color="auto"/>
            </w:tcBorders>
            <w:shd w:val="clear" w:color="auto" w:fill="auto"/>
            <w:noWrap/>
            <w:vAlign w:val="bottom"/>
            <w:hideMark/>
          </w:tcPr>
          <w:p w14:paraId="4E5573FE"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Erode</w:t>
            </w:r>
          </w:p>
        </w:tc>
        <w:tc>
          <w:tcPr>
            <w:tcW w:w="1024" w:type="dxa"/>
            <w:tcBorders>
              <w:top w:val="nil"/>
              <w:left w:val="nil"/>
              <w:bottom w:val="single" w:sz="4" w:space="0" w:color="auto"/>
              <w:right w:val="dashed" w:sz="4" w:space="0" w:color="auto"/>
            </w:tcBorders>
            <w:shd w:val="clear" w:color="auto" w:fill="auto"/>
            <w:noWrap/>
            <w:vAlign w:val="bottom"/>
            <w:hideMark/>
          </w:tcPr>
          <w:p w14:paraId="3F4FC7F7" w14:textId="77777777" w:rsidR="00004C6A" w:rsidRPr="00004C6A" w:rsidRDefault="00004C6A" w:rsidP="00004C6A">
            <w:pPr>
              <w:spacing w:after="0" w:line="240" w:lineRule="auto"/>
              <w:rPr>
                <w:rFonts w:ascii="Calibri" w:eastAsia="Times New Roman" w:hAnsi="Calibri" w:cs="Calibri"/>
                <w:color w:val="000000"/>
                <w:sz w:val="22"/>
                <w:szCs w:val="22"/>
              </w:rPr>
            </w:pPr>
            <w:proofErr w:type="spellStart"/>
            <w:r w:rsidRPr="00004C6A">
              <w:rPr>
                <w:rFonts w:ascii="Calibri" w:eastAsia="Times New Roman" w:hAnsi="Calibri" w:cs="Calibri"/>
                <w:color w:val="000000"/>
                <w:sz w:val="22"/>
                <w:szCs w:val="22"/>
              </w:rPr>
              <w:t>Accum</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72B72FC3"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Erode</w:t>
            </w:r>
          </w:p>
        </w:tc>
        <w:tc>
          <w:tcPr>
            <w:tcW w:w="906" w:type="dxa"/>
            <w:tcBorders>
              <w:top w:val="nil"/>
              <w:left w:val="nil"/>
              <w:bottom w:val="single" w:sz="4" w:space="0" w:color="auto"/>
              <w:right w:val="dashed" w:sz="4" w:space="0" w:color="auto"/>
            </w:tcBorders>
            <w:shd w:val="clear" w:color="auto" w:fill="auto"/>
            <w:noWrap/>
            <w:vAlign w:val="bottom"/>
            <w:hideMark/>
          </w:tcPr>
          <w:p w14:paraId="78B02E4B" w14:textId="77777777" w:rsidR="00004C6A" w:rsidRPr="00004C6A" w:rsidRDefault="00004C6A" w:rsidP="00004C6A">
            <w:pPr>
              <w:spacing w:after="0" w:line="240" w:lineRule="auto"/>
              <w:rPr>
                <w:rFonts w:ascii="Calibri" w:eastAsia="Times New Roman" w:hAnsi="Calibri" w:cs="Calibri"/>
                <w:color w:val="000000"/>
                <w:sz w:val="22"/>
                <w:szCs w:val="22"/>
              </w:rPr>
            </w:pPr>
            <w:proofErr w:type="spellStart"/>
            <w:r w:rsidRPr="00004C6A">
              <w:rPr>
                <w:rFonts w:ascii="Calibri" w:eastAsia="Times New Roman" w:hAnsi="Calibri" w:cs="Calibri"/>
                <w:color w:val="000000"/>
                <w:sz w:val="22"/>
                <w:szCs w:val="22"/>
              </w:rPr>
              <w:t>Accum</w:t>
            </w:r>
            <w:proofErr w:type="spellEnd"/>
          </w:p>
        </w:tc>
        <w:tc>
          <w:tcPr>
            <w:tcW w:w="794" w:type="dxa"/>
            <w:tcBorders>
              <w:top w:val="nil"/>
              <w:left w:val="nil"/>
              <w:bottom w:val="single" w:sz="4" w:space="0" w:color="auto"/>
              <w:right w:val="nil"/>
            </w:tcBorders>
            <w:shd w:val="clear" w:color="auto" w:fill="auto"/>
            <w:noWrap/>
            <w:vAlign w:val="bottom"/>
            <w:hideMark/>
          </w:tcPr>
          <w:p w14:paraId="19ECE72A"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Erode</w:t>
            </w:r>
          </w:p>
        </w:tc>
      </w:tr>
      <w:tr w:rsidR="00004C6A" w:rsidRPr="00004C6A" w14:paraId="32281579" w14:textId="77777777" w:rsidTr="00511550">
        <w:trPr>
          <w:trHeight w:val="288"/>
        </w:trPr>
        <w:tc>
          <w:tcPr>
            <w:tcW w:w="1350" w:type="dxa"/>
            <w:tcBorders>
              <w:top w:val="nil"/>
              <w:left w:val="nil"/>
              <w:bottom w:val="nil"/>
              <w:right w:val="nil"/>
            </w:tcBorders>
            <w:shd w:val="clear" w:color="auto" w:fill="auto"/>
            <w:noWrap/>
            <w:vAlign w:val="bottom"/>
            <w:hideMark/>
          </w:tcPr>
          <w:p w14:paraId="5D4FA2F8" w14:textId="0DF98E62" w:rsidR="00004C6A" w:rsidRPr="00004C6A" w:rsidRDefault="00511550" w:rsidP="00004C6A">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Sand Sheet</w:t>
            </w:r>
          </w:p>
        </w:tc>
        <w:tc>
          <w:tcPr>
            <w:tcW w:w="470" w:type="dxa"/>
            <w:tcBorders>
              <w:top w:val="nil"/>
              <w:left w:val="single" w:sz="4" w:space="0" w:color="auto"/>
              <w:bottom w:val="nil"/>
              <w:right w:val="nil"/>
            </w:tcBorders>
            <w:shd w:val="clear" w:color="auto" w:fill="auto"/>
            <w:noWrap/>
            <w:vAlign w:val="bottom"/>
            <w:hideMark/>
          </w:tcPr>
          <w:p w14:paraId="532BDD7B"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2015</w:t>
            </w:r>
          </w:p>
        </w:tc>
        <w:tc>
          <w:tcPr>
            <w:tcW w:w="1024" w:type="dxa"/>
            <w:tcBorders>
              <w:top w:val="nil"/>
              <w:left w:val="nil"/>
              <w:bottom w:val="nil"/>
              <w:right w:val="nil"/>
            </w:tcBorders>
            <w:shd w:val="clear" w:color="auto" w:fill="auto"/>
            <w:noWrap/>
            <w:vAlign w:val="bottom"/>
            <w:hideMark/>
          </w:tcPr>
          <w:p w14:paraId="54DCAC45"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7</w:t>
            </w:r>
          </w:p>
        </w:tc>
        <w:tc>
          <w:tcPr>
            <w:tcW w:w="896" w:type="dxa"/>
            <w:tcBorders>
              <w:top w:val="nil"/>
              <w:left w:val="dashed" w:sz="4" w:space="0" w:color="auto"/>
              <w:bottom w:val="nil"/>
              <w:right w:val="single" w:sz="4" w:space="0" w:color="auto"/>
            </w:tcBorders>
            <w:shd w:val="clear" w:color="auto" w:fill="auto"/>
            <w:noWrap/>
            <w:vAlign w:val="bottom"/>
            <w:hideMark/>
          </w:tcPr>
          <w:p w14:paraId="30C9C52F"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0</w:t>
            </w:r>
          </w:p>
        </w:tc>
        <w:tc>
          <w:tcPr>
            <w:tcW w:w="1024" w:type="dxa"/>
            <w:tcBorders>
              <w:top w:val="nil"/>
              <w:left w:val="nil"/>
              <w:bottom w:val="nil"/>
              <w:right w:val="dashed" w:sz="4" w:space="0" w:color="auto"/>
            </w:tcBorders>
            <w:shd w:val="clear" w:color="auto" w:fill="auto"/>
            <w:noWrap/>
            <w:vAlign w:val="bottom"/>
            <w:hideMark/>
          </w:tcPr>
          <w:p w14:paraId="479E680D"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4</w:t>
            </w:r>
          </w:p>
        </w:tc>
        <w:tc>
          <w:tcPr>
            <w:tcW w:w="896" w:type="dxa"/>
            <w:tcBorders>
              <w:top w:val="nil"/>
              <w:left w:val="nil"/>
              <w:bottom w:val="nil"/>
              <w:right w:val="single" w:sz="4" w:space="0" w:color="auto"/>
            </w:tcBorders>
            <w:shd w:val="clear" w:color="auto" w:fill="auto"/>
            <w:noWrap/>
            <w:vAlign w:val="bottom"/>
            <w:hideMark/>
          </w:tcPr>
          <w:p w14:paraId="230A9B9B"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2</w:t>
            </w:r>
          </w:p>
        </w:tc>
        <w:tc>
          <w:tcPr>
            <w:tcW w:w="906" w:type="dxa"/>
            <w:tcBorders>
              <w:top w:val="nil"/>
              <w:left w:val="nil"/>
              <w:bottom w:val="nil"/>
              <w:right w:val="dashed" w:sz="4" w:space="0" w:color="auto"/>
            </w:tcBorders>
            <w:shd w:val="clear" w:color="auto" w:fill="auto"/>
            <w:noWrap/>
            <w:vAlign w:val="bottom"/>
            <w:hideMark/>
          </w:tcPr>
          <w:p w14:paraId="69005DD3"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9</w:t>
            </w:r>
          </w:p>
        </w:tc>
        <w:tc>
          <w:tcPr>
            <w:tcW w:w="794" w:type="dxa"/>
            <w:tcBorders>
              <w:top w:val="nil"/>
              <w:left w:val="nil"/>
              <w:bottom w:val="nil"/>
              <w:right w:val="nil"/>
            </w:tcBorders>
            <w:shd w:val="clear" w:color="auto" w:fill="auto"/>
            <w:noWrap/>
            <w:vAlign w:val="bottom"/>
            <w:hideMark/>
          </w:tcPr>
          <w:p w14:paraId="4E1C63A8"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25</w:t>
            </w:r>
          </w:p>
        </w:tc>
      </w:tr>
      <w:tr w:rsidR="00004C6A" w:rsidRPr="00004C6A" w14:paraId="00AB4C52" w14:textId="77777777" w:rsidTr="00511550">
        <w:trPr>
          <w:trHeight w:val="288"/>
        </w:trPr>
        <w:tc>
          <w:tcPr>
            <w:tcW w:w="1350" w:type="dxa"/>
            <w:tcBorders>
              <w:top w:val="dashed" w:sz="4" w:space="0" w:color="auto"/>
              <w:left w:val="nil"/>
              <w:bottom w:val="single" w:sz="4" w:space="0" w:color="auto"/>
              <w:right w:val="nil"/>
            </w:tcBorders>
            <w:shd w:val="clear" w:color="auto" w:fill="auto"/>
            <w:noWrap/>
            <w:vAlign w:val="bottom"/>
            <w:hideMark/>
          </w:tcPr>
          <w:p w14:paraId="46CC9CF2"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470" w:type="dxa"/>
            <w:tcBorders>
              <w:top w:val="dashed" w:sz="4" w:space="0" w:color="auto"/>
              <w:left w:val="single" w:sz="4" w:space="0" w:color="auto"/>
              <w:bottom w:val="single" w:sz="4" w:space="0" w:color="auto"/>
              <w:right w:val="nil"/>
            </w:tcBorders>
            <w:shd w:val="clear" w:color="auto" w:fill="auto"/>
            <w:noWrap/>
            <w:vAlign w:val="bottom"/>
            <w:hideMark/>
          </w:tcPr>
          <w:p w14:paraId="32ADCF86"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2016</w:t>
            </w:r>
          </w:p>
        </w:tc>
        <w:tc>
          <w:tcPr>
            <w:tcW w:w="1024" w:type="dxa"/>
            <w:tcBorders>
              <w:top w:val="dashed" w:sz="4" w:space="0" w:color="auto"/>
              <w:left w:val="nil"/>
              <w:bottom w:val="single" w:sz="4" w:space="0" w:color="auto"/>
              <w:right w:val="nil"/>
            </w:tcBorders>
            <w:shd w:val="clear" w:color="auto" w:fill="auto"/>
            <w:noWrap/>
            <w:vAlign w:val="bottom"/>
            <w:hideMark/>
          </w:tcPr>
          <w:p w14:paraId="50FF18D4"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15</w:t>
            </w:r>
          </w:p>
        </w:tc>
        <w:tc>
          <w:tcPr>
            <w:tcW w:w="896" w:type="dxa"/>
            <w:tcBorders>
              <w:top w:val="dashed" w:sz="4" w:space="0" w:color="auto"/>
              <w:left w:val="dashed" w:sz="4" w:space="0" w:color="auto"/>
              <w:bottom w:val="single" w:sz="4" w:space="0" w:color="auto"/>
              <w:right w:val="single" w:sz="4" w:space="0" w:color="auto"/>
            </w:tcBorders>
            <w:shd w:val="clear" w:color="auto" w:fill="auto"/>
            <w:noWrap/>
            <w:vAlign w:val="bottom"/>
            <w:hideMark/>
          </w:tcPr>
          <w:p w14:paraId="65684BFD"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14</w:t>
            </w:r>
          </w:p>
        </w:tc>
        <w:tc>
          <w:tcPr>
            <w:tcW w:w="1024" w:type="dxa"/>
            <w:tcBorders>
              <w:top w:val="dashed" w:sz="4" w:space="0" w:color="auto"/>
              <w:left w:val="nil"/>
              <w:bottom w:val="single" w:sz="4" w:space="0" w:color="auto"/>
              <w:right w:val="dashed" w:sz="4" w:space="0" w:color="auto"/>
            </w:tcBorders>
            <w:shd w:val="clear" w:color="auto" w:fill="auto"/>
            <w:noWrap/>
            <w:vAlign w:val="bottom"/>
            <w:hideMark/>
          </w:tcPr>
          <w:p w14:paraId="6D3813FB"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36</w:t>
            </w:r>
          </w:p>
        </w:tc>
        <w:tc>
          <w:tcPr>
            <w:tcW w:w="896" w:type="dxa"/>
            <w:tcBorders>
              <w:top w:val="dashed" w:sz="4" w:space="0" w:color="auto"/>
              <w:left w:val="nil"/>
              <w:bottom w:val="single" w:sz="4" w:space="0" w:color="auto"/>
              <w:right w:val="single" w:sz="4" w:space="0" w:color="auto"/>
            </w:tcBorders>
            <w:shd w:val="clear" w:color="auto" w:fill="auto"/>
            <w:noWrap/>
            <w:vAlign w:val="bottom"/>
            <w:hideMark/>
          </w:tcPr>
          <w:p w14:paraId="1B6373AE"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w:t>
            </w:r>
          </w:p>
        </w:tc>
        <w:tc>
          <w:tcPr>
            <w:tcW w:w="906" w:type="dxa"/>
            <w:tcBorders>
              <w:top w:val="dashed" w:sz="4" w:space="0" w:color="auto"/>
              <w:left w:val="nil"/>
              <w:bottom w:val="single" w:sz="4" w:space="0" w:color="auto"/>
              <w:right w:val="dashed" w:sz="4" w:space="0" w:color="auto"/>
            </w:tcBorders>
            <w:shd w:val="clear" w:color="auto" w:fill="auto"/>
            <w:noWrap/>
            <w:vAlign w:val="bottom"/>
            <w:hideMark/>
          </w:tcPr>
          <w:p w14:paraId="5159987A"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19</w:t>
            </w:r>
          </w:p>
        </w:tc>
        <w:tc>
          <w:tcPr>
            <w:tcW w:w="794" w:type="dxa"/>
            <w:tcBorders>
              <w:top w:val="dashed" w:sz="4" w:space="0" w:color="auto"/>
              <w:left w:val="nil"/>
              <w:bottom w:val="single" w:sz="4" w:space="0" w:color="auto"/>
              <w:right w:val="nil"/>
            </w:tcBorders>
            <w:shd w:val="clear" w:color="auto" w:fill="auto"/>
            <w:noWrap/>
            <w:vAlign w:val="bottom"/>
            <w:hideMark/>
          </w:tcPr>
          <w:p w14:paraId="753B57FC"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14</w:t>
            </w:r>
          </w:p>
        </w:tc>
      </w:tr>
      <w:tr w:rsidR="00004C6A" w:rsidRPr="00004C6A" w14:paraId="5D73794F" w14:textId="77777777" w:rsidTr="00511550">
        <w:trPr>
          <w:trHeight w:val="288"/>
        </w:trPr>
        <w:tc>
          <w:tcPr>
            <w:tcW w:w="1350" w:type="dxa"/>
            <w:tcBorders>
              <w:top w:val="nil"/>
              <w:left w:val="nil"/>
              <w:bottom w:val="nil"/>
              <w:right w:val="nil"/>
            </w:tcBorders>
            <w:shd w:val="clear" w:color="auto" w:fill="auto"/>
            <w:noWrap/>
            <w:vAlign w:val="bottom"/>
            <w:hideMark/>
          </w:tcPr>
          <w:p w14:paraId="469B9D50" w14:textId="665B03A9" w:rsidR="00004C6A" w:rsidRPr="00004C6A" w:rsidRDefault="00511550" w:rsidP="00004C6A">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Sand Dune</w:t>
            </w:r>
          </w:p>
        </w:tc>
        <w:tc>
          <w:tcPr>
            <w:tcW w:w="470" w:type="dxa"/>
            <w:tcBorders>
              <w:top w:val="nil"/>
              <w:left w:val="single" w:sz="4" w:space="0" w:color="auto"/>
              <w:bottom w:val="nil"/>
              <w:right w:val="nil"/>
            </w:tcBorders>
            <w:shd w:val="clear" w:color="auto" w:fill="auto"/>
            <w:noWrap/>
            <w:vAlign w:val="bottom"/>
            <w:hideMark/>
          </w:tcPr>
          <w:p w14:paraId="5AEED064"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2015</w:t>
            </w:r>
          </w:p>
        </w:tc>
        <w:tc>
          <w:tcPr>
            <w:tcW w:w="1024" w:type="dxa"/>
            <w:tcBorders>
              <w:top w:val="nil"/>
              <w:left w:val="nil"/>
              <w:bottom w:val="nil"/>
              <w:right w:val="nil"/>
            </w:tcBorders>
            <w:shd w:val="clear" w:color="auto" w:fill="auto"/>
            <w:noWrap/>
            <w:vAlign w:val="bottom"/>
            <w:hideMark/>
          </w:tcPr>
          <w:p w14:paraId="16BD78D4"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4</w:t>
            </w:r>
          </w:p>
        </w:tc>
        <w:tc>
          <w:tcPr>
            <w:tcW w:w="896" w:type="dxa"/>
            <w:tcBorders>
              <w:top w:val="nil"/>
              <w:left w:val="dashed" w:sz="4" w:space="0" w:color="auto"/>
              <w:bottom w:val="nil"/>
              <w:right w:val="single" w:sz="4" w:space="0" w:color="auto"/>
            </w:tcBorders>
            <w:shd w:val="clear" w:color="auto" w:fill="auto"/>
            <w:noWrap/>
            <w:vAlign w:val="bottom"/>
            <w:hideMark/>
          </w:tcPr>
          <w:p w14:paraId="7DD11116"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0</w:t>
            </w:r>
          </w:p>
        </w:tc>
        <w:tc>
          <w:tcPr>
            <w:tcW w:w="1024" w:type="dxa"/>
            <w:tcBorders>
              <w:top w:val="nil"/>
              <w:left w:val="nil"/>
              <w:bottom w:val="nil"/>
              <w:right w:val="dashed" w:sz="4" w:space="0" w:color="auto"/>
            </w:tcBorders>
            <w:shd w:val="clear" w:color="auto" w:fill="auto"/>
            <w:noWrap/>
            <w:vAlign w:val="bottom"/>
            <w:hideMark/>
          </w:tcPr>
          <w:p w14:paraId="58898269"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w:t>
            </w:r>
          </w:p>
        </w:tc>
        <w:tc>
          <w:tcPr>
            <w:tcW w:w="896" w:type="dxa"/>
            <w:tcBorders>
              <w:top w:val="nil"/>
              <w:left w:val="nil"/>
              <w:bottom w:val="nil"/>
              <w:right w:val="single" w:sz="4" w:space="0" w:color="auto"/>
            </w:tcBorders>
            <w:shd w:val="clear" w:color="auto" w:fill="auto"/>
            <w:noWrap/>
            <w:vAlign w:val="bottom"/>
            <w:hideMark/>
          </w:tcPr>
          <w:p w14:paraId="2E5CD515"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2</w:t>
            </w:r>
          </w:p>
        </w:tc>
        <w:tc>
          <w:tcPr>
            <w:tcW w:w="906" w:type="dxa"/>
            <w:tcBorders>
              <w:top w:val="nil"/>
              <w:left w:val="nil"/>
              <w:bottom w:val="nil"/>
              <w:right w:val="dashed" w:sz="4" w:space="0" w:color="auto"/>
            </w:tcBorders>
            <w:shd w:val="clear" w:color="auto" w:fill="auto"/>
            <w:noWrap/>
            <w:vAlign w:val="bottom"/>
            <w:hideMark/>
          </w:tcPr>
          <w:p w14:paraId="3A673F6D"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6</w:t>
            </w:r>
          </w:p>
        </w:tc>
        <w:tc>
          <w:tcPr>
            <w:tcW w:w="794" w:type="dxa"/>
            <w:tcBorders>
              <w:top w:val="nil"/>
              <w:left w:val="nil"/>
              <w:bottom w:val="nil"/>
              <w:right w:val="nil"/>
            </w:tcBorders>
            <w:shd w:val="clear" w:color="auto" w:fill="auto"/>
            <w:noWrap/>
            <w:vAlign w:val="bottom"/>
            <w:hideMark/>
          </w:tcPr>
          <w:p w14:paraId="25F9064D"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8</w:t>
            </w:r>
          </w:p>
        </w:tc>
      </w:tr>
      <w:tr w:rsidR="00004C6A" w:rsidRPr="00004C6A" w14:paraId="1050B7A7" w14:textId="77777777" w:rsidTr="00E33267">
        <w:trPr>
          <w:trHeight w:val="300"/>
        </w:trPr>
        <w:tc>
          <w:tcPr>
            <w:tcW w:w="1350" w:type="dxa"/>
            <w:tcBorders>
              <w:top w:val="dashed" w:sz="4" w:space="0" w:color="auto"/>
              <w:left w:val="nil"/>
              <w:bottom w:val="dashed" w:sz="4" w:space="0" w:color="auto"/>
              <w:right w:val="nil"/>
            </w:tcBorders>
            <w:shd w:val="clear" w:color="auto" w:fill="auto"/>
            <w:noWrap/>
            <w:vAlign w:val="bottom"/>
            <w:hideMark/>
          </w:tcPr>
          <w:p w14:paraId="3201B486"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 </w:t>
            </w:r>
          </w:p>
        </w:tc>
        <w:tc>
          <w:tcPr>
            <w:tcW w:w="470" w:type="dxa"/>
            <w:tcBorders>
              <w:top w:val="dashed" w:sz="4" w:space="0" w:color="auto"/>
              <w:left w:val="single" w:sz="4" w:space="0" w:color="auto"/>
              <w:bottom w:val="dashed" w:sz="4" w:space="0" w:color="auto"/>
              <w:right w:val="nil"/>
            </w:tcBorders>
            <w:shd w:val="clear" w:color="auto" w:fill="auto"/>
            <w:noWrap/>
            <w:vAlign w:val="bottom"/>
            <w:hideMark/>
          </w:tcPr>
          <w:p w14:paraId="067756F1" w14:textId="77777777" w:rsidR="00004C6A" w:rsidRPr="00004C6A" w:rsidRDefault="00004C6A" w:rsidP="00004C6A">
            <w:pPr>
              <w:spacing w:after="0" w:line="240" w:lineRule="auto"/>
              <w:rPr>
                <w:rFonts w:ascii="Calibri" w:eastAsia="Times New Roman" w:hAnsi="Calibri" w:cs="Calibri"/>
                <w:color w:val="000000"/>
                <w:sz w:val="22"/>
                <w:szCs w:val="22"/>
              </w:rPr>
            </w:pPr>
            <w:r w:rsidRPr="00004C6A">
              <w:rPr>
                <w:rFonts w:ascii="Calibri" w:eastAsia="Times New Roman" w:hAnsi="Calibri" w:cs="Calibri"/>
                <w:color w:val="000000"/>
                <w:sz w:val="22"/>
                <w:szCs w:val="22"/>
              </w:rPr>
              <w:t>2016</w:t>
            </w:r>
          </w:p>
        </w:tc>
        <w:tc>
          <w:tcPr>
            <w:tcW w:w="1024" w:type="dxa"/>
            <w:tcBorders>
              <w:top w:val="dashed" w:sz="4" w:space="0" w:color="auto"/>
              <w:left w:val="nil"/>
              <w:bottom w:val="dashed" w:sz="4" w:space="0" w:color="auto"/>
              <w:right w:val="nil"/>
            </w:tcBorders>
            <w:shd w:val="clear" w:color="auto" w:fill="auto"/>
            <w:noWrap/>
            <w:vAlign w:val="bottom"/>
            <w:hideMark/>
          </w:tcPr>
          <w:p w14:paraId="2B4F225C"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11</w:t>
            </w:r>
          </w:p>
        </w:tc>
        <w:tc>
          <w:tcPr>
            <w:tcW w:w="896" w:type="dxa"/>
            <w:tcBorders>
              <w:top w:val="dashed" w:sz="4" w:space="0" w:color="auto"/>
              <w:left w:val="dashed" w:sz="4" w:space="0" w:color="auto"/>
              <w:bottom w:val="dashed" w:sz="4" w:space="0" w:color="auto"/>
              <w:right w:val="single" w:sz="4" w:space="0" w:color="auto"/>
            </w:tcBorders>
            <w:shd w:val="clear" w:color="auto" w:fill="auto"/>
            <w:noWrap/>
            <w:vAlign w:val="bottom"/>
            <w:hideMark/>
          </w:tcPr>
          <w:p w14:paraId="15E5EFDA"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6</w:t>
            </w:r>
          </w:p>
        </w:tc>
        <w:tc>
          <w:tcPr>
            <w:tcW w:w="1024" w:type="dxa"/>
            <w:tcBorders>
              <w:top w:val="dashed" w:sz="4" w:space="0" w:color="auto"/>
              <w:left w:val="nil"/>
              <w:bottom w:val="dashed" w:sz="4" w:space="0" w:color="auto"/>
              <w:right w:val="dashed" w:sz="4" w:space="0" w:color="auto"/>
            </w:tcBorders>
            <w:shd w:val="clear" w:color="auto" w:fill="auto"/>
            <w:noWrap/>
            <w:vAlign w:val="bottom"/>
            <w:hideMark/>
          </w:tcPr>
          <w:p w14:paraId="312F3C2A"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17</w:t>
            </w:r>
          </w:p>
        </w:tc>
        <w:tc>
          <w:tcPr>
            <w:tcW w:w="896" w:type="dxa"/>
            <w:tcBorders>
              <w:top w:val="dashed" w:sz="4" w:space="0" w:color="auto"/>
              <w:left w:val="nil"/>
              <w:bottom w:val="dashed" w:sz="4" w:space="0" w:color="auto"/>
              <w:right w:val="single" w:sz="4" w:space="0" w:color="auto"/>
            </w:tcBorders>
            <w:shd w:val="clear" w:color="auto" w:fill="auto"/>
            <w:noWrap/>
            <w:vAlign w:val="bottom"/>
            <w:hideMark/>
          </w:tcPr>
          <w:p w14:paraId="7C23D30C"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1</w:t>
            </w:r>
          </w:p>
        </w:tc>
        <w:tc>
          <w:tcPr>
            <w:tcW w:w="906" w:type="dxa"/>
            <w:tcBorders>
              <w:top w:val="dashed" w:sz="4" w:space="0" w:color="auto"/>
              <w:left w:val="nil"/>
              <w:bottom w:val="dashed" w:sz="4" w:space="0" w:color="auto"/>
              <w:right w:val="dashed" w:sz="4" w:space="0" w:color="auto"/>
            </w:tcBorders>
            <w:shd w:val="clear" w:color="auto" w:fill="auto"/>
            <w:noWrap/>
            <w:vAlign w:val="bottom"/>
            <w:hideMark/>
          </w:tcPr>
          <w:p w14:paraId="0564719E"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4</w:t>
            </w:r>
          </w:p>
        </w:tc>
        <w:tc>
          <w:tcPr>
            <w:tcW w:w="794" w:type="dxa"/>
            <w:tcBorders>
              <w:top w:val="dashed" w:sz="4" w:space="0" w:color="auto"/>
              <w:left w:val="nil"/>
              <w:bottom w:val="dashed" w:sz="4" w:space="0" w:color="auto"/>
              <w:right w:val="nil"/>
            </w:tcBorders>
            <w:shd w:val="clear" w:color="auto" w:fill="auto"/>
            <w:noWrap/>
            <w:vAlign w:val="bottom"/>
            <w:hideMark/>
          </w:tcPr>
          <w:p w14:paraId="7967706B" w14:textId="77777777" w:rsidR="00004C6A" w:rsidRPr="00004C6A" w:rsidRDefault="00004C6A" w:rsidP="00004C6A">
            <w:pPr>
              <w:spacing w:after="0" w:line="240" w:lineRule="auto"/>
              <w:jc w:val="right"/>
              <w:rPr>
                <w:rFonts w:ascii="Calibri" w:eastAsia="Times New Roman" w:hAnsi="Calibri" w:cs="Calibri"/>
                <w:color w:val="000000"/>
                <w:sz w:val="22"/>
                <w:szCs w:val="22"/>
              </w:rPr>
            </w:pPr>
            <w:r w:rsidRPr="00004C6A">
              <w:rPr>
                <w:rFonts w:ascii="Calibri" w:eastAsia="Times New Roman" w:hAnsi="Calibri" w:cs="Calibri"/>
                <w:color w:val="000000"/>
                <w:sz w:val="22"/>
                <w:szCs w:val="22"/>
              </w:rPr>
              <w:t>6</w:t>
            </w:r>
          </w:p>
        </w:tc>
      </w:tr>
      <w:tr w:rsidR="00E33267" w:rsidRPr="00004C6A" w14:paraId="3FA6B0F9" w14:textId="77777777" w:rsidTr="00511550">
        <w:trPr>
          <w:trHeight w:val="300"/>
        </w:trPr>
        <w:tc>
          <w:tcPr>
            <w:tcW w:w="1350" w:type="dxa"/>
            <w:tcBorders>
              <w:top w:val="dashed" w:sz="4" w:space="0" w:color="auto"/>
              <w:left w:val="nil"/>
              <w:bottom w:val="single" w:sz="8" w:space="0" w:color="auto"/>
              <w:right w:val="nil"/>
            </w:tcBorders>
            <w:shd w:val="clear" w:color="auto" w:fill="auto"/>
            <w:noWrap/>
            <w:vAlign w:val="bottom"/>
          </w:tcPr>
          <w:p w14:paraId="0B91343E" w14:textId="614F8FD3" w:rsidR="00E33267" w:rsidRPr="00004C6A" w:rsidRDefault="00E33267" w:rsidP="00004C6A">
            <w:pPr>
              <w:spacing w:after="0" w:line="240" w:lineRule="auto"/>
              <w:rPr>
                <w:rFonts w:ascii="Calibri" w:eastAsia="Times New Roman" w:hAnsi="Calibri" w:cs="Calibri"/>
                <w:color w:val="000000"/>
                <w:sz w:val="22"/>
                <w:szCs w:val="22"/>
              </w:rPr>
            </w:pPr>
          </w:p>
        </w:tc>
        <w:tc>
          <w:tcPr>
            <w:tcW w:w="470" w:type="dxa"/>
            <w:tcBorders>
              <w:top w:val="dashed" w:sz="4" w:space="0" w:color="auto"/>
              <w:left w:val="single" w:sz="4" w:space="0" w:color="auto"/>
              <w:bottom w:val="single" w:sz="8" w:space="0" w:color="auto"/>
              <w:right w:val="nil"/>
            </w:tcBorders>
            <w:shd w:val="clear" w:color="auto" w:fill="auto"/>
            <w:noWrap/>
            <w:vAlign w:val="bottom"/>
          </w:tcPr>
          <w:p w14:paraId="5C8DF399" w14:textId="77777777" w:rsidR="00E33267" w:rsidRPr="00004C6A" w:rsidRDefault="00E33267" w:rsidP="00004C6A">
            <w:pPr>
              <w:spacing w:after="0" w:line="240" w:lineRule="auto"/>
              <w:rPr>
                <w:rFonts w:ascii="Calibri" w:eastAsia="Times New Roman" w:hAnsi="Calibri" w:cs="Calibri"/>
                <w:color w:val="000000"/>
                <w:sz w:val="22"/>
                <w:szCs w:val="22"/>
              </w:rPr>
            </w:pPr>
          </w:p>
        </w:tc>
        <w:tc>
          <w:tcPr>
            <w:tcW w:w="1024" w:type="dxa"/>
            <w:tcBorders>
              <w:top w:val="dashed" w:sz="4" w:space="0" w:color="auto"/>
              <w:left w:val="nil"/>
              <w:bottom w:val="single" w:sz="8" w:space="0" w:color="auto"/>
              <w:right w:val="nil"/>
            </w:tcBorders>
            <w:shd w:val="clear" w:color="auto" w:fill="auto"/>
            <w:noWrap/>
            <w:vAlign w:val="bottom"/>
          </w:tcPr>
          <w:p w14:paraId="4CC7114C"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c>
          <w:tcPr>
            <w:tcW w:w="896" w:type="dxa"/>
            <w:tcBorders>
              <w:top w:val="dashed" w:sz="4" w:space="0" w:color="auto"/>
              <w:left w:val="dashed" w:sz="4" w:space="0" w:color="auto"/>
              <w:bottom w:val="single" w:sz="8" w:space="0" w:color="auto"/>
              <w:right w:val="single" w:sz="4" w:space="0" w:color="auto"/>
            </w:tcBorders>
            <w:shd w:val="clear" w:color="auto" w:fill="auto"/>
            <w:noWrap/>
            <w:vAlign w:val="bottom"/>
          </w:tcPr>
          <w:p w14:paraId="0BEF65F5"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c>
          <w:tcPr>
            <w:tcW w:w="1024" w:type="dxa"/>
            <w:tcBorders>
              <w:top w:val="dashed" w:sz="4" w:space="0" w:color="auto"/>
              <w:left w:val="nil"/>
              <w:bottom w:val="single" w:sz="8" w:space="0" w:color="auto"/>
              <w:right w:val="dashed" w:sz="4" w:space="0" w:color="auto"/>
            </w:tcBorders>
            <w:shd w:val="clear" w:color="auto" w:fill="auto"/>
            <w:noWrap/>
            <w:vAlign w:val="bottom"/>
          </w:tcPr>
          <w:p w14:paraId="7A271735"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c>
          <w:tcPr>
            <w:tcW w:w="896" w:type="dxa"/>
            <w:tcBorders>
              <w:top w:val="dashed" w:sz="4" w:space="0" w:color="auto"/>
              <w:left w:val="nil"/>
              <w:bottom w:val="single" w:sz="8" w:space="0" w:color="auto"/>
              <w:right w:val="single" w:sz="4" w:space="0" w:color="auto"/>
            </w:tcBorders>
            <w:shd w:val="clear" w:color="auto" w:fill="auto"/>
            <w:noWrap/>
            <w:vAlign w:val="bottom"/>
          </w:tcPr>
          <w:p w14:paraId="48B236BA"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c>
          <w:tcPr>
            <w:tcW w:w="906" w:type="dxa"/>
            <w:tcBorders>
              <w:top w:val="dashed" w:sz="4" w:space="0" w:color="auto"/>
              <w:left w:val="nil"/>
              <w:bottom w:val="single" w:sz="8" w:space="0" w:color="auto"/>
              <w:right w:val="dashed" w:sz="4" w:space="0" w:color="auto"/>
            </w:tcBorders>
            <w:shd w:val="clear" w:color="auto" w:fill="auto"/>
            <w:noWrap/>
            <w:vAlign w:val="bottom"/>
          </w:tcPr>
          <w:p w14:paraId="77EA5BC1"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c>
          <w:tcPr>
            <w:tcW w:w="794" w:type="dxa"/>
            <w:tcBorders>
              <w:top w:val="dashed" w:sz="4" w:space="0" w:color="auto"/>
              <w:left w:val="nil"/>
              <w:bottom w:val="single" w:sz="8" w:space="0" w:color="auto"/>
              <w:right w:val="nil"/>
            </w:tcBorders>
            <w:shd w:val="clear" w:color="auto" w:fill="auto"/>
            <w:noWrap/>
            <w:vAlign w:val="bottom"/>
          </w:tcPr>
          <w:p w14:paraId="74CEE150" w14:textId="77777777" w:rsidR="00E33267" w:rsidRPr="00004C6A" w:rsidRDefault="00E33267" w:rsidP="00004C6A">
            <w:pPr>
              <w:spacing w:after="0" w:line="240" w:lineRule="auto"/>
              <w:jc w:val="right"/>
              <w:rPr>
                <w:rFonts w:ascii="Calibri" w:eastAsia="Times New Roman" w:hAnsi="Calibri" w:cs="Calibri"/>
                <w:color w:val="000000"/>
                <w:sz w:val="22"/>
                <w:szCs w:val="22"/>
              </w:rPr>
            </w:pPr>
          </w:p>
        </w:tc>
      </w:tr>
    </w:tbl>
    <w:p w14:paraId="3DA7155A" w14:textId="77777777" w:rsidR="00E23AF8" w:rsidRDefault="00E23AF8" w:rsidP="00E23AF8">
      <w:pPr>
        <w:spacing w:line="259" w:lineRule="auto"/>
      </w:pPr>
    </w:p>
    <w:p w14:paraId="3B5F1B9A" w14:textId="4A6091DB" w:rsidR="00E33267" w:rsidRDefault="00E33267" w:rsidP="00E23AF8">
      <w:pPr>
        <w:spacing w:line="240" w:lineRule="auto"/>
      </w:pPr>
    </w:p>
    <w:p w14:paraId="332C6E6C" w14:textId="5A54C68B" w:rsidR="00B133CC" w:rsidRDefault="00E33267" w:rsidP="00E23AF8">
      <w:pPr>
        <w:spacing w:line="240" w:lineRule="auto"/>
      </w:pPr>
      <w:r w:rsidRPr="00E23AF8">
        <w:rPr>
          <w:b/>
        </w:rPr>
        <w:t>Table S</w:t>
      </w:r>
      <w:r w:rsidR="00C17C0B">
        <w:rPr>
          <w:b/>
        </w:rPr>
        <w:t>3</w:t>
      </w:r>
      <w:r>
        <w:t xml:space="preserve"> Average cover estimates (%</w:t>
      </w:r>
      <w:r w:rsidR="00096CE3">
        <w:t>) for control plots in 2015 and 2016 sampling periods and the standard deviations of those estimates (SD). The sand dune site had six control plots and the sand sheet had four control plots in 2015 and eight in 2016. The averages do not include the target</w:t>
      </w:r>
      <w:r>
        <w:t>ed coppice mound</w:t>
      </w:r>
      <w:r w:rsidR="00096CE3">
        <w:t xml:space="preserve"> on the sand dune</w:t>
      </w:r>
      <w:r>
        <w:t>.</w:t>
      </w:r>
      <w:r w:rsidR="00096CE3">
        <w:t xml:space="preserve"> </w:t>
      </w:r>
      <w:r>
        <w:t xml:space="preserve"> </w:t>
      </w:r>
    </w:p>
    <w:tbl>
      <w:tblPr>
        <w:tblW w:w="5000" w:type="pct"/>
        <w:tblLook w:val="04A0" w:firstRow="1" w:lastRow="0" w:firstColumn="1" w:lastColumn="0" w:noHBand="0" w:noVBand="1"/>
      </w:tblPr>
      <w:tblGrid>
        <w:gridCol w:w="1637"/>
        <w:gridCol w:w="951"/>
        <w:gridCol w:w="1608"/>
        <w:gridCol w:w="1608"/>
        <w:gridCol w:w="1778"/>
        <w:gridCol w:w="1778"/>
      </w:tblGrid>
      <w:tr w:rsidR="00096CE3" w:rsidRPr="00096CE3" w14:paraId="0BBF663E" w14:textId="77777777" w:rsidTr="00096CE3">
        <w:trPr>
          <w:trHeight w:val="300"/>
        </w:trPr>
        <w:tc>
          <w:tcPr>
            <w:tcW w:w="874" w:type="pct"/>
            <w:tcBorders>
              <w:top w:val="single" w:sz="4" w:space="0" w:color="auto"/>
              <w:left w:val="nil"/>
              <w:bottom w:val="nil"/>
              <w:right w:val="nil"/>
            </w:tcBorders>
            <w:shd w:val="clear" w:color="auto" w:fill="auto"/>
            <w:noWrap/>
            <w:vAlign w:val="bottom"/>
            <w:hideMark/>
          </w:tcPr>
          <w:p w14:paraId="4E67937D" w14:textId="77777777" w:rsidR="00096CE3" w:rsidRPr="00096CE3" w:rsidRDefault="00096CE3" w:rsidP="00E23AF8">
            <w:pPr>
              <w:spacing w:after="0" w:line="240" w:lineRule="auto"/>
              <w:rPr>
                <w:rFonts w:ascii="Calibri" w:eastAsia="Times New Roman" w:hAnsi="Calibri" w:cs="Calibri"/>
                <w:color w:val="000000"/>
                <w:sz w:val="22"/>
                <w:szCs w:val="22"/>
              </w:rPr>
            </w:pPr>
            <w:r w:rsidRPr="00096CE3">
              <w:rPr>
                <w:rFonts w:ascii="Calibri" w:eastAsia="Times New Roman" w:hAnsi="Calibri" w:cs="Calibri"/>
                <w:color w:val="000000"/>
                <w:sz w:val="22"/>
                <w:szCs w:val="22"/>
              </w:rPr>
              <w:t> </w:t>
            </w:r>
          </w:p>
        </w:tc>
        <w:tc>
          <w:tcPr>
            <w:tcW w:w="508" w:type="pct"/>
            <w:tcBorders>
              <w:top w:val="single" w:sz="4" w:space="0" w:color="auto"/>
              <w:left w:val="nil"/>
              <w:bottom w:val="nil"/>
              <w:right w:val="nil"/>
            </w:tcBorders>
            <w:shd w:val="clear" w:color="auto" w:fill="auto"/>
            <w:noWrap/>
            <w:vAlign w:val="bottom"/>
            <w:hideMark/>
          </w:tcPr>
          <w:p w14:paraId="76920038" w14:textId="77777777" w:rsidR="00096CE3" w:rsidRPr="00096CE3" w:rsidRDefault="00096CE3" w:rsidP="00E23AF8">
            <w:pPr>
              <w:spacing w:after="0" w:line="240" w:lineRule="auto"/>
              <w:rPr>
                <w:rFonts w:ascii="Calibri" w:eastAsia="Times New Roman" w:hAnsi="Calibri" w:cs="Calibri"/>
                <w:color w:val="000000"/>
                <w:sz w:val="22"/>
                <w:szCs w:val="22"/>
              </w:rPr>
            </w:pPr>
            <w:r w:rsidRPr="00096CE3">
              <w:rPr>
                <w:rFonts w:ascii="Calibri" w:eastAsia="Times New Roman" w:hAnsi="Calibri" w:cs="Calibri"/>
                <w:color w:val="000000"/>
                <w:sz w:val="22"/>
                <w:szCs w:val="22"/>
              </w:rPr>
              <w:t> </w:t>
            </w:r>
          </w:p>
        </w:tc>
        <w:tc>
          <w:tcPr>
            <w:tcW w:w="859" w:type="pct"/>
            <w:tcBorders>
              <w:top w:val="single" w:sz="4" w:space="0" w:color="auto"/>
              <w:left w:val="dashed" w:sz="4" w:space="0" w:color="auto"/>
              <w:bottom w:val="nil"/>
              <w:right w:val="dashed" w:sz="4" w:space="0" w:color="auto"/>
            </w:tcBorders>
            <w:shd w:val="clear" w:color="auto" w:fill="auto"/>
            <w:noWrap/>
            <w:vAlign w:val="bottom"/>
            <w:hideMark/>
          </w:tcPr>
          <w:p w14:paraId="5A1F4E11"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May</w:t>
            </w:r>
          </w:p>
        </w:tc>
        <w:tc>
          <w:tcPr>
            <w:tcW w:w="859" w:type="pct"/>
            <w:tcBorders>
              <w:top w:val="single" w:sz="4" w:space="0" w:color="auto"/>
              <w:left w:val="nil"/>
              <w:bottom w:val="nil"/>
              <w:right w:val="dashed" w:sz="4" w:space="0" w:color="auto"/>
            </w:tcBorders>
            <w:shd w:val="clear" w:color="auto" w:fill="auto"/>
            <w:noWrap/>
            <w:vAlign w:val="bottom"/>
            <w:hideMark/>
          </w:tcPr>
          <w:p w14:paraId="7E02C767"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June</w:t>
            </w:r>
          </w:p>
        </w:tc>
        <w:tc>
          <w:tcPr>
            <w:tcW w:w="950" w:type="pct"/>
            <w:tcBorders>
              <w:top w:val="single" w:sz="4" w:space="0" w:color="auto"/>
              <w:left w:val="nil"/>
              <w:bottom w:val="nil"/>
              <w:right w:val="dashed" w:sz="4" w:space="0" w:color="auto"/>
            </w:tcBorders>
            <w:shd w:val="clear" w:color="auto" w:fill="auto"/>
            <w:noWrap/>
            <w:vAlign w:val="bottom"/>
            <w:hideMark/>
          </w:tcPr>
          <w:p w14:paraId="4BA8A378"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July/Aug</w:t>
            </w:r>
          </w:p>
        </w:tc>
        <w:tc>
          <w:tcPr>
            <w:tcW w:w="950" w:type="pct"/>
            <w:tcBorders>
              <w:top w:val="single" w:sz="4" w:space="0" w:color="auto"/>
              <w:left w:val="nil"/>
              <w:bottom w:val="nil"/>
              <w:right w:val="nil"/>
            </w:tcBorders>
            <w:shd w:val="clear" w:color="auto" w:fill="auto"/>
            <w:noWrap/>
            <w:vAlign w:val="bottom"/>
            <w:hideMark/>
          </w:tcPr>
          <w:p w14:paraId="1F93FF8C"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Sept</w:t>
            </w:r>
          </w:p>
        </w:tc>
      </w:tr>
      <w:tr w:rsidR="00096CE3" w:rsidRPr="00096CE3" w14:paraId="19D0D902" w14:textId="77777777" w:rsidTr="00096CE3">
        <w:trPr>
          <w:trHeight w:val="300"/>
        </w:trPr>
        <w:tc>
          <w:tcPr>
            <w:tcW w:w="874" w:type="pct"/>
            <w:vMerge w:val="restart"/>
            <w:tcBorders>
              <w:top w:val="single" w:sz="4" w:space="0" w:color="auto"/>
              <w:left w:val="nil"/>
              <w:bottom w:val="single" w:sz="4" w:space="0" w:color="000000"/>
              <w:right w:val="nil"/>
            </w:tcBorders>
            <w:shd w:val="clear" w:color="auto" w:fill="auto"/>
            <w:noWrap/>
            <w:vAlign w:val="center"/>
            <w:hideMark/>
          </w:tcPr>
          <w:p w14:paraId="48C21DD5"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Sand Dune</w:t>
            </w:r>
          </w:p>
        </w:tc>
        <w:tc>
          <w:tcPr>
            <w:tcW w:w="508" w:type="pct"/>
            <w:tcBorders>
              <w:top w:val="single" w:sz="4" w:space="0" w:color="auto"/>
              <w:left w:val="nil"/>
              <w:bottom w:val="dashed" w:sz="4" w:space="0" w:color="auto"/>
              <w:right w:val="nil"/>
            </w:tcBorders>
            <w:shd w:val="clear" w:color="auto" w:fill="auto"/>
            <w:noWrap/>
            <w:vAlign w:val="bottom"/>
            <w:hideMark/>
          </w:tcPr>
          <w:p w14:paraId="59FF4EE4"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2015</w:t>
            </w:r>
          </w:p>
        </w:tc>
        <w:tc>
          <w:tcPr>
            <w:tcW w:w="859" w:type="pct"/>
            <w:tcBorders>
              <w:top w:val="single" w:sz="4" w:space="0" w:color="auto"/>
              <w:left w:val="dashed" w:sz="4" w:space="0" w:color="auto"/>
              <w:bottom w:val="dashed" w:sz="4" w:space="0" w:color="auto"/>
              <w:right w:val="dashed" w:sz="4" w:space="0" w:color="auto"/>
            </w:tcBorders>
            <w:shd w:val="clear" w:color="auto" w:fill="auto"/>
            <w:noWrap/>
            <w:vAlign w:val="bottom"/>
            <w:hideMark/>
          </w:tcPr>
          <w:p w14:paraId="32826ADA"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0.4 (SD 0.2)</w:t>
            </w:r>
          </w:p>
        </w:tc>
        <w:tc>
          <w:tcPr>
            <w:tcW w:w="859" w:type="pct"/>
            <w:tcBorders>
              <w:top w:val="single" w:sz="4" w:space="0" w:color="auto"/>
              <w:left w:val="nil"/>
              <w:bottom w:val="dashed" w:sz="4" w:space="0" w:color="auto"/>
              <w:right w:val="dashed" w:sz="4" w:space="0" w:color="auto"/>
            </w:tcBorders>
            <w:shd w:val="clear" w:color="auto" w:fill="auto"/>
            <w:noWrap/>
            <w:vAlign w:val="bottom"/>
            <w:hideMark/>
          </w:tcPr>
          <w:p w14:paraId="504A07DC"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1.3 (SD 1.4)</w:t>
            </w:r>
          </w:p>
        </w:tc>
        <w:tc>
          <w:tcPr>
            <w:tcW w:w="950" w:type="pct"/>
            <w:tcBorders>
              <w:top w:val="single" w:sz="4" w:space="0" w:color="auto"/>
              <w:left w:val="nil"/>
              <w:bottom w:val="dashed" w:sz="4" w:space="0" w:color="auto"/>
              <w:right w:val="dashed" w:sz="4" w:space="0" w:color="auto"/>
            </w:tcBorders>
            <w:shd w:val="clear" w:color="auto" w:fill="auto"/>
            <w:noWrap/>
            <w:vAlign w:val="bottom"/>
            <w:hideMark/>
          </w:tcPr>
          <w:p w14:paraId="431C5485"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1.7 (SD 1.5)</w:t>
            </w:r>
          </w:p>
        </w:tc>
        <w:tc>
          <w:tcPr>
            <w:tcW w:w="950" w:type="pct"/>
            <w:tcBorders>
              <w:top w:val="single" w:sz="4" w:space="0" w:color="auto"/>
              <w:left w:val="nil"/>
              <w:bottom w:val="dashed" w:sz="4" w:space="0" w:color="auto"/>
              <w:right w:val="nil"/>
            </w:tcBorders>
            <w:shd w:val="clear" w:color="auto" w:fill="auto"/>
            <w:noWrap/>
            <w:vAlign w:val="bottom"/>
            <w:hideMark/>
          </w:tcPr>
          <w:p w14:paraId="30E344BD"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1.7 (SD 1.5)</w:t>
            </w:r>
          </w:p>
        </w:tc>
      </w:tr>
      <w:tr w:rsidR="00096CE3" w:rsidRPr="00096CE3" w14:paraId="61DE42D5" w14:textId="77777777" w:rsidTr="00096CE3">
        <w:trPr>
          <w:trHeight w:val="300"/>
        </w:trPr>
        <w:tc>
          <w:tcPr>
            <w:tcW w:w="874" w:type="pct"/>
            <w:vMerge/>
            <w:tcBorders>
              <w:top w:val="single" w:sz="4" w:space="0" w:color="auto"/>
              <w:left w:val="nil"/>
              <w:bottom w:val="single" w:sz="4" w:space="0" w:color="000000"/>
              <w:right w:val="nil"/>
            </w:tcBorders>
            <w:vAlign w:val="center"/>
            <w:hideMark/>
          </w:tcPr>
          <w:p w14:paraId="7C21ED1A" w14:textId="77777777" w:rsidR="00096CE3" w:rsidRPr="00096CE3" w:rsidRDefault="00096CE3" w:rsidP="00E23AF8">
            <w:pPr>
              <w:spacing w:after="0" w:line="240" w:lineRule="auto"/>
              <w:rPr>
                <w:rFonts w:ascii="Calibri" w:eastAsia="Times New Roman" w:hAnsi="Calibri" w:cs="Calibri"/>
                <w:color w:val="000000"/>
                <w:sz w:val="22"/>
                <w:szCs w:val="22"/>
              </w:rPr>
            </w:pPr>
          </w:p>
        </w:tc>
        <w:tc>
          <w:tcPr>
            <w:tcW w:w="508" w:type="pct"/>
            <w:tcBorders>
              <w:top w:val="nil"/>
              <w:left w:val="nil"/>
              <w:bottom w:val="single" w:sz="4" w:space="0" w:color="auto"/>
              <w:right w:val="nil"/>
            </w:tcBorders>
            <w:shd w:val="clear" w:color="auto" w:fill="auto"/>
            <w:noWrap/>
            <w:vAlign w:val="bottom"/>
            <w:hideMark/>
          </w:tcPr>
          <w:p w14:paraId="3C91F44F"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2016</w:t>
            </w:r>
          </w:p>
        </w:tc>
        <w:tc>
          <w:tcPr>
            <w:tcW w:w="859" w:type="pct"/>
            <w:tcBorders>
              <w:top w:val="nil"/>
              <w:left w:val="dashed" w:sz="4" w:space="0" w:color="auto"/>
              <w:bottom w:val="single" w:sz="4" w:space="0" w:color="auto"/>
              <w:right w:val="dashed" w:sz="4" w:space="0" w:color="auto"/>
            </w:tcBorders>
            <w:shd w:val="clear" w:color="auto" w:fill="auto"/>
            <w:noWrap/>
            <w:vAlign w:val="bottom"/>
            <w:hideMark/>
          </w:tcPr>
          <w:p w14:paraId="465649E6"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0.2 (SD 0.3)</w:t>
            </w:r>
          </w:p>
        </w:tc>
        <w:tc>
          <w:tcPr>
            <w:tcW w:w="859" w:type="pct"/>
            <w:tcBorders>
              <w:top w:val="nil"/>
              <w:left w:val="nil"/>
              <w:bottom w:val="single" w:sz="4" w:space="0" w:color="auto"/>
              <w:right w:val="dashed" w:sz="4" w:space="0" w:color="auto"/>
            </w:tcBorders>
            <w:shd w:val="clear" w:color="auto" w:fill="auto"/>
            <w:noWrap/>
            <w:vAlign w:val="bottom"/>
            <w:hideMark/>
          </w:tcPr>
          <w:p w14:paraId="775DD62A"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0.0</w:t>
            </w:r>
          </w:p>
        </w:tc>
        <w:tc>
          <w:tcPr>
            <w:tcW w:w="950" w:type="pct"/>
            <w:tcBorders>
              <w:top w:val="nil"/>
              <w:left w:val="nil"/>
              <w:bottom w:val="single" w:sz="4" w:space="0" w:color="auto"/>
              <w:right w:val="dashed" w:sz="4" w:space="0" w:color="auto"/>
            </w:tcBorders>
            <w:shd w:val="clear" w:color="auto" w:fill="auto"/>
            <w:noWrap/>
            <w:vAlign w:val="bottom"/>
            <w:hideMark/>
          </w:tcPr>
          <w:p w14:paraId="65EE12C0"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0.3 (SD .4)</w:t>
            </w:r>
          </w:p>
        </w:tc>
        <w:tc>
          <w:tcPr>
            <w:tcW w:w="950" w:type="pct"/>
            <w:tcBorders>
              <w:top w:val="nil"/>
              <w:left w:val="nil"/>
              <w:bottom w:val="single" w:sz="4" w:space="0" w:color="auto"/>
              <w:right w:val="nil"/>
            </w:tcBorders>
            <w:shd w:val="clear" w:color="auto" w:fill="auto"/>
            <w:noWrap/>
            <w:vAlign w:val="bottom"/>
            <w:hideMark/>
          </w:tcPr>
          <w:p w14:paraId="79523593"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0</w:t>
            </w:r>
          </w:p>
        </w:tc>
      </w:tr>
      <w:tr w:rsidR="00096CE3" w:rsidRPr="00096CE3" w14:paraId="7C867459" w14:textId="77777777" w:rsidTr="00096CE3">
        <w:trPr>
          <w:trHeight w:val="300"/>
        </w:trPr>
        <w:tc>
          <w:tcPr>
            <w:tcW w:w="874" w:type="pct"/>
            <w:vMerge w:val="restart"/>
            <w:tcBorders>
              <w:top w:val="nil"/>
              <w:left w:val="nil"/>
              <w:bottom w:val="single" w:sz="4" w:space="0" w:color="000000"/>
              <w:right w:val="nil"/>
            </w:tcBorders>
            <w:shd w:val="clear" w:color="auto" w:fill="auto"/>
            <w:noWrap/>
            <w:vAlign w:val="center"/>
            <w:hideMark/>
          </w:tcPr>
          <w:p w14:paraId="26B6DE17" w14:textId="77777777" w:rsidR="00096CE3" w:rsidRPr="00096CE3" w:rsidRDefault="00096CE3" w:rsidP="00E23AF8">
            <w:pPr>
              <w:spacing w:after="0" w:line="240" w:lineRule="auto"/>
              <w:jc w:val="center"/>
              <w:rPr>
                <w:rFonts w:ascii="Calibri" w:eastAsia="Times New Roman" w:hAnsi="Calibri" w:cs="Calibri"/>
                <w:color w:val="000000"/>
                <w:sz w:val="22"/>
                <w:szCs w:val="22"/>
              </w:rPr>
            </w:pPr>
            <w:r w:rsidRPr="00096CE3">
              <w:rPr>
                <w:rFonts w:ascii="Calibri" w:eastAsia="Times New Roman" w:hAnsi="Calibri" w:cs="Calibri"/>
                <w:color w:val="000000"/>
                <w:sz w:val="22"/>
                <w:szCs w:val="22"/>
              </w:rPr>
              <w:t>Sand Sheet</w:t>
            </w:r>
          </w:p>
        </w:tc>
        <w:tc>
          <w:tcPr>
            <w:tcW w:w="508" w:type="pct"/>
            <w:tcBorders>
              <w:top w:val="nil"/>
              <w:left w:val="nil"/>
              <w:bottom w:val="dashed" w:sz="4" w:space="0" w:color="auto"/>
              <w:right w:val="nil"/>
            </w:tcBorders>
            <w:shd w:val="clear" w:color="auto" w:fill="auto"/>
            <w:noWrap/>
            <w:vAlign w:val="bottom"/>
            <w:hideMark/>
          </w:tcPr>
          <w:p w14:paraId="5072E3BC"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2015</w:t>
            </w:r>
          </w:p>
        </w:tc>
        <w:tc>
          <w:tcPr>
            <w:tcW w:w="859" w:type="pct"/>
            <w:tcBorders>
              <w:top w:val="nil"/>
              <w:left w:val="dashed" w:sz="4" w:space="0" w:color="auto"/>
              <w:bottom w:val="dashed" w:sz="4" w:space="0" w:color="auto"/>
              <w:right w:val="dashed" w:sz="4" w:space="0" w:color="auto"/>
            </w:tcBorders>
            <w:shd w:val="clear" w:color="auto" w:fill="auto"/>
            <w:noWrap/>
            <w:vAlign w:val="bottom"/>
            <w:hideMark/>
          </w:tcPr>
          <w:p w14:paraId="629772CB"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3.4 (SD 2.7)</w:t>
            </w:r>
          </w:p>
        </w:tc>
        <w:tc>
          <w:tcPr>
            <w:tcW w:w="859" w:type="pct"/>
            <w:tcBorders>
              <w:top w:val="nil"/>
              <w:left w:val="nil"/>
              <w:bottom w:val="dashed" w:sz="4" w:space="0" w:color="auto"/>
              <w:right w:val="dashed" w:sz="4" w:space="0" w:color="auto"/>
            </w:tcBorders>
            <w:shd w:val="clear" w:color="auto" w:fill="auto"/>
            <w:noWrap/>
            <w:vAlign w:val="bottom"/>
            <w:hideMark/>
          </w:tcPr>
          <w:p w14:paraId="671BCB3B"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29.0 (SD 0)</w:t>
            </w:r>
          </w:p>
        </w:tc>
        <w:tc>
          <w:tcPr>
            <w:tcW w:w="950" w:type="pct"/>
            <w:tcBorders>
              <w:top w:val="nil"/>
              <w:left w:val="nil"/>
              <w:bottom w:val="dashed" w:sz="4" w:space="0" w:color="auto"/>
              <w:right w:val="dashed" w:sz="4" w:space="0" w:color="auto"/>
            </w:tcBorders>
            <w:shd w:val="clear" w:color="auto" w:fill="auto"/>
            <w:noWrap/>
            <w:vAlign w:val="bottom"/>
            <w:hideMark/>
          </w:tcPr>
          <w:p w14:paraId="30508F72"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38.0 (SD 6.0)</w:t>
            </w:r>
          </w:p>
        </w:tc>
        <w:tc>
          <w:tcPr>
            <w:tcW w:w="950" w:type="pct"/>
            <w:tcBorders>
              <w:top w:val="nil"/>
              <w:left w:val="nil"/>
              <w:bottom w:val="dashed" w:sz="4" w:space="0" w:color="auto"/>
              <w:right w:val="nil"/>
            </w:tcBorders>
            <w:shd w:val="clear" w:color="auto" w:fill="auto"/>
            <w:noWrap/>
            <w:vAlign w:val="bottom"/>
            <w:hideMark/>
          </w:tcPr>
          <w:p w14:paraId="1D9BC94E"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29.0 (SD 9.8)</w:t>
            </w:r>
          </w:p>
        </w:tc>
      </w:tr>
      <w:tr w:rsidR="00096CE3" w:rsidRPr="00096CE3" w14:paraId="71559D1B" w14:textId="77777777" w:rsidTr="00096CE3">
        <w:trPr>
          <w:trHeight w:val="300"/>
        </w:trPr>
        <w:tc>
          <w:tcPr>
            <w:tcW w:w="874" w:type="pct"/>
            <w:vMerge/>
            <w:tcBorders>
              <w:top w:val="nil"/>
              <w:left w:val="nil"/>
              <w:bottom w:val="single" w:sz="4" w:space="0" w:color="000000"/>
              <w:right w:val="nil"/>
            </w:tcBorders>
            <w:vAlign w:val="center"/>
            <w:hideMark/>
          </w:tcPr>
          <w:p w14:paraId="4D2A7151" w14:textId="77777777" w:rsidR="00096CE3" w:rsidRPr="00096CE3" w:rsidRDefault="00096CE3" w:rsidP="00E23AF8">
            <w:pPr>
              <w:spacing w:after="0" w:line="240" w:lineRule="auto"/>
              <w:rPr>
                <w:rFonts w:ascii="Calibri" w:eastAsia="Times New Roman" w:hAnsi="Calibri" w:cs="Calibri"/>
                <w:color w:val="000000"/>
                <w:sz w:val="22"/>
                <w:szCs w:val="22"/>
              </w:rPr>
            </w:pPr>
          </w:p>
        </w:tc>
        <w:tc>
          <w:tcPr>
            <w:tcW w:w="508" w:type="pct"/>
            <w:tcBorders>
              <w:top w:val="nil"/>
              <w:left w:val="nil"/>
              <w:bottom w:val="single" w:sz="4" w:space="0" w:color="auto"/>
              <w:right w:val="nil"/>
            </w:tcBorders>
            <w:shd w:val="clear" w:color="auto" w:fill="auto"/>
            <w:noWrap/>
            <w:vAlign w:val="bottom"/>
            <w:hideMark/>
          </w:tcPr>
          <w:p w14:paraId="704A1B59"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2016</w:t>
            </w:r>
          </w:p>
        </w:tc>
        <w:tc>
          <w:tcPr>
            <w:tcW w:w="859" w:type="pct"/>
            <w:tcBorders>
              <w:top w:val="nil"/>
              <w:left w:val="dashed" w:sz="4" w:space="0" w:color="auto"/>
              <w:bottom w:val="single" w:sz="4" w:space="0" w:color="auto"/>
              <w:right w:val="dashed" w:sz="4" w:space="0" w:color="auto"/>
            </w:tcBorders>
            <w:shd w:val="clear" w:color="auto" w:fill="auto"/>
            <w:noWrap/>
            <w:vAlign w:val="bottom"/>
            <w:hideMark/>
          </w:tcPr>
          <w:p w14:paraId="660806E3"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2.6 (SD 5.3)</w:t>
            </w:r>
          </w:p>
        </w:tc>
        <w:tc>
          <w:tcPr>
            <w:tcW w:w="859" w:type="pct"/>
            <w:tcBorders>
              <w:top w:val="nil"/>
              <w:left w:val="nil"/>
              <w:bottom w:val="single" w:sz="4" w:space="0" w:color="auto"/>
              <w:right w:val="dashed" w:sz="4" w:space="0" w:color="auto"/>
            </w:tcBorders>
            <w:shd w:val="clear" w:color="auto" w:fill="auto"/>
            <w:noWrap/>
            <w:vAlign w:val="bottom"/>
            <w:hideMark/>
          </w:tcPr>
          <w:p w14:paraId="5CFD1F7C"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1.7 (SD 2.6)</w:t>
            </w:r>
          </w:p>
        </w:tc>
        <w:tc>
          <w:tcPr>
            <w:tcW w:w="950" w:type="pct"/>
            <w:tcBorders>
              <w:top w:val="nil"/>
              <w:left w:val="nil"/>
              <w:bottom w:val="single" w:sz="4" w:space="0" w:color="auto"/>
              <w:right w:val="dashed" w:sz="4" w:space="0" w:color="auto"/>
            </w:tcBorders>
            <w:shd w:val="clear" w:color="auto" w:fill="auto"/>
            <w:noWrap/>
            <w:vAlign w:val="bottom"/>
            <w:hideMark/>
          </w:tcPr>
          <w:p w14:paraId="75ADBCE6"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2.9 (SD 2.9)</w:t>
            </w:r>
          </w:p>
        </w:tc>
        <w:tc>
          <w:tcPr>
            <w:tcW w:w="950" w:type="pct"/>
            <w:tcBorders>
              <w:top w:val="nil"/>
              <w:left w:val="nil"/>
              <w:bottom w:val="single" w:sz="4" w:space="0" w:color="auto"/>
              <w:right w:val="nil"/>
            </w:tcBorders>
            <w:shd w:val="clear" w:color="auto" w:fill="auto"/>
            <w:noWrap/>
            <w:vAlign w:val="bottom"/>
            <w:hideMark/>
          </w:tcPr>
          <w:p w14:paraId="2534B021" w14:textId="77777777" w:rsidR="00096CE3" w:rsidRPr="00096CE3" w:rsidRDefault="00096CE3" w:rsidP="00E23AF8">
            <w:pPr>
              <w:spacing w:after="0" w:line="240" w:lineRule="auto"/>
              <w:jc w:val="right"/>
              <w:rPr>
                <w:rFonts w:ascii="Calibri" w:eastAsia="Times New Roman" w:hAnsi="Calibri" w:cs="Calibri"/>
                <w:color w:val="000000"/>
                <w:sz w:val="22"/>
                <w:szCs w:val="22"/>
              </w:rPr>
            </w:pPr>
            <w:r w:rsidRPr="00096CE3">
              <w:rPr>
                <w:rFonts w:ascii="Calibri" w:eastAsia="Times New Roman" w:hAnsi="Calibri" w:cs="Calibri"/>
                <w:color w:val="000000"/>
                <w:sz w:val="22"/>
                <w:szCs w:val="22"/>
              </w:rPr>
              <w:t>3.6 (SD 5.1)</w:t>
            </w:r>
          </w:p>
        </w:tc>
      </w:tr>
    </w:tbl>
    <w:p w14:paraId="38ACE6F2" w14:textId="5C249F04" w:rsidR="00096CE3" w:rsidRDefault="00096CE3" w:rsidP="00E23AF8">
      <w:pPr>
        <w:spacing w:line="240" w:lineRule="auto"/>
      </w:pPr>
    </w:p>
    <w:p w14:paraId="03F532C6" w14:textId="77777777" w:rsidR="00096CE3" w:rsidRDefault="00096CE3" w:rsidP="00DD3B2D"/>
    <w:p w14:paraId="0305D2D4" w14:textId="4C694859" w:rsidR="003C1D52" w:rsidRDefault="00E33267" w:rsidP="00297744">
      <w:pPr>
        <w:spacing w:line="259" w:lineRule="auto"/>
      </w:pPr>
      <w:r>
        <w:br w:type="page"/>
      </w:r>
      <w:bookmarkStart w:id="0" w:name="_GoBack"/>
      <w:bookmarkEnd w:id="0"/>
    </w:p>
    <w:p w14:paraId="681553F5" w14:textId="565A82A8" w:rsidR="00B133CC" w:rsidRDefault="00B133CC" w:rsidP="00DD3B2D"/>
    <w:p w14:paraId="0C401632" w14:textId="5DA99479" w:rsidR="00C935AD" w:rsidRDefault="002C4CC6" w:rsidP="00636E0C">
      <w:pPr>
        <w:spacing w:line="480" w:lineRule="auto"/>
      </w:pPr>
      <w:r>
        <w:t>Fig. S</w:t>
      </w:r>
      <w:r w:rsidR="00C47BE6">
        <w:t>1</w:t>
      </w:r>
      <w:proofErr w:type="gramStart"/>
      <w:r w:rsidR="00852352">
        <w:tab/>
        <w:t xml:space="preserve">  Soil</w:t>
      </w:r>
      <w:proofErr w:type="gramEnd"/>
      <w:r w:rsidR="00852352">
        <w:t xml:space="preserve"> texture composition at </w:t>
      </w:r>
      <w:r>
        <w:t>the sand dune</w:t>
      </w:r>
      <w:r w:rsidR="00852352">
        <w:t xml:space="preserve"> and </w:t>
      </w:r>
      <w:r>
        <w:t xml:space="preserve">sand sheet </w:t>
      </w:r>
      <w:r w:rsidR="00852352">
        <w:t xml:space="preserve">sites. All sites had a high percentage of sand. </w:t>
      </w:r>
      <w:r>
        <w:t>The sand sheet site</w:t>
      </w:r>
      <w:r w:rsidR="00852352">
        <w:t xml:space="preserve"> had more silt than </w:t>
      </w:r>
      <w:r>
        <w:t>the sand dune site.</w:t>
      </w:r>
      <w:r w:rsidR="00852352">
        <w:t xml:space="preserve"> At </w:t>
      </w:r>
      <w:r>
        <w:t xml:space="preserve">the sand dune site, </w:t>
      </w:r>
      <w:r w:rsidR="00852352">
        <w:t xml:space="preserve">the coppice mounds also had more silt than the interspaces, indicative of wind winnowing within site. On the graph legend </w:t>
      </w:r>
      <w:r>
        <w:t>sand sheet</w:t>
      </w:r>
      <w:r w:rsidR="00852352">
        <w:t xml:space="preserve"> sites are indicated as HC and </w:t>
      </w:r>
      <w:r>
        <w:t xml:space="preserve">sand dune </w:t>
      </w:r>
      <w:r w:rsidR="00852352">
        <w:t xml:space="preserve">sites as BS. </w:t>
      </w:r>
    </w:p>
    <w:p w14:paraId="3E9C1633" w14:textId="77777777" w:rsidR="0076033B" w:rsidRDefault="0076033B" w:rsidP="00DD3B2D">
      <w:r>
        <w:rPr>
          <w:noProof/>
        </w:rPr>
        <w:drawing>
          <wp:inline distT="0" distB="0" distL="0" distR="0" wp14:anchorId="1CBBCE36" wp14:editId="258C776A">
            <wp:extent cx="5943600" cy="437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lTextureGraph.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371340"/>
                    </a:xfrm>
                    <a:prstGeom prst="rect">
                      <a:avLst/>
                    </a:prstGeom>
                  </pic:spPr>
                </pic:pic>
              </a:graphicData>
            </a:graphic>
          </wp:inline>
        </w:drawing>
      </w:r>
    </w:p>
    <w:p w14:paraId="6BB7B2DF" w14:textId="4AE3B5A1" w:rsidR="0076033B" w:rsidRDefault="0076033B" w:rsidP="00DD3B2D"/>
    <w:p w14:paraId="5B1A5786" w14:textId="77777777" w:rsidR="0076033B" w:rsidRDefault="0076033B" w:rsidP="00DD3B2D"/>
    <w:p w14:paraId="5C0DC4B1" w14:textId="77777777" w:rsidR="0076033B" w:rsidRDefault="0076033B" w:rsidP="00DD3B2D"/>
    <w:p w14:paraId="69238C00" w14:textId="77777777" w:rsidR="00C935AD" w:rsidRPr="00DD3B2D" w:rsidRDefault="00C935AD" w:rsidP="00DD3B2D"/>
    <w:p w14:paraId="14ABDCBC" w14:textId="77777777" w:rsidR="005B29BF" w:rsidRPr="00DD3B2D" w:rsidRDefault="005B29BF" w:rsidP="00DD3B2D"/>
    <w:sectPr w:rsidR="005B29BF" w:rsidRPr="00DD3B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B01F" w14:textId="77777777" w:rsidR="00CB326D" w:rsidRDefault="00CB326D" w:rsidP="00B133CC">
      <w:pPr>
        <w:spacing w:after="0" w:line="240" w:lineRule="auto"/>
      </w:pPr>
      <w:r>
        <w:separator/>
      </w:r>
    </w:p>
  </w:endnote>
  <w:endnote w:type="continuationSeparator" w:id="0">
    <w:p w14:paraId="5710C398" w14:textId="77777777" w:rsidR="00CB326D" w:rsidRDefault="00CB326D" w:rsidP="00B1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204761"/>
      <w:docPartObj>
        <w:docPartGallery w:val="Page Numbers (Bottom of Page)"/>
        <w:docPartUnique/>
      </w:docPartObj>
    </w:sdtPr>
    <w:sdtEndPr>
      <w:rPr>
        <w:noProof/>
      </w:rPr>
    </w:sdtEndPr>
    <w:sdtContent>
      <w:p w14:paraId="43A3FDA8" w14:textId="0FE5733C" w:rsidR="00B133CC" w:rsidRDefault="00B13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F539A" w14:textId="77777777" w:rsidR="00B133CC" w:rsidRDefault="00B1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BDC5" w14:textId="77777777" w:rsidR="00CB326D" w:rsidRDefault="00CB326D" w:rsidP="00B133CC">
      <w:pPr>
        <w:spacing w:after="0" w:line="240" w:lineRule="auto"/>
      </w:pPr>
      <w:r>
        <w:separator/>
      </w:r>
    </w:p>
  </w:footnote>
  <w:footnote w:type="continuationSeparator" w:id="0">
    <w:p w14:paraId="6A428760" w14:textId="77777777" w:rsidR="00CB326D" w:rsidRDefault="00CB326D" w:rsidP="00B13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6C"/>
    <w:rsid w:val="00004C6A"/>
    <w:rsid w:val="00096CE3"/>
    <w:rsid w:val="000E5556"/>
    <w:rsid w:val="00124CC9"/>
    <w:rsid w:val="001B7C21"/>
    <w:rsid w:val="00297744"/>
    <w:rsid w:val="002C4CC6"/>
    <w:rsid w:val="002F1D79"/>
    <w:rsid w:val="003827AF"/>
    <w:rsid w:val="003B3A0A"/>
    <w:rsid w:val="003C1D52"/>
    <w:rsid w:val="00511550"/>
    <w:rsid w:val="00527D0E"/>
    <w:rsid w:val="00550A4B"/>
    <w:rsid w:val="00551812"/>
    <w:rsid w:val="005B29BF"/>
    <w:rsid w:val="00636E0C"/>
    <w:rsid w:val="006C6726"/>
    <w:rsid w:val="0076033B"/>
    <w:rsid w:val="007C1CB3"/>
    <w:rsid w:val="007D5385"/>
    <w:rsid w:val="007E74CD"/>
    <w:rsid w:val="00844AB3"/>
    <w:rsid w:val="00847894"/>
    <w:rsid w:val="00852352"/>
    <w:rsid w:val="00857EB8"/>
    <w:rsid w:val="00865E77"/>
    <w:rsid w:val="00866AC2"/>
    <w:rsid w:val="00AA406C"/>
    <w:rsid w:val="00B133CC"/>
    <w:rsid w:val="00B21D59"/>
    <w:rsid w:val="00B62B7D"/>
    <w:rsid w:val="00BA73F5"/>
    <w:rsid w:val="00C01349"/>
    <w:rsid w:val="00C17C0B"/>
    <w:rsid w:val="00C47BE6"/>
    <w:rsid w:val="00C6195C"/>
    <w:rsid w:val="00C935AD"/>
    <w:rsid w:val="00C9584A"/>
    <w:rsid w:val="00CB326D"/>
    <w:rsid w:val="00D51BCB"/>
    <w:rsid w:val="00D563ED"/>
    <w:rsid w:val="00DD3B2D"/>
    <w:rsid w:val="00E1737A"/>
    <w:rsid w:val="00E23AF8"/>
    <w:rsid w:val="00E33267"/>
    <w:rsid w:val="00EA3546"/>
    <w:rsid w:val="00EE4605"/>
    <w:rsid w:val="00F01DA1"/>
    <w:rsid w:val="00F4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3FAE"/>
  <w15:chartTrackingRefBased/>
  <w15:docId w15:val="{30D8D872-AFAC-4275-8360-598DD9A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D"/>
    <w:pPr>
      <w:spacing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9BF"/>
    <w:rPr>
      <w:color w:val="0563C1" w:themeColor="hyperlink"/>
      <w:u w:val="single"/>
    </w:rPr>
  </w:style>
  <w:style w:type="character" w:styleId="CommentReference">
    <w:name w:val="annotation reference"/>
    <w:basedOn w:val="DefaultParagraphFont"/>
    <w:uiPriority w:val="99"/>
    <w:semiHidden/>
    <w:unhideWhenUsed/>
    <w:rsid w:val="00DD3B2D"/>
    <w:rPr>
      <w:sz w:val="16"/>
      <w:szCs w:val="16"/>
    </w:rPr>
  </w:style>
  <w:style w:type="paragraph" w:styleId="CommentText">
    <w:name w:val="annotation text"/>
    <w:basedOn w:val="Normal"/>
    <w:link w:val="CommentTextChar"/>
    <w:uiPriority w:val="99"/>
    <w:unhideWhenUsed/>
    <w:rsid w:val="00DD3B2D"/>
    <w:pPr>
      <w:spacing w:line="240" w:lineRule="auto"/>
    </w:pPr>
    <w:rPr>
      <w:sz w:val="20"/>
      <w:szCs w:val="20"/>
    </w:rPr>
  </w:style>
  <w:style w:type="character" w:customStyle="1" w:styleId="CommentTextChar">
    <w:name w:val="Comment Text Char"/>
    <w:basedOn w:val="DefaultParagraphFont"/>
    <w:link w:val="CommentText"/>
    <w:uiPriority w:val="99"/>
    <w:rsid w:val="00DD3B2D"/>
    <w:rPr>
      <w:sz w:val="20"/>
      <w:szCs w:val="20"/>
    </w:rPr>
  </w:style>
  <w:style w:type="paragraph" w:styleId="CommentSubject">
    <w:name w:val="annotation subject"/>
    <w:basedOn w:val="CommentText"/>
    <w:next w:val="CommentText"/>
    <w:link w:val="CommentSubjectChar"/>
    <w:uiPriority w:val="99"/>
    <w:semiHidden/>
    <w:unhideWhenUsed/>
    <w:rsid w:val="00DD3B2D"/>
    <w:rPr>
      <w:b/>
      <w:bCs/>
    </w:rPr>
  </w:style>
  <w:style w:type="character" w:customStyle="1" w:styleId="CommentSubjectChar">
    <w:name w:val="Comment Subject Char"/>
    <w:basedOn w:val="CommentTextChar"/>
    <w:link w:val="CommentSubject"/>
    <w:uiPriority w:val="99"/>
    <w:semiHidden/>
    <w:rsid w:val="00DD3B2D"/>
    <w:rPr>
      <w:b/>
      <w:bCs/>
      <w:sz w:val="20"/>
      <w:szCs w:val="20"/>
    </w:rPr>
  </w:style>
  <w:style w:type="paragraph" w:styleId="BalloonText">
    <w:name w:val="Balloon Text"/>
    <w:basedOn w:val="Normal"/>
    <w:link w:val="BalloonTextChar"/>
    <w:uiPriority w:val="99"/>
    <w:semiHidden/>
    <w:unhideWhenUsed/>
    <w:rsid w:val="00DD3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2D"/>
    <w:rPr>
      <w:rFonts w:ascii="Segoe UI" w:hAnsi="Segoe UI" w:cs="Segoe UI"/>
      <w:sz w:val="18"/>
      <w:szCs w:val="18"/>
    </w:rPr>
  </w:style>
  <w:style w:type="character" w:styleId="UnresolvedMention">
    <w:name w:val="Unresolved Mention"/>
    <w:basedOn w:val="DefaultParagraphFont"/>
    <w:uiPriority w:val="99"/>
    <w:semiHidden/>
    <w:unhideWhenUsed/>
    <w:rsid w:val="00EA3546"/>
    <w:rPr>
      <w:color w:val="808080"/>
      <w:shd w:val="clear" w:color="auto" w:fill="E6E6E6"/>
    </w:rPr>
  </w:style>
  <w:style w:type="paragraph" w:styleId="Header">
    <w:name w:val="header"/>
    <w:basedOn w:val="Normal"/>
    <w:link w:val="HeaderChar"/>
    <w:uiPriority w:val="99"/>
    <w:unhideWhenUsed/>
    <w:rsid w:val="00B1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3CC"/>
    <w:rPr>
      <w:rFonts w:ascii="Times New Roman" w:hAnsi="Times New Roman" w:cs="Times New Roman"/>
      <w:sz w:val="24"/>
      <w:szCs w:val="24"/>
    </w:rPr>
  </w:style>
  <w:style w:type="paragraph" w:styleId="Footer">
    <w:name w:val="footer"/>
    <w:basedOn w:val="Normal"/>
    <w:link w:val="FooterChar"/>
    <w:uiPriority w:val="99"/>
    <w:unhideWhenUsed/>
    <w:rsid w:val="00B13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3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0267">
      <w:bodyDiv w:val="1"/>
      <w:marLeft w:val="0"/>
      <w:marRight w:val="0"/>
      <w:marTop w:val="0"/>
      <w:marBottom w:val="0"/>
      <w:divBdr>
        <w:top w:val="none" w:sz="0" w:space="0" w:color="auto"/>
        <w:left w:val="none" w:sz="0" w:space="0" w:color="auto"/>
        <w:bottom w:val="none" w:sz="0" w:space="0" w:color="auto"/>
        <w:right w:val="none" w:sz="0" w:space="0" w:color="auto"/>
      </w:divBdr>
    </w:div>
    <w:div w:id="228735606">
      <w:bodyDiv w:val="1"/>
      <w:marLeft w:val="0"/>
      <w:marRight w:val="0"/>
      <w:marTop w:val="0"/>
      <w:marBottom w:val="0"/>
      <w:divBdr>
        <w:top w:val="none" w:sz="0" w:space="0" w:color="auto"/>
        <w:left w:val="none" w:sz="0" w:space="0" w:color="auto"/>
        <w:bottom w:val="none" w:sz="0" w:space="0" w:color="auto"/>
        <w:right w:val="none" w:sz="0" w:space="0" w:color="auto"/>
      </w:divBdr>
    </w:div>
    <w:div w:id="261913818">
      <w:bodyDiv w:val="1"/>
      <w:marLeft w:val="0"/>
      <w:marRight w:val="0"/>
      <w:marTop w:val="0"/>
      <w:marBottom w:val="0"/>
      <w:divBdr>
        <w:top w:val="none" w:sz="0" w:space="0" w:color="auto"/>
        <w:left w:val="none" w:sz="0" w:space="0" w:color="auto"/>
        <w:bottom w:val="none" w:sz="0" w:space="0" w:color="auto"/>
        <w:right w:val="none" w:sz="0" w:space="0" w:color="auto"/>
      </w:divBdr>
    </w:div>
    <w:div w:id="268896565">
      <w:bodyDiv w:val="1"/>
      <w:marLeft w:val="0"/>
      <w:marRight w:val="0"/>
      <w:marTop w:val="0"/>
      <w:marBottom w:val="0"/>
      <w:divBdr>
        <w:top w:val="none" w:sz="0" w:space="0" w:color="auto"/>
        <w:left w:val="none" w:sz="0" w:space="0" w:color="auto"/>
        <w:bottom w:val="none" w:sz="0" w:space="0" w:color="auto"/>
        <w:right w:val="none" w:sz="0" w:space="0" w:color="auto"/>
      </w:divBdr>
    </w:div>
    <w:div w:id="694160080">
      <w:bodyDiv w:val="1"/>
      <w:marLeft w:val="0"/>
      <w:marRight w:val="0"/>
      <w:marTop w:val="0"/>
      <w:marBottom w:val="0"/>
      <w:divBdr>
        <w:top w:val="none" w:sz="0" w:space="0" w:color="auto"/>
        <w:left w:val="none" w:sz="0" w:space="0" w:color="auto"/>
        <w:bottom w:val="none" w:sz="0" w:space="0" w:color="auto"/>
        <w:right w:val="none" w:sz="0" w:space="0" w:color="auto"/>
      </w:divBdr>
    </w:div>
    <w:div w:id="1575048798">
      <w:bodyDiv w:val="1"/>
      <w:marLeft w:val="0"/>
      <w:marRight w:val="0"/>
      <w:marTop w:val="0"/>
      <w:marBottom w:val="0"/>
      <w:divBdr>
        <w:top w:val="none" w:sz="0" w:space="0" w:color="auto"/>
        <w:left w:val="none" w:sz="0" w:space="0" w:color="auto"/>
        <w:bottom w:val="none" w:sz="0" w:space="0" w:color="auto"/>
        <w:right w:val="none" w:sz="0" w:space="0" w:color="auto"/>
      </w:divBdr>
    </w:div>
    <w:div w:id="1590967656">
      <w:bodyDiv w:val="1"/>
      <w:marLeft w:val="0"/>
      <w:marRight w:val="0"/>
      <w:marTop w:val="0"/>
      <w:marBottom w:val="0"/>
      <w:divBdr>
        <w:top w:val="none" w:sz="0" w:space="0" w:color="auto"/>
        <w:left w:val="none" w:sz="0" w:space="0" w:color="auto"/>
        <w:bottom w:val="none" w:sz="0" w:space="0" w:color="auto"/>
        <w:right w:val="none" w:sz="0" w:space="0" w:color="auto"/>
      </w:divBdr>
    </w:div>
    <w:div w:id="1666394738">
      <w:bodyDiv w:val="1"/>
      <w:marLeft w:val="0"/>
      <w:marRight w:val="0"/>
      <w:marTop w:val="0"/>
      <w:marBottom w:val="0"/>
      <w:divBdr>
        <w:top w:val="none" w:sz="0" w:space="0" w:color="auto"/>
        <w:left w:val="none" w:sz="0" w:space="0" w:color="auto"/>
        <w:bottom w:val="none" w:sz="0" w:space="0" w:color="auto"/>
        <w:right w:val="none" w:sz="0" w:space="0" w:color="auto"/>
      </w:divBdr>
    </w:div>
    <w:div w:id="2023581225">
      <w:bodyDiv w:val="1"/>
      <w:marLeft w:val="0"/>
      <w:marRight w:val="0"/>
      <w:marTop w:val="0"/>
      <w:marBottom w:val="0"/>
      <w:divBdr>
        <w:top w:val="none" w:sz="0" w:space="0" w:color="auto"/>
        <w:left w:val="none" w:sz="0" w:space="0" w:color="auto"/>
        <w:bottom w:val="none" w:sz="0" w:space="0" w:color="auto"/>
        <w:right w:val="none" w:sz="0" w:space="0" w:color="auto"/>
      </w:divBdr>
    </w:div>
    <w:div w:id="21359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Kathryn A</dc:creator>
  <cp:keywords/>
  <dc:description/>
  <cp:lastModifiedBy>KT response:</cp:lastModifiedBy>
  <cp:revision>18</cp:revision>
  <dcterms:created xsi:type="dcterms:W3CDTF">2018-07-16T22:52:00Z</dcterms:created>
  <dcterms:modified xsi:type="dcterms:W3CDTF">2018-12-21T16:45:00Z</dcterms:modified>
</cp:coreProperties>
</file>