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F9" w:rsidRPr="004F6DC4" w:rsidRDefault="00891CF9" w:rsidP="00891CF9">
      <w:pPr>
        <w:pStyle w:val="NormalWeb"/>
        <w:spacing w:line="480" w:lineRule="auto"/>
        <w:rPr>
          <w:b/>
        </w:rPr>
      </w:pPr>
      <w:proofErr w:type="gramStart"/>
      <w:r>
        <w:rPr>
          <w:b/>
        </w:rPr>
        <w:t xml:space="preserve">Supplemental </w:t>
      </w:r>
      <w:r w:rsidRPr="004F6DC4">
        <w:rPr>
          <w:b/>
        </w:rPr>
        <w:t>Table 1.</w:t>
      </w:r>
      <w:proofErr w:type="gramEnd"/>
      <w:r>
        <w:rPr>
          <w:b/>
        </w:rPr>
        <w:t xml:space="preserve"> </w:t>
      </w:r>
      <w:proofErr w:type="gramStart"/>
      <w:r>
        <w:t>Environmental covariates’ group name, data source, original resolution, and individual covariate names and descriptions.</w:t>
      </w:r>
      <w:proofErr w:type="gramEnd"/>
      <w:r>
        <w:rPr>
          <w:b/>
        </w:rPr>
        <w:t xml:space="preserve"> </w:t>
      </w:r>
      <w:r>
        <w:t xml:space="preserve">These </w:t>
      </w:r>
      <w:r w:rsidRPr="007E4BC5">
        <w:t xml:space="preserve">covariates </w:t>
      </w:r>
      <w:r>
        <w:t xml:space="preserve">were </w:t>
      </w:r>
      <w:r w:rsidRPr="007E4BC5">
        <w:t>evaluated to model environmental suitability for</w:t>
      </w:r>
      <w:r w:rsidRPr="007E4BC5">
        <w:rPr>
          <w:i/>
        </w:rPr>
        <w:t xml:space="preserve"> </w:t>
      </w:r>
      <w:proofErr w:type="spellStart"/>
      <w:r>
        <w:rPr>
          <w:i/>
        </w:rPr>
        <w:t>Linaria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dalmatica</w:t>
      </w:r>
      <w:proofErr w:type="spellEnd"/>
      <w:r w:rsidRPr="007E4BC5">
        <w:t xml:space="preserve">, </w:t>
      </w:r>
      <w:proofErr w:type="spellStart"/>
      <w:r w:rsidRPr="007E4BC5">
        <w:rPr>
          <w:i/>
        </w:rPr>
        <w:t>Linaria</w:t>
      </w:r>
      <w:proofErr w:type="spellEnd"/>
      <w:r w:rsidRPr="007E4BC5">
        <w:rPr>
          <w:i/>
        </w:rPr>
        <w:t xml:space="preserve"> </w:t>
      </w:r>
      <w:proofErr w:type="spellStart"/>
      <w:r w:rsidRPr="007E4BC5">
        <w:rPr>
          <w:i/>
        </w:rPr>
        <w:t>vulgaris</w:t>
      </w:r>
      <w:proofErr w:type="spellEnd"/>
      <w:r w:rsidRPr="007E4BC5">
        <w:t xml:space="preserve">, and hybrid </w:t>
      </w:r>
      <w:proofErr w:type="spellStart"/>
      <w:r>
        <w:rPr>
          <w:i/>
        </w:rPr>
        <w:t>Linaria</w:t>
      </w:r>
      <w:proofErr w:type="spellEnd"/>
      <w:r w:rsidRPr="007E4BC5">
        <w:t xml:space="preserve"> in Montana, Wyoming, and Colorado. </w:t>
      </w:r>
      <w:bookmarkStart w:id="0" w:name="_Hlk517599273"/>
      <w:r w:rsidRPr="007E4BC5">
        <w:t>A seasonal covariate is suffixed by * and implies four covariates – winter, spring, summer, and autumn.</w:t>
      </w:r>
      <w:bookmarkEnd w:id="0"/>
    </w:p>
    <w:tbl>
      <w:tblPr>
        <w:tblpPr w:leftFromText="180" w:rightFromText="180" w:vertAnchor="text" w:tblpY="1"/>
        <w:tblOverlap w:val="never"/>
        <w:tblW w:w="13068" w:type="dxa"/>
        <w:tblCellMar>
          <w:left w:w="115" w:type="dxa"/>
          <w:right w:w="115" w:type="dxa"/>
        </w:tblCellMar>
        <w:tblLook w:val="04A0"/>
      </w:tblPr>
      <w:tblGrid>
        <w:gridCol w:w="1412"/>
        <w:gridCol w:w="4726"/>
        <w:gridCol w:w="1163"/>
        <w:gridCol w:w="5767"/>
      </w:tblGrid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tcBorders>
              <w:top w:val="single" w:sz="4" w:space="0" w:color="auto"/>
            </w:tcBorders>
          </w:tcPr>
          <w:p w:rsidR="00891CF9" w:rsidRPr="007E4BC5" w:rsidRDefault="00891CF9" w:rsidP="00D574AF">
            <w:pPr>
              <w:pStyle w:val="NormalWeb"/>
              <w:spacing w:line="480" w:lineRule="auto"/>
              <w:jc w:val="center"/>
              <w:rPr>
                <w:b/>
                <w:bCs/>
              </w:rPr>
            </w:pPr>
            <w:r w:rsidRPr="007E4BC5">
              <w:rPr>
                <w:b/>
                <w:bCs/>
              </w:rPr>
              <w:t>Climate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tcBorders>
              <w:top w:val="single" w:sz="4" w:space="0" w:color="auto"/>
            </w:tcBorders>
          </w:tcPr>
          <w:p w:rsidR="00891CF9" w:rsidRPr="00D574AF" w:rsidRDefault="00891CF9" w:rsidP="0083514B">
            <w:pPr>
              <w:pStyle w:val="NormalWeb"/>
              <w:spacing w:line="480" w:lineRule="auto"/>
              <w:jc w:val="center"/>
              <w:rPr>
                <w:bCs/>
                <w:sz w:val="22"/>
              </w:rPr>
            </w:pPr>
            <w:r>
              <w:rPr>
                <w:bCs/>
              </w:rPr>
              <w:t xml:space="preserve">Source: </w:t>
            </w:r>
            <w:proofErr w:type="spellStart"/>
            <w:r>
              <w:rPr>
                <w:bCs/>
              </w:rPr>
              <w:t>ClimateWNA</w:t>
            </w:r>
            <w:proofErr w:type="spellEnd"/>
            <w:r>
              <w:rPr>
                <w:bCs/>
              </w:rPr>
              <w:t>. Original resolution: 1 km.</w:t>
            </w:r>
          </w:p>
        </w:tc>
      </w:tr>
      <w:tr w:rsidR="00891CF9" w:rsidRPr="004F6DC4">
        <w:trPr>
          <w:cantSplit/>
          <w:trHeight w:val="70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MAT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annual temperature (°C)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MWMT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warmest month temperature (°C)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MCMT</w:t>
            </w:r>
          </w:p>
        </w:tc>
        <w:tc>
          <w:tcPr>
            <w:tcW w:w="4726" w:type="dxa"/>
            <w:shd w:val="clear" w:color="auto" w:fill="auto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coldest month temperature (°C)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TD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bookmarkStart w:id="1" w:name="_Hlk517599321"/>
            <w:r w:rsidRPr="007E4BC5">
              <w:t xml:space="preserve">Temperature difference between MWMT and MCMT, or </w:t>
            </w:r>
            <w:proofErr w:type="spellStart"/>
            <w:r w:rsidRPr="007E4BC5">
              <w:t>continentality</w:t>
            </w:r>
            <w:proofErr w:type="spellEnd"/>
            <w:r w:rsidRPr="007E4BC5">
              <w:t xml:space="preserve"> (°C)</w:t>
            </w:r>
            <w:bookmarkEnd w:id="1"/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NFFD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The number of frost-free days 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FFP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Frost-free period 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proofErr w:type="gramStart"/>
            <w:r w:rsidRPr="007E4BC5">
              <w:t>bFFP</w:t>
            </w:r>
            <w:proofErr w:type="spellEnd"/>
            <w:proofErr w:type="gramEnd"/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The day of the year on which FFP begins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proofErr w:type="gramStart"/>
            <w:r w:rsidRPr="007E4BC5">
              <w:t>eFFP</w:t>
            </w:r>
            <w:proofErr w:type="spellEnd"/>
            <w:proofErr w:type="gramEnd"/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The day of the year on which FFP ends 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r w:rsidRPr="007E4BC5">
              <w:t>Tave</w:t>
            </w:r>
            <w:proofErr w:type="spellEnd"/>
            <w:r w:rsidRPr="007E4BC5">
              <w:t>*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mean temperature (°C)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r w:rsidRPr="007E4BC5">
              <w:t>Tmax</w:t>
            </w:r>
            <w:proofErr w:type="spellEnd"/>
            <w:r w:rsidRPr="007E4BC5">
              <w:t>*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mean maximum temperature (°C)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r w:rsidRPr="007E4BC5">
              <w:t>Tmin</w:t>
            </w:r>
            <w:proofErr w:type="spellEnd"/>
            <w:r w:rsidRPr="007E4BC5">
              <w:t>*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Seasonal mean minimum temperature (°C) 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DD_0*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degree-days below 0°C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DD18*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degree-days above 18°C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NFFD*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number of frost-free days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MAP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annual precipitation (mm)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MSP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annual summer (May to Sept.) precipitation (mm)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AHM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Annual heat-moisture index 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SHM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Summer heat-moisture index 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PAS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Precipitation as snow (mm) between August in previous year and July in current year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r w:rsidRPr="007E4BC5">
              <w:t>Eref</w:t>
            </w:r>
            <w:proofErr w:type="spellEnd"/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Hargreaves reference evaporation (mm)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CMD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Hargreaves climatic moisture deficit (mm)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PPT*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Seasonal precipitation (mm)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PAS*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Winter and spring precipitation as snow (mm)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MAR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Mean annual solar radiation (MJ m</w:t>
            </w:r>
            <w:r w:rsidRPr="007E4BC5">
              <w:rPr>
                <w:rFonts w:ascii="PortagoITC TT" w:hAnsi="PortagoITC TT" w:cs="PortagoITC TT"/>
              </w:rPr>
              <w:t>‐</w:t>
            </w:r>
            <w:r w:rsidRPr="007E4BC5">
              <w:t>2 d</w:t>
            </w:r>
            <w:r w:rsidRPr="007E4BC5">
              <w:rPr>
                <w:rFonts w:ascii="PortagoITC TT" w:hAnsi="PortagoITC TT" w:cs="PortagoITC TT"/>
              </w:rPr>
              <w:t>‐</w:t>
            </w:r>
            <w:r w:rsidRPr="007E4BC5">
              <w:t>1)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RH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 xml:space="preserve">Mean annual relative humidity (%) </w:t>
            </w:r>
          </w:p>
        </w:tc>
        <w:tc>
          <w:tcPr>
            <w:tcW w:w="1163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  <w:tc>
          <w:tcPr>
            <w:tcW w:w="5767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  <w:jc w:val="center"/>
              <w:rPr>
                <w:b/>
              </w:rPr>
            </w:pPr>
            <w:r w:rsidRPr="007E4BC5">
              <w:rPr>
                <w:b/>
              </w:rPr>
              <w:t>Land use/cover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83514B" w:rsidRDefault="00891CF9" w:rsidP="0083514B">
            <w:pPr>
              <w:pStyle w:val="NormalWeb"/>
              <w:spacing w:line="480" w:lineRule="auto"/>
              <w:jc w:val="center"/>
              <w:rPr>
                <w:sz w:val="22"/>
              </w:rPr>
            </w:pPr>
            <w:r>
              <w:t xml:space="preserve">Source: </w:t>
            </w:r>
            <w:r w:rsidRPr="0083514B">
              <w:rPr>
                <w:color w:val="000000"/>
                <w:szCs w:val="20"/>
              </w:rPr>
              <w:t xml:space="preserve"> </w:t>
            </w:r>
            <w:r w:rsidRPr="0083514B">
              <w:t>Multi-Resolution Land Characteristics Consortium (MRLC) National Land Cover Database 2011</w:t>
            </w:r>
            <w:r>
              <w:t>. Original resolution: 30 m.</w:t>
            </w:r>
          </w:p>
        </w:tc>
      </w:tr>
      <w:tr w:rsidR="00891CF9" w:rsidRPr="004F6DC4">
        <w:trPr>
          <w:cantSplit/>
          <w:trHeight w:val="70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proofErr w:type="spellStart"/>
            <w:proofErr w:type="gramStart"/>
            <w:r w:rsidRPr="007E4BC5">
              <w:t>luc</w:t>
            </w:r>
            <w:proofErr w:type="spellEnd"/>
            <w:proofErr w:type="gramEnd"/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Land use/cover</w:t>
            </w:r>
          </w:p>
        </w:tc>
        <w:tc>
          <w:tcPr>
            <w:tcW w:w="1163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  <w:tc>
          <w:tcPr>
            <w:tcW w:w="5767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  <w:jc w:val="center"/>
              <w:rPr>
                <w:b/>
              </w:rPr>
            </w:pPr>
            <w:proofErr w:type="spellStart"/>
            <w:r w:rsidRPr="007E4BC5">
              <w:rPr>
                <w:b/>
              </w:rPr>
              <w:t>Phenology</w:t>
            </w:r>
            <w:proofErr w:type="spellEnd"/>
            <w:r w:rsidRPr="007E4BC5">
              <w:rPr>
                <w:b/>
              </w:rPr>
              <w:t xml:space="preserve"> metrics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83514B" w:rsidRDefault="00891CF9" w:rsidP="00D574AF">
            <w:pPr>
              <w:pStyle w:val="NormalWeb"/>
              <w:spacing w:line="480" w:lineRule="auto"/>
              <w:jc w:val="center"/>
              <w:rPr>
                <w:sz w:val="22"/>
              </w:rPr>
            </w:pPr>
            <w:r>
              <w:t xml:space="preserve">Source: </w:t>
            </w:r>
            <w:r w:rsidRPr="0083514B">
              <w:rPr>
                <w:color w:val="000000"/>
                <w:szCs w:val="20"/>
              </w:rPr>
              <w:t xml:space="preserve"> </w:t>
            </w:r>
            <w:r w:rsidRPr="0083514B">
              <w:t>USGS Earth Explorer</w:t>
            </w:r>
            <w:r>
              <w:t>. Original resolution: 250 m.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AMP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Amplitude - Maximum increase in canopy photosynthetic activity above the baseline (scaled NDVI).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EOSN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End of Season NDVI - Level of photosynthetic activity at the end of measurable photosynthesis (NDVI value).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MAXN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Maximum NDVI - Maximum level of photosynthetic activity in the canopy (NDVI value).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SOSN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Start of Season NDVI - Level of photosynthetic activity at the beginning of measurable photosynthesis (NDVI value).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TIN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Time-Integrated NDVI - Canopy photosynthetic activity across the entire growing season (interpolated NDVI).</w:t>
            </w:r>
          </w:p>
        </w:tc>
        <w:tc>
          <w:tcPr>
            <w:tcW w:w="1163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  <w:tc>
          <w:tcPr>
            <w:tcW w:w="5767" w:type="dxa"/>
          </w:tcPr>
          <w:p w:rsidR="00891CF9" w:rsidRPr="007E4BC5" w:rsidRDefault="00891CF9" w:rsidP="00D574AF">
            <w:pPr>
              <w:pStyle w:val="NormalWeb"/>
              <w:spacing w:line="480" w:lineRule="auto"/>
            </w:pP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</w:tcPr>
          <w:p w:rsidR="00891CF9" w:rsidRPr="007E4BC5" w:rsidRDefault="00891CF9" w:rsidP="00D574AF">
            <w:pPr>
              <w:pStyle w:val="NormalWeb"/>
              <w:spacing w:line="480" w:lineRule="auto"/>
              <w:jc w:val="center"/>
              <w:rPr>
                <w:b/>
              </w:rPr>
            </w:pPr>
            <w:r w:rsidRPr="007E4BC5">
              <w:rPr>
                <w:b/>
              </w:rPr>
              <w:t>Soils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</w:tcPr>
          <w:p w:rsidR="00891CF9" w:rsidRPr="0083514B" w:rsidRDefault="00891CF9" w:rsidP="00D574AF">
            <w:pPr>
              <w:pStyle w:val="NormalWeb"/>
              <w:spacing w:line="480" w:lineRule="auto"/>
              <w:jc w:val="center"/>
              <w:rPr>
                <w:sz w:val="22"/>
              </w:rPr>
            </w:pPr>
            <w:r>
              <w:t xml:space="preserve">Source: </w:t>
            </w:r>
            <w:r w:rsidRPr="0083514B">
              <w:rPr>
                <w:color w:val="000000"/>
                <w:szCs w:val="20"/>
              </w:rPr>
              <w:t xml:space="preserve"> </w:t>
            </w:r>
            <w:r w:rsidRPr="0083514B">
              <w:t xml:space="preserve">ISRIC - World Soil Information </w:t>
            </w:r>
            <w:proofErr w:type="spellStart"/>
            <w:r w:rsidRPr="0083514B">
              <w:t>SoilGrids</w:t>
            </w:r>
            <w:proofErr w:type="spellEnd"/>
            <w:r w:rsidRPr="0083514B">
              <w:t xml:space="preserve"> Collection</w:t>
            </w:r>
            <w:r>
              <w:t>. Original resolution: 1 km.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%</w:t>
            </w:r>
            <w:proofErr w:type="gramStart"/>
            <w:r w:rsidRPr="007E4BC5">
              <w:t>clay</w:t>
            </w:r>
            <w:proofErr w:type="gramEnd"/>
            <w:r w:rsidRPr="007E4BC5">
              <w:t>_0-5cm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Proportion of clay in the soil at 0-5 cm depth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%</w:t>
            </w:r>
            <w:proofErr w:type="gramStart"/>
            <w:r w:rsidRPr="007E4BC5">
              <w:t>clay</w:t>
            </w:r>
            <w:proofErr w:type="gramEnd"/>
            <w:r w:rsidRPr="007E4BC5">
              <w:t>_5-15cm</w:t>
            </w:r>
          </w:p>
        </w:tc>
        <w:tc>
          <w:tcPr>
            <w:tcW w:w="5767" w:type="dxa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</w:pPr>
            <w:r w:rsidRPr="007E4BC5">
              <w:t>Proportion of clay in the soil at 5-15 cm depth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7E4BC5" w:rsidRDefault="00891CF9" w:rsidP="00D574AF">
            <w:pPr>
              <w:pStyle w:val="NormalWeb"/>
              <w:spacing w:line="480" w:lineRule="auto"/>
              <w:jc w:val="center"/>
              <w:rPr>
                <w:b/>
              </w:rPr>
            </w:pPr>
            <w:r w:rsidRPr="007E4BC5">
              <w:rPr>
                <w:b/>
              </w:rPr>
              <w:t>Topography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  <w:jc w:val="center"/>
              <w:rPr>
                <w:b/>
              </w:rPr>
            </w:pPr>
            <w:proofErr w:type="spellStart"/>
            <w:r>
              <w:t>Souce</w:t>
            </w:r>
            <w:proofErr w:type="spellEnd"/>
            <w:r>
              <w:t xml:space="preserve">: </w:t>
            </w:r>
            <w:r w:rsidRPr="0083514B">
              <w:t xml:space="preserve">USGS Earth Explorer </w:t>
            </w:r>
            <w:r w:rsidRPr="0083514B">
              <w:rPr>
                <w:bCs/>
                <w:lang w:val="en-CA"/>
              </w:rPr>
              <w:t>Global 30 Arc-Second Elevation GTOPO30 DEM product</w:t>
            </w:r>
            <w:r>
              <w:rPr>
                <w:bCs/>
                <w:lang w:val="en-CA"/>
              </w:rPr>
              <w:t>. Original resolution: 830 m.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Default="00891CF9">
            <w:pPr>
              <w:pStyle w:val="NormalWeb"/>
              <w:rPr>
                <w:sz w:val="22"/>
              </w:rPr>
            </w:pPr>
            <w:proofErr w:type="spellStart"/>
            <w:proofErr w:type="gramStart"/>
            <w:r>
              <w:t>dem</w:t>
            </w:r>
            <w:proofErr w:type="spellEnd"/>
            <w:proofErr w:type="gramEnd"/>
            <w:r>
              <w:t xml:space="preserve">                Elevation (Digital Elevation Model)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3068" w:type="dxa"/>
            <w:gridSpan w:val="4"/>
            <w:vAlign w:val="center"/>
          </w:tcPr>
          <w:p w:rsidR="00891CF9" w:rsidRPr="0083514B" w:rsidRDefault="00891CF9" w:rsidP="000622CE">
            <w:pPr>
              <w:pStyle w:val="NormalWeb"/>
              <w:spacing w:line="480" w:lineRule="auto"/>
              <w:jc w:val="center"/>
              <w:rPr>
                <w:sz w:val="22"/>
              </w:rPr>
            </w:pPr>
            <w:proofErr w:type="spellStart"/>
            <w:r>
              <w:t>Souce</w:t>
            </w:r>
            <w:proofErr w:type="spellEnd"/>
            <w:r>
              <w:t>: Derived from</w:t>
            </w:r>
            <w:r w:rsidRPr="00836443">
              <w:rPr>
                <w:color w:val="000000"/>
                <w:szCs w:val="20"/>
              </w:rPr>
              <w:t xml:space="preserve"> </w:t>
            </w:r>
            <w:r w:rsidRPr="0083514B">
              <w:rPr>
                <w:bCs/>
                <w:lang w:val="en-CA"/>
              </w:rPr>
              <w:t>GTOPO30 DEM product</w:t>
            </w:r>
            <w:r>
              <w:rPr>
                <w:bCs/>
                <w:lang w:val="en-CA"/>
              </w:rPr>
              <w:t>. Original resolution: 830 m.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proofErr w:type="gramStart"/>
            <w:r w:rsidRPr="007E4BC5">
              <w:t>slope</w:t>
            </w:r>
            <w:proofErr w:type="gramEnd"/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r w:rsidRPr="007E4BC5">
              <w:t>The percent slope of each cell</w:t>
            </w:r>
          </w:p>
        </w:tc>
        <w:tc>
          <w:tcPr>
            <w:tcW w:w="1163" w:type="dxa"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proofErr w:type="gramStart"/>
            <w:r w:rsidRPr="007E4BC5">
              <w:t>aspect</w:t>
            </w:r>
            <w:proofErr w:type="gramEnd"/>
          </w:p>
        </w:tc>
        <w:tc>
          <w:tcPr>
            <w:tcW w:w="5767" w:type="dxa"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r w:rsidRPr="007E4BC5">
              <w:t>The compass direction (in degrees) the slope faces in each cell</w:t>
            </w:r>
          </w:p>
        </w:tc>
      </w:tr>
      <w:tr w:rsidR="00891CF9" w:rsidRPr="004F6DC4">
        <w:trPr>
          <w:cantSplit/>
          <w:trHeight w:val="398"/>
        </w:trPr>
        <w:tc>
          <w:tcPr>
            <w:tcW w:w="1412" w:type="dxa"/>
            <w:shd w:val="clear" w:color="auto" w:fill="auto"/>
            <w:noWrap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r w:rsidRPr="007E4BC5">
              <w:t>Euclidean distance to water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891CF9" w:rsidRPr="007E4BC5" w:rsidRDefault="00891CF9" w:rsidP="000622CE">
            <w:pPr>
              <w:pStyle w:val="NormalWeb"/>
              <w:spacing w:line="480" w:lineRule="auto"/>
            </w:pPr>
            <w:r w:rsidRPr="007E4BC5">
              <w:t>Straight-line distance from a cell to a water source</w:t>
            </w:r>
          </w:p>
        </w:tc>
        <w:tc>
          <w:tcPr>
            <w:tcW w:w="1163" w:type="dxa"/>
          </w:tcPr>
          <w:p w:rsidR="00891CF9" w:rsidRPr="007E4BC5" w:rsidRDefault="00891CF9" w:rsidP="000622CE">
            <w:pPr>
              <w:pStyle w:val="NormalWeb"/>
              <w:spacing w:line="480" w:lineRule="auto"/>
            </w:pPr>
          </w:p>
        </w:tc>
        <w:tc>
          <w:tcPr>
            <w:tcW w:w="5767" w:type="dxa"/>
          </w:tcPr>
          <w:p w:rsidR="00891CF9" w:rsidRPr="007E4BC5" w:rsidRDefault="00891CF9" w:rsidP="000622CE">
            <w:pPr>
              <w:pStyle w:val="NormalWeb"/>
              <w:spacing w:line="480" w:lineRule="auto"/>
            </w:pPr>
          </w:p>
        </w:tc>
      </w:tr>
    </w:tbl>
    <w:p w:rsidR="00012C56" w:rsidRDefault="00012C56">
      <w:r>
        <w:br w:type="page"/>
      </w:r>
    </w:p>
    <w:tbl>
      <w:tblPr>
        <w:tblpPr w:leftFromText="180" w:rightFromText="180" w:vertAnchor="text" w:tblpY="1"/>
        <w:tblOverlap w:val="never"/>
        <w:tblW w:w="13068" w:type="dxa"/>
        <w:tblCellMar>
          <w:left w:w="115" w:type="dxa"/>
          <w:right w:w="115" w:type="dxa"/>
        </w:tblCellMar>
        <w:tblLook w:val="04A0"/>
      </w:tblPr>
      <w:tblGrid>
        <w:gridCol w:w="1412"/>
        <w:gridCol w:w="4726"/>
        <w:gridCol w:w="1163"/>
        <w:gridCol w:w="5767"/>
      </w:tblGrid>
      <w:tr w:rsidR="00012C56" w:rsidRPr="004F6DC4">
        <w:trPr>
          <w:cantSplit/>
          <w:trHeight w:val="594"/>
        </w:trPr>
        <w:tc>
          <w:tcPr>
            <w:tcW w:w="13068" w:type="dxa"/>
            <w:gridSpan w:val="4"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  <w:jc w:val="center"/>
              <w:rPr>
                <w:b/>
              </w:rPr>
            </w:pPr>
            <w:r w:rsidRPr="007E4BC5">
              <w:rPr>
                <w:b/>
              </w:rPr>
              <w:t>Vegetation Indices</w:t>
            </w:r>
          </w:p>
        </w:tc>
      </w:tr>
      <w:tr w:rsidR="00012C56" w:rsidRPr="004F6DC4">
        <w:trPr>
          <w:cantSplit/>
          <w:trHeight w:val="594"/>
        </w:trPr>
        <w:tc>
          <w:tcPr>
            <w:tcW w:w="13068" w:type="dxa"/>
            <w:gridSpan w:val="4"/>
            <w:vAlign w:val="center"/>
          </w:tcPr>
          <w:p w:rsidR="00012C56" w:rsidRPr="0083514B" w:rsidRDefault="00012C56" w:rsidP="000622CE">
            <w:pPr>
              <w:pStyle w:val="NormalWeb"/>
              <w:spacing w:line="480" w:lineRule="auto"/>
              <w:jc w:val="center"/>
              <w:rPr>
                <w:sz w:val="22"/>
              </w:rPr>
            </w:pPr>
            <w:r>
              <w:t xml:space="preserve">NDVI, EVI Source: </w:t>
            </w:r>
            <w:r w:rsidRPr="0083514B">
              <w:t xml:space="preserve">USGS, NASA; Land Processes Distributed Active Archive Center; </w:t>
            </w:r>
            <w:proofErr w:type="spellStart"/>
            <w:r w:rsidRPr="0083514B">
              <w:t>MRTWeb</w:t>
            </w:r>
            <w:proofErr w:type="spellEnd"/>
            <w:r>
              <w:t>. Original resolution: 250 m.</w:t>
            </w:r>
          </w:p>
        </w:tc>
      </w:tr>
      <w:tr w:rsidR="00012C56" w:rsidRPr="004F6DC4">
        <w:trPr>
          <w:cantSplit/>
          <w:trHeight w:val="494"/>
        </w:trPr>
        <w:tc>
          <w:tcPr>
            <w:tcW w:w="1412" w:type="dxa"/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>NDVI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NDVI </w:t>
            </w:r>
            <w:r>
              <w:t xml:space="preserve">mean </w:t>
            </w:r>
            <w:r w:rsidRPr="007E4BC5">
              <w:t xml:space="preserve">for 2010 - 2015 </w:t>
            </w:r>
          </w:p>
        </w:tc>
        <w:tc>
          <w:tcPr>
            <w:tcW w:w="1163" w:type="dxa"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>NDVI SD</w:t>
            </w:r>
          </w:p>
        </w:tc>
        <w:tc>
          <w:tcPr>
            <w:tcW w:w="5767" w:type="dxa"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NDVI </w:t>
            </w:r>
            <w:r>
              <w:t xml:space="preserve">standard deviation </w:t>
            </w:r>
            <w:r w:rsidRPr="007E4BC5">
              <w:t xml:space="preserve">for 2010 - 2015 </w:t>
            </w:r>
          </w:p>
        </w:tc>
      </w:tr>
      <w:tr w:rsidR="00012C56" w:rsidRPr="004F6DC4">
        <w:trPr>
          <w:cantSplit/>
          <w:trHeight w:val="494"/>
        </w:trPr>
        <w:tc>
          <w:tcPr>
            <w:tcW w:w="1412" w:type="dxa"/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>EVI</w:t>
            </w:r>
          </w:p>
        </w:tc>
        <w:tc>
          <w:tcPr>
            <w:tcW w:w="4726" w:type="dxa"/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EVI </w:t>
            </w:r>
            <w:r>
              <w:t xml:space="preserve">mean </w:t>
            </w:r>
            <w:r w:rsidRPr="007E4BC5">
              <w:t>for 2010 - 2015</w:t>
            </w:r>
          </w:p>
        </w:tc>
        <w:tc>
          <w:tcPr>
            <w:tcW w:w="1163" w:type="dxa"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>EVI SD</w:t>
            </w:r>
          </w:p>
        </w:tc>
        <w:tc>
          <w:tcPr>
            <w:tcW w:w="5767" w:type="dxa"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EVI </w:t>
            </w:r>
            <w:r>
              <w:t xml:space="preserve">standard deviation </w:t>
            </w:r>
            <w:r w:rsidRPr="007E4BC5">
              <w:t>data for 2010 - 2015</w:t>
            </w:r>
          </w:p>
        </w:tc>
      </w:tr>
      <w:tr w:rsidR="00012C56" w:rsidRPr="004F6DC4">
        <w:trPr>
          <w:cantSplit/>
          <w:trHeight w:val="494"/>
        </w:trPr>
        <w:tc>
          <w:tcPr>
            <w:tcW w:w="13068" w:type="dxa"/>
            <w:gridSpan w:val="4"/>
            <w:shd w:val="clear" w:color="auto" w:fill="auto"/>
            <w:noWrap/>
            <w:vAlign w:val="center"/>
          </w:tcPr>
          <w:p w:rsidR="00012C56" w:rsidRDefault="00012C56">
            <w:pPr>
              <w:pStyle w:val="NormalWeb"/>
              <w:jc w:val="center"/>
            </w:pPr>
            <w:proofErr w:type="spellStart"/>
            <w:r>
              <w:t>VegDRI</w:t>
            </w:r>
            <w:proofErr w:type="spellEnd"/>
            <w:r>
              <w:t xml:space="preserve"> Source: </w:t>
            </w:r>
            <w:r w:rsidRPr="008120A4">
              <w:rPr>
                <w:color w:val="000000"/>
                <w:szCs w:val="20"/>
              </w:rPr>
              <w:t xml:space="preserve"> </w:t>
            </w:r>
            <w:r w:rsidRPr="008120A4">
              <w:t>USGS Earth Explorer</w:t>
            </w:r>
            <w:r>
              <w:t>. Original resolution: 1 km.</w:t>
            </w:r>
          </w:p>
        </w:tc>
      </w:tr>
      <w:tr w:rsidR="00012C56" w:rsidRPr="004F6DC4">
        <w:trPr>
          <w:cantSplit/>
          <w:trHeight w:val="494"/>
        </w:trPr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proofErr w:type="spellStart"/>
            <w:r w:rsidRPr="007E4BC5">
              <w:t>VegDRI</w:t>
            </w:r>
            <w:proofErr w:type="spellEnd"/>
          </w:p>
          <w:p w:rsidR="00012C56" w:rsidRPr="007E4BC5" w:rsidRDefault="00012C56" w:rsidP="000622CE">
            <w:pPr>
              <w:pStyle w:val="NormalWeb"/>
              <w:spacing w:line="480" w:lineRule="auto"/>
            </w:pPr>
          </w:p>
        </w:tc>
        <w:tc>
          <w:tcPr>
            <w:tcW w:w="47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Mean of the annual means of </w:t>
            </w:r>
            <w:proofErr w:type="spellStart"/>
            <w:r w:rsidRPr="007E4BC5">
              <w:t>VegDRI</w:t>
            </w:r>
            <w:proofErr w:type="spellEnd"/>
            <w:r w:rsidRPr="007E4BC5">
              <w:t xml:space="preserve"> data from 2010 – 2015 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proofErr w:type="spellStart"/>
            <w:r w:rsidRPr="007E4BC5">
              <w:t>VegDRI</w:t>
            </w:r>
            <w:proofErr w:type="spellEnd"/>
            <w:r w:rsidRPr="007E4BC5">
              <w:t xml:space="preserve"> SD</w:t>
            </w:r>
          </w:p>
        </w:tc>
        <w:tc>
          <w:tcPr>
            <w:tcW w:w="5767" w:type="dxa"/>
            <w:tcBorders>
              <w:bottom w:val="single" w:sz="4" w:space="0" w:color="auto"/>
            </w:tcBorders>
            <w:vAlign w:val="center"/>
          </w:tcPr>
          <w:p w:rsidR="00012C56" w:rsidRPr="007E4BC5" w:rsidRDefault="00012C56" w:rsidP="000622CE">
            <w:pPr>
              <w:pStyle w:val="NormalWeb"/>
              <w:spacing w:line="480" w:lineRule="auto"/>
            </w:pPr>
            <w:r w:rsidRPr="007E4BC5">
              <w:t xml:space="preserve">Standard deviation of the </w:t>
            </w:r>
            <w:proofErr w:type="spellStart"/>
            <w:r w:rsidRPr="007E4BC5">
              <w:t>VegDRI</w:t>
            </w:r>
            <w:proofErr w:type="spellEnd"/>
            <w:r w:rsidRPr="007E4BC5">
              <w:t xml:space="preserve"> data from 2010 – 2015 </w:t>
            </w:r>
          </w:p>
          <w:p w:rsidR="00012C56" w:rsidRPr="007E4BC5" w:rsidRDefault="00012C56" w:rsidP="000622CE">
            <w:pPr>
              <w:pStyle w:val="NormalWeb"/>
              <w:spacing w:line="480" w:lineRule="auto"/>
            </w:pPr>
          </w:p>
        </w:tc>
      </w:tr>
    </w:tbl>
    <w:p w:rsidR="00012C56" w:rsidRPr="007E4BC5" w:rsidRDefault="00012C56" w:rsidP="00012C56">
      <w:pPr>
        <w:pStyle w:val="NormalWeb"/>
        <w:spacing w:line="480" w:lineRule="auto"/>
        <w:sectPr w:rsidR="00012C56" w:rsidRPr="007E4BC5">
          <w:footerReference w:type="even" r:id="rId5"/>
          <w:footerReference w:type="default" r:id="rId6"/>
          <w:pgSz w:w="15840" w:h="12240" w:orient="landscape"/>
          <w:pgMar w:top="1440" w:right="1440" w:bottom="1440" w:left="1440" w:gutter="0"/>
          <w:pgNumType w:start="0"/>
          <w:titlePg/>
          <w:docGrid w:linePitch="360"/>
        </w:sectPr>
      </w:pPr>
      <w:r w:rsidRPr="007E4BC5">
        <w:t xml:space="preserve">NDVI is Normalized Difference Vegetation Index; EVI is Enhanced Vegetation Index; </w:t>
      </w:r>
      <w:proofErr w:type="spellStart"/>
      <w:r w:rsidRPr="007E4BC5">
        <w:t>VegDRI</w:t>
      </w:r>
      <w:proofErr w:type="spellEnd"/>
      <w:r w:rsidRPr="007E4BC5">
        <w:t xml:space="preserve"> is Vegetation Drought Response Index. All three are </w:t>
      </w:r>
      <w:proofErr w:type="gramStart"/>
      <w:r w:rsidRPr="007E4BC5">
        <w:t>remotely-sensed</w:t>
      </w:r>
      <w:proofErr w:type="gramEnd"/>
      <w:r w:rsidRPr="007E4BC5">
        <w:t xml:space="preserve"> data describing the health of vegetation.</w:t>
      </w:r>
    </w:p>
    <w:p w:rsidR="008D60FE" w:rsidRDefault="00012C56"/>
    <w:sectPr w:rsidR="008D60FE" w:rsidSect="00891CF9">
      <w:pgSz w:w="15840" w:h="12240" w:orient="landscape"/>
      <w:pgMar w:top="720" w:right="1440" w:bottom="720" w:left="144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mbria"/>
    <w:charset w:val="00"/>
    <w:family w:val="swiss"/>
    <w:pitch w:val="variable"/>
    <w:sig w:usb0="E4002EFF" w:usb1="C000E47F" w:usb2="00000009" w:usb3="00000000" w:csb0="000001FF" w:csb1="00000000"/>
  </w:font>
  <w:font w:name="PortagoITC T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</w:rPr>
      <w:id w:val="203962078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341504" w:rsidRDefault="00012C56" w:rsidP="00DF06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41504" w:rsidRDefault="00012C56" w:rsidP="00DF061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504" w:rsidRDefault="00012C56" w:rsidP="00DF0611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194"/>
    <w:multiLevelType w:val="hybridMultilevel"/>
    <w:tmpl w:val="54FCC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2B65"/>
    <w:multiLevelType w:val="hybridMultilevel"/>
    <w:tmpl w:val="0560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16DDF"/>
    <w:multiLevelType w:val="hybridMultilevel"/>
    <w:tmpl w:val="41943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60FF"/>
    <w:multiLevelType w:val="hybridMultilevel"/>
    <w:tmpl w:val="E02A5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97B79"/>
    <w:multiLevelType w:val="hybridMultilevel"/>
    <w:tmpl w:val="5A84F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05F92"/>
    <w:multiLevelType w:val="hybridMultilevel"/>
    <w:tmpl w:val="E02A5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277A6"/>
    <w:multiLevelType w:val="hybridMultilevel"/>
    <w:tmpl w:val="2B667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D51B3"/>
    <w:multiLevelType w:val="multilevel"/>
    <w:tmpl w:val="0DF83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0F0144"/>
    <w:multiLevelType w:val="hybridMultilevel"/>
    <w:tmpl w:val="F1E0B9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3F1886"/>
    <w:multiLevelType w:val="hybridMultilevel"/>
    <w:tmpl w:val="E02A5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011B8"/>
    <w:multiLevelType w:val="hybridMultilevel"/>
    <w:tmpl w:val="7452C9AC"/>
    <w:lvl w:ilvl="0" w:tplc="5A5041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1CF9"/>
    <w:rsid w:val="00012C56"/>
    <w:rsid w:val="0066500A"/>
    <w:rsid w:val="00891CF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CF9"/>
    <w:pPr>
      <w:spacing w:after="160" w:line="480" w:lineRule="auto"/>
    </w:pPr>
    <w:rPr>
      <w:rFonts w:ascii="Times New Roman" w:hAnsi="Times New Roman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1CF9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CF9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1CF9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CF9"/>
    <w:rPr>
      <w:rFonts w:ascii="Times New Roman" w:eastAsiaTheme="majorEastAsia" w:hAnsi="Times New Roman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1CF9"/>
    <w:rPr>
      <w:rFonts w:ascii="Times New Roman" w:eastAsiaTheme="majorEastAsia" w:hAnsi="Times New Roman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1CF9"/>
    <w:rPr>
      <w:rFonts w:ascii="Times New Roman" w:eastAsiaTheme="majorEastAsia" w:hAnsi="Times New Roman" w:cstheme="majorBidi"/>
      <w:b/>
    </w:rPr>
  </w:style>
  <w:style w:type="character" w:styleId="LineNumber">
    <w:name w:val="line number"/>
    <w:basedOn w:val="DefaultParagraphFont"/>
    <w:uiPriority w:val="99"/>
    <w:semiHidden/>
    <w:unhideWhenUsed/>
    <w:rsid w:val="00891CF9"/>
  </w:style>
  <w:style w:type="paragraph" w:styleId="NormalWeb">
    <w:name w:val="Normal (Web)"/>
    <w:basedOn w:val="Normal"/>
    <w:uiPriority w:val="99"/>
    <w:unhideWhenUsed/>
    <w:rsid w:val="00891C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891C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1CF9"/>
    <w:rPr>
      <w:color w:val="800080" w:themeColor="followedHyperlink"/>
      <w:u w:val="single"/>
    </w:rPr>
  </w:style>
  <w:style w:type="table" w:customStyle="1" w:styleId="TableGrid">
    <w:name w:val="TableGrid"/>
    <w:rsid w:val="00891CF9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891CF9"/>
    <w:rPr>
      <w:sz w:val="22"/>
      <w:szCs w:val="22"/>
    </w:rPr>
  </w:style>
  <w:style w:type="table" w:styleId="TableGrid0">
    <w:name w:val="Table Grid"/>
    <w:basedOn w:val="TableNormal"/>
    <w:uiPriority w:val="39"/>
    <w:rsid w:val="00891CF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891CF9"/>
    <w:pPr>
      <w:spacing w:line="240" w:lineRule="auto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1CF9"/>
    <w:rPr>
      <w:rFonts w:ascii="Times New Roman" w:eastAsiaTheme="minorEastAsia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9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CF9"/>
    <w:rPr>
      <w:rFonts w:ascii="Times New Roman" w:hAnsi="Times New Roman"/>
      <w:szCs w:val="22"/>
    </w:rPr>
  </w:style>
  <w:style w:type="paragraph" w:styleId="Footer">
    <w:name w:val="footer"/>
    <w:basedOn w:val="Normal"/>
    <w:link w:val="FooterChar"/>
    <w:uiPriority w:val="99"/>
    <w:unhideWhenUsed/>
    <w:rsid w:val="00891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CF9"/>
    <w:rPr>
      <w:rFonts w:ascii="Times New Roman" w:hAnsi="Times New Roman"/>
      <w:szCs w:val="22"/>
    </w:rPr>
  </w:style>
  <w:style w:type="table" w:customStyle="1" w:styleId="ListTable1Light1">
    <w:name w:val="List Table 1 Light1"/>
    <w:basedOn w:val="TableNormal"/>
    <w:uiPriority w:val="46"/>
    <w:rsid w:val="00891CF9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891CF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Cs w:val="24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891CF9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891CF9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891CF9"/>
    <w:pPr>
      <w:spacing w:after="100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891CF9"/>
    <w:pPr>
      <w:spacing w:after="100"/>
      <w:ind w:left="440"/>
    </w:pPr>
    <w:rPr>
      <w:rFonts w:eastAsiaTheme="minorEastAsia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91CF9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CF9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C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CF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semiHidden/>
    <w:unhideWhenUsed/>
    <w:rsid w:val="00891CF9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1CF9"/>
    <w:rPr>
      <w:rFonts w:ascii="Times New Roman" w:hAnsi="Times New Roman"/>
      <w:szCs w:val="22"/>
    </w:rPr>
  </w:style>
  <w:style w:type="table" w:customStyle="1" w:styleId="ListTable1Light11">
    <w:name w:val="List Table 1 Light11"/>
    <w:basedOn w:val="TableNormal"/>
    <w:next w:val="ListTable1Light1"/>
    <w:uiPriority w:val="46"/>
    <w:rsid w:val="00891CF9"/>
    <w:rPr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1CF9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1CF9"/>
    <w:pPr>
      <w:spacing w:after="0" w:line="240" w:lineRule="auto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1CF9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891CF9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1CF9"/>
    <w:rPr>
      <w:color w:val="808080"/>
      <w:shd w:val="clear" w:color="auto" w:fill="E6E6E6"/>
    </w:rPr>
  </w:style>
  <w:style w:type="character" w:styleId="PageNumber">
    <w:name w:val="page number"/>
    <w:basedOn w:val="DefaultParagraphFont"/>
    <w:semiHidden/>
    <w:unhideWhenUsed/>
    <w:rsid w:val="00891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543</Words>
  <Characters>3041</Characters>
  <Application>Microsoft Macintosh Word</Application>
  <DocSecurity>0</DocSecurity>
  <Lines>202</Lines>
  <Paragraphs>152</Paragraphs>
  <ScaleCrop>false</ScaleCrop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2018-11-05T20:34:00Z</dcterms:created>
  <dcterms:modified xsi:type="dcterms:W3CDTF">2018-11-05T20:38:00Z</dcterms:modified>
</cp:coreProperties>
</file>