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F3" w:rsidRPr="00B85849" w:rsidRDefault="006D34F3" w:rsidP="00F45B19">
      <w:pPr>
        <w:spacing w:line="276" w:lineRule="auto"/>
        <w:rPr>
          <w:b/>
        </w:rPr>
      </w:pPr>
      <w:r w:rsidRPr="00B85849">
        <w:rPr>
          <w:b/>
        </w:rPr>
        <w:t xml:space="preserve">Supplement </w:t>
      </w:r>
      <w:r w:rsidR="007F2D42">
        <w:rPr>
          <w:b/>
        </w:rPr>
        <w:t>2</w:t>
      </w:r>
      <w:r w:rsidR="0012303C">
        <w:rPr>
          <w:b/>
        </w:rPr>
        <w:t xml:space="preserve"> </w:t>
      </w:r>
      <w:r w:rsidR="00182F79" w:rsidRPr="00B85849">
        <w:rPr>
          <w:b/>
        </w:rPr>
        <w:t xml:space="preserve">– </w:t>
      </w:r>
      <w:r w:rsidR="00992995" w:rsidRPr="00B85849">
        <w:rPr>
          <w:b/>
        </w:rPr>
        <w:t xml:space="preserve">maternal preconception BMI trajectories according to child development outcomes </w:t>
      </w:r>
    </w:p>
    <w:p w:rsidR="000662EB" w:rsidRPr="00EA6AB9" w:rsidRDefault="000662EB" w:rsidP="00392CC8">
      <w:pPr>
        <w:jc w:val="both"/>
        <w:rPr>
          <w:rFonts w:eastAsia="Calibri"/>
          <w:b/>
          <w:u w:val="single"/>
        </w:rPr>
      </w:pPr>
      <w:r w:rsidRPr="00EA6AB9">
        <w:t>Two separate samples</w:t>
      </w:r>
      <w:r w:rsidR="004445D7" w:rsidRPr="00EA6AB9">
        <w:t xml:space="preserve"> of children with different age</w:t>
      </w:r>
      <w:r w:rsidR="00182F79">
        <w:t>s</w:t>
      </w:r>
      <w:r w:rsidR="004445D7" w:rsidRPr="00EA6AB9">
        <w:t xml:space="preserve"> during assessment</w:t>
      </w:r>
      <w:r w:rsidRPr="00EA6AB9">
        <w:t xml:space="preserve"> were used and so two separate trajectory models were needed</w:t>
      </w:r>
      <w:r w:rsidR="00C64A8D" w:rsidRPr="00EA6AB9">
        <w:t xml:space="preserve"> to calculate the maternal BMI trajectories before conception of the index child</w:t>
      </w:r>
      <w:r w:rsidR="004445D7" w:rsidRPr="00EA6AB9">
        <w:t xml:space="preserve">. </w:t>
      </w:r>
    </w:p>
    <w:p w:rsidR="00D834D7" w:rsidRPr="00B85849" w:rsidRDefault="000662EB" w:rsidP="00F45B19">
      <w:pPr>
        <w:spacing w:line="276" w:lineRule="auto"/>
        <w:rPr>
          <w:b/>
        </w:rPr>
      </w:pPr>
      <w:r w:rsidRPr="00B85849">
        <w:rPr>
          <w:b/>
        </w:rPr>
        <w:t>Maternal preconception BMI trajectories for</w:t>
      </w:r>
      <w:r w:rsidR="004445D7" w:rsidRPr="00B85849">
        <w:rPr>
          <w:b/>
        </w:rPr>
        <w:t xml:space="preserve"> </w:t>
      </w:r>
      <w:r w:rsidR="00182F79" w:rsidRPr="00B85849">
        <w:rPr>
          <w:b/>
        </w:rPr>
        <w:t xml:space="preserve">the </w:t>
      </w:r>
      <w:r w:rsidR="004445D7" w:rsidRPr="00B85849">
        <w:rPr>
          <w:b/>
        </w:rPr>
        <w:t>physical development</w:t>
      </w:r>
      <w:r w:rsidR="00D834D7" w:rsidRPr="00B85849">
        <w:rPr>
          <w:b/>
        </w:rPr>
        <w:t xml:space="preserve"> </w:t>
      </w:r>
      <w:r w:rsidR="004445D7" w:rsidRPr="00B85849">
        <w:rPr>
          <w:b/>
        </w:rPr>
        <w:t>(gross motor) domain of the Ages and Stages Questionnaire</w:t>
      </w:r>
      <w:r w:rsidR="00B85849">
        <w:rPr>
          <w:b/>
        </w:rPr>
        <w:t xml:space="preserve"> (ASQ)</w:t>
      </w:r>
    </w:p>
    <w:p w:rsidR="006D34F3" w:rsidRPr="00EA6AB9" w:rsidRDefault="00800701" w:rsidP="00392CC8">
      <w:pPr>
        <w:jc w:val="both"/>
      </w:pPr>
      <w:r>
        <w:t>Fig</w:t>
      </w:r>
      <w:r w:rsidR="00516FCA">
        <w:t>ure</w:t>
      </w:r>
      <w:r>
        <w:t xml:space="preserve"> </w:t>
      </w:r>
      <w:proofErr w:type="spellStart"/>
      <w:r w:rsidR="00361A41">
        <w:t>S</w:t>
      </w:r>
      <w:r>
        <w:t>2a</w:t>
      </w:r>
      <w:proofErr w:type="spellEnd"/>
      <w:r w:rsidR="006D34F3" w:rsidRPr="00EA6AB9">
        <w:t xml:space="preserve"> shows maternal BMI trajectories over 13 years prior to the c</w:t>
      </w:r>
      <w:r w:rsidR="0005089A">
        <w:t>onception of included children.</w:t>
      </w:r>
      <w:r w:rsidR="0005089A">
        <w:rPr>
          <w:szCs w:val="24"/>
        </w:rPr>
        <w:t xml:space="preserve"> The </w:t>
      </w:r>
      <w:r w:rsidR="0005089A" w:rsidRPr="00282753">
        <w:rPr>
          <w:szCs w:val="24"/>
        </w:rPr>
        <w:t>preconception BMI trajectories were estimated using five data points prior t</w:t>
      </w:r>
      <w:r w:rsidR="0005089A">
        <w:rPr>
          <w:szCs w:val="24"/>
        </w:rPr>
        <w:t>o conception of the index child</w:t>
      </w:r>
      <w:r w:rsidR="0005089A" w:rsidRPr="00282753">
        <w:rPr>
          <w:szCs w:val="24"/>
        </w:rPr>
        <w:t xml:space="preserve">. </w:t>
      </w:r>
      <w:r w:rsidR="0005089A" w:rsidRPr="00282753">
        <w:t xml:space="preserve">We found three distinct subgroups of women based on their BMI trajectories: named as normative (normal - stable BMI), chronically overweight (started overweight - remained overweight) and chronically obese (started obese - progressively severely obese). </w:t>
      </w:r>
      <w:r w:rsidR="006D34F3" w:rsidRPr="00EA6AB9">
        <w:t>The average posterior probability for each trajectory was 0.96, 0.94 and 0.99, showing a high degree of accuracy of individual assignment to groups.</w:t>
      </w:r>
    </w:p>
    <w:p w:rsidR="004F6D9B" w:rsidRPr="00EA6AB9" w:rsidRDefault="006D34F3" w:rsidP="00392CC8">
      <w:pPr>
        <w:jc w:val="both"/>
        <w:rPr>
          <w:rFonts w:eastAsia="Calibri" w:cs="Times New Roman"/>
          <w:bCs/>
        </w:rPr>
      </w:pPr>
      <w:r w:rsidRPr="00EA6AB9">
        <w:rPr>
          <w:rFonts w:eastAsia="Calibri" w:cs="Times New Roman"/>
        </w:rPr>
        <w:t>Nearly 95% of women with a normative BMI trajectory had a normal or underweight range of BMI in the survey prior to pregnancy. Approximately two-third</w:t>
      </w:r>
      <w:r w:rsidR="00182F79">
        <w:rPr>
          <w:rFonts w:eastAsia="Calibri" w:cs="Times New Roman"/>
        </w:rPr>
        <w:t>s</w:t>
      </w:r>
      <w:r w:rsidRPr="00EA6AB9">
        <w:rPr>
          <w:rFonts w:eastAsia="Calibri" w:cs="Times New Roman"/>
        </w:rPr>
        <w:t xml:space="preserve"> (63.0%) and 22.6% of women with a chronically overweight BMI trajectory were overweight and obese in the survey prior to pregnancy, respectively. All women with a chronically obese BMI trajectory were overweight or obese in the survey prior to pregnancy.</w:t>
      </w:r>
    </w:p>
    <w:p w:rsidR="004A6376" w:rsidRPr="004A6376" w:rsidRDefault="00F45B19" w:rsidP="00DA2B5C">
      <w:pPr>
        <w:spacing w:after="160"/>
        <w:jc w:val="both"/>
        <w:rPr>
          <w:rFonts w:eastAsia="Calibri" w:cs="Times New Roman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en-AU"/>
        </w:rPr>
        <w:drawing>
          <wp:inline distT="0" distB="0" distL="0" distR="0" wp14:anchorId="377BD867" wp14:editId="35EA357C">
            <wp:extent cx="5082540" cy="2704662"/>
            <wp:effectExtent l="0" t="0" r="3810" b="635"/>
            <wp:docPr id="1" name="Picture 1" descr="Plot of PRED1 by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ot of PRED1 by 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370" cy="272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376" w:rsidRPr="004A6376">
        <w:rPr>
          <w:rFonts w:eastAsia="Calibri" w:cs="Times New Roman"/>
          <w:b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71120</wp:posOffset>
                </wp:positionV>
                <wp:extent cx="1080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876D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4pt,5.6pt" to="208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e8uwEAAMADAAAOAAAAZHJzL2Uyb0RvYy54bWysU8GO0zAQvSPxD5bvNOmuhFZR0z10BRcE&#10;FQvcvc64sbA91tg06d8zdtuAFoQQ4mLF9ntv5j1PNvezd+IIlCyGXq5XrRQQNA42HHr5+dObV3dS&#10;pKzCoBwG6OUJkrzfvnyxmWIHNziiG4AEi4TUTbGXY86xa5qkR/AqrTBC4EuD5FXmLR2agdTE6t41&#10;N237upmQhkioISU+fThfym3VNwZ0/mBMgixcL7m3XFeq61NZm+1GdQdScbT60ob6hy68soGLLlIP&#10;KivxjewvUt5qwoQmrzT6Bo2xGqoHdrNun7l5HFWE6oXDSXGJKf0/Wf3+uCdhh17eShGU5yd6zKTs&#10;YcxihyFwgEjituQ0xdQxfBf2dNmluKdiejbkhXE2fuERqDGwMTHXlE9LyjBnoflw3d61Lb+Fvl41&#10;Z4WiFCnlt4BelI9eOhuKf9Wp47uUuSpDrxDelI7OPdSvfHJQwC58BMOeSq3KrtMEO0fiqHgOhq/r&#10;4oe1KrJQjHVuIbV/Jl2whQZ1wv6WuKBrRQx5IXobkH5XNc/XVs0Zf3V99lpsP+Fwqi9S4+Axqc4u&#10;I13m8Od9pf/48bbfAQAA//8DAFBLAwQUAAYACAAAACEAcQdOxdoAAAAJAQAADwAAAGRycy9kb3du&#10;cmV2LnhtbEyPzU7DMBCE70i8g7VI3Kidqj8oxKlKJcSZtpfenHhJIuJ1iLdteHsWcYDjzoxmvyk2&#10;U+jVBcfURbKQzQwopDr6jhoLx8PLwyOoxI686yOhhS9MsClvbwqX+3ilN7zsuVFSQil3FlrmIdc6&#10;1S0Gl2ZxQBLvPY7BsZxjo/3orlIeej03ZqWD60g+tG7AXYv1x/4cLBxeg5kq7nZIn2uzPT0vV3Ra&#10;Wnt/N22fQDFO/BeGH3xBh1KYqngmn1RvYWGMoLMY2RyUBBbZWoTqV9Blof8vKL8BAAD//wMAUEsB&#10;Ai0AFAAGAAgAAAAhALaDOJL+AAAA4QEAABMAAAAAAAAAAAAAAAAAAAAAAFtDb250ZW50X1R5cGVz&#10;XS54bWxQSwECLQAUAAYACAAAACEAOP0h/9YAAACUAQAACwAAAAAAAAAAAAAAAAAvAQAAX3JlbHMv&#10;LnJlbHNQSwECLQAUAAYACAAAACEAi2wHvLsBAADAAwAADgAAAAAAAAAAAAAAAAAuAgAAZHJzL2Uy&#10;b0RvYy54bWxQSwECLQAUAAYACAAAACEAcQdOxdoAAAAJ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A2B5C" w:rsidRPr="0005089A" w:rsidRDefault="00DA2B5C" w:rsidP="0005089A">
      <w:pPr>
        <w:spacing w:after="160"/>
        <w:rPr>
          <w:rFonts w:eastAsia="Calibri" w:cs="Times New Roman"/>
          <w:i/>
          <w:sz w:val="16"/>
          <w:szCs w:val="20"/>
        </w:rPr>
      </w:pPr>
      <w:r w:rsidRPr="0005089A">
        <w:rPr>
          <w:rFonts w:eastAsia="Calibri" w:cs="Times New Roman"/>
          <w:i/>
          <w:sz w:val="16"/>
          <w:szCs w:val="20"/>
        </w:rPr>
        <w:t>Note broken lines show 95% CI.</w:t>
      </w:r>
    </w:p>
    <w:p w:rsidR="00D834D7" w:rsidRPr="00392CC8" w:rsidRDefault="00800701" w:rsidP="0005089A">
      <w:pPr>
        <w:spacing w:after="16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Fig</w:t>
      </w:r>
      <w:r w:rsidR="00F816C1">
        <w:rPr>
          <w:rFonts w:eastAsia="Calibri" w:cs="Times New Roman"/>
          <w:sz w:val="20"/>
          <w:szCs w:val="20"/>
        </w:rPr>
        <w:t xml:space="preserve"> </w:t>
      </w:r>
      <w:proofErr w:type="spellStart"/>
      <w:r w:rsidR="00361A41">
        <w:rPr>
          <w:rFonts w:eastAsia="Calibri" w:cs="Times New Roman"/>
          <w:sz w:val="20"/>
          <w:szCs w:val="20"/>
        </w:rPr>
        <w:t>S</w:t>
      </w:r>
      <w:r>
        <w:rPr>
          <w:rFonts w:eastAsia="Calibri" w:cs="Times New Roman"/>
          <w:sz w:val="20"/>
          <w:szCs w:val="20"/>
        </w:rPr>
        <w:t>2a</w:t>
      </w:r>
      <w:proofErr w:type="spellEnd"/>
      <w:r w:rsidR="00EE7F14">
        <w:rPr>
          <w:rFonts w:eastAsia="Calibri" w:cs="Times New Roman"/>
          <w:sz w:val="20"/>
          <w:szCs w:val="20"/>
        </w:rPr>
        <w:t xml:space="preserve">. </w:t>
      </w:r>
      <w:r w:rsidR="006D34F3" w:rsidRPr="00392CC8">
        <w:rPr>
          <w:rFonts w:eastAsia="Calibri" w:cs="Times New Roman"/>
          <w:sz w:val="20"/>
          <w:szCs w:val="20"/>
        </w:rPr>
        <w:t>Maternal BMI trajectories prior to the conception of included children (for ASQ child outcome, we used 5 maternal data points -</w:t>
      </w:r>
      <w:r w:rsidR="006D34F3" w:rsidRPr="00392CC8">
        <w:rPr>
          <w:rFonts w:cs="Times New Roman"/>
          <w:sz w:val="20"/>
          <w:szCs w:val="20"/>
        </w:rPr>
        <w:t xml:space="preserve"> </w:t>
      </w:r>
      <w:r w:rsidR="006D34F3" w:rsidRPr="00392CC8">
        <w:rPr>
          <w:rFonts w:eastAsia="Calibri" w:cs="Times New Roman"/>
          <w:sz w:val="20"/>
          <w:szCs w:val="20"/>
        </w:rPr>
        <w:t>making full use of all possible data before the conception of the index child)</w:t>
      </w:r>
    </w:p>
    <w:p w:rsidR="00D834D7" w:rsidRPr="00B85849" w:rsidRDefault="004445D7" w:rsidP="00B85849">
      <w:pPr>
        <w:rPr>
          <w:b/>
        </w:rPr>
      </w:pPr>
      <w:r w:rsidRPr="00B85849">
        <w:rPr>
          <w:b/>
        </w:rPr>
        <w:lastRenderedPageBreak/>
        <w:t xml:space="preserve">Maternal preconception BMI trajectories for </w:t>
      </w:r>
      <w:r w:rsidR="00182F79" w:rsidRPr="00B85849">
        <w:rPr>
          <w:b/>
        </w:rPr>
        <w:t xml:space="preserve">the </w:t>
      </w:r>
      <w:r w:rsidRPr="00B85849">
        <w:rPr>
          <w:b/>
        </w:rPr>
        <w:t xml:space="preserve">physical and cognitive development domains of the </w:t>
      </w:r>
      <w:r w:rsidR="00D834D7" w:rsidRPr="00B85849">
        <w:rPr>
          <w:b/>
        </w:rPr>
        <w:t>Australian Early Development Ce</w:t>
      </w:r>
      <w:r w:rsidR="00D05D46" w:rsidRPr="00B85849">
        <w:rPr>
          <w:b/>
        </w:rPr>
        <w:t>nsus</w:t>
      </w:r>
      <w:r w:rsidRPr="00B85849">
        <w:rPr>
          <w:b/>
        </w:rPr>
        <w:t xml:space="preserve"> (AEDC)</w:t>
      </w:r>
    </w:p>
    <w:p w:rsidR="00B33E9C" w:rsidRPr="00EA6AB9" w:rsidRDefault="00B33E9C" w:rsidP="00EA6AB9">
      <w:r w:rsidRPr="00EA6AB9">
        <w:t xml:space="preserve">We replicated the above analysis using linked data from the Australian Early Development Census (AEDC). Maternal BMI trajectories were calculated in a </w:t>
      </w:r>
      <w:r w:rsidR="00F42C70" w:rsidRPr="00EA6AB9">
        <w:t>similar way to the ASQ child outcome,</w:t>
      </w:r>
      <w:r w:rsidRPr="00EA6AB9">
        <w:t xml:space="preserve"> but at this time using three maternal BMI data points prior to conception because of the survey design</w:t>
      </w:r>
      <w:r w:rsidR="00182F79">
        <w:t>:</w:t>
      </w:r>
      <w:r w:rsidRPr="00EA6AB9">
        <w:t xml:space="preserve"> children eligible for the AEDC were born between Surveys 3 and 5.  </w:t>
      </w:r>
      <w:r w:rsidR="007517FB">
        <w:t>About 68</w:t>
      </w:r>
      <w:r w:rsidR="00E66FB9">
        <w:t>.6</w:t>
      </w:r>
      <w:r w:rsidR="007517FB">
        <w:t>%, 26.5</w:t>
      </w:r>
      <w:r w:rsidR="00E66FB9">
        <w:t>% and 4.9</w:t>
      </w:r>
      <w:r w:rsidR="00F42C70" w:rsidRPr="00EA6AB9">
        <w:t>% of mothers had normative, chronically overweight and chronically obese BMI trajectories before conception of the index child, respectively</w:t>
      </w:r>
      <w:r w:rsidR="0057373D">
        <w:t xml:space="preserve">. </w:t>
      </w:r>
      <w:r w:rsidR="0057373D" w:rsidRPr="00EA6AB9">
        <w:t>The average</w:t>
      </w:r>
      <w:r w:rsidR="00606541">
        <w:t xml:space="preserve"> group membership</w:t>
      </w:r>
      <w:r w:rsidR="0057373D" w:rsidRPr="00EA6AB9">
        <w:t xml:space="preserve"> probability for each traj</w:t>
      </w:r>
      <w:r w:rsidR="0057373D">
        <w:t xml:space="preserve">ectory was 0.97, 0.93 and 0.95 </w:t>
      </w:r>
      <w:r w:rsidR="00583A12">
        <w:t>(</w:t>
      </w:r>
      <w:r w:rsidR="00800701">
        <w:rPr>
          <w:rFonts w:eastAsia="Calibri" w:cs="Times New Roman"/>
        </w:rPr>
        <w:t>Fig</w:t>
      </w:r>
      <w:r w:rsidR="00F816C1">
        <w:rPr>
          <w:rFonts w:eastAsia="Calibri" w:cs="Times New Roman"/>
        </w:rPr>
        <w:t xml:space="preserve"> </w:t>
      </w:r>
      <w:proofErr w:type="spellStart"/>
      <w:r w:rsidR="00361A41">
        <w:rPr>
          <w:rFonts w:eastAsia="Calibri" w:cs="Times New Roman"/>
        </w:rPr>
        <w:t>S</w:t>
      </w:r>
      <w:r w:rsidR="00800701">
        <w:rPr>
          <w:rFonts w:eastAsia="Calibri" w:cs="Times New Roman"/>
        </w:rPr>
        <w:t>2b</w:t>
      </w:r>
      <w:proofErr w:type="spellEnd"/>
      <w:r w:rsidR="00583A12">
        <w:rPr>
          <w:rFonts w:eastAsia="Calibri" w:cs="Times New Roman"/>
        </w:rPr>
        <w:t>)</w:t>
      </w:r>
      <w:r w:rsidR="007517FB">
        <w:t>.</w:t>
      </w:r>
    </w:p>
    <w:p w:rsidR="006D34F3" w:rsidRDefault="006D34F3" w:rsidP="006D34F3">
      <w:pPr>
        <w:spacing w:after="160" w:line="259" w:lineRule="auto"/>
        <w:rPr>
          <w:rFonts w:eastAsia="Calibri" w:cs="Times New Roman"/>
        </w:rPr>
      </w:pPr>
    </w:p>
    <w:p w:rsidR="007517FB" w:rsidRPr="00EA6AB9" w:rsidRDefault="007517FB" w:rsidP="006D34F3">
      <w:pPr>
        <w:spacing w:after="160" w:line="259" w:lineRule="auto"/>
        <w:rPr>
          <w:rFonts w:eastAsia="Calibri" w:cs="Times New Roman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en-AU"/>
        </w:rPr>
        <w:drawing>
          <wp:inline distT="0" distB="0" distL="0" distR="0" wp14:anchorId="0457E2DD" wp14:editId="3EE621F9">
            <wp:extent cx="4565650" cy="2663190"/>
            <wp:effectExtent l="0" t="0" r="6350" b="3810"/>
            <wp:docPr id="2" name="Picture 2" descr="Plot of PRED1 by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ot of PRED1 by 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169" cy="266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B5C" w:rsidRPr="00DA2B5C" w:rsidRDefault="00DA2B5C" w:rsidP="00DA2B5C">
      <w:pPr>
        <w:spacing w:after="160" w:line="240" w:lineRule="auto"/>
        <w:jc w:val="both"/>
        <w:rPr>
          <w:rFonts w:eastAsia="Calibri" w:cs="Times New Roman"/>
          <w:i/>
          <w:sz w:val="20"/>
          <w:szCs w:val="20"/>
        </w:rPr>
      </w:pPr>
      <w:r w:rsidRPr="00DA2B5C">
        <w:rPr>
          <w:rFonts w:eastAsia="Calibri" w:cs="Times New Roman"/>
          <w:i/>
          <w:sz w:val="20"/>
          <w:szCs w:val="20"/>
        </w:rPr>
        <w:t>Note broken lines show 95% CI</w:t>
      </w:r>
      <w:r>
        <w:rPr>
          <w:rFonts w:eastAsia="Calibri" w:cs="Times New Roman"/>
          <w:i/>
          <w:sz w:val="20"/>
          <w:szCs w:val="20"/>
        </w:rPr>
        <w:t>.</w:t>
      </w:r>
    </w:p>
    <w:p w:rsidR="006D34F3" w:rsidRPr="00392CC8" w:rsidRDefault="00800701" w:rsidP="006D34F3">
      <w:pPr>
        <w:spacing w:after="160"/>
        <w:jc w:val="both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Fig</w:t>
      </w:r>
      <w:r w:rsidR="00F816C1">
        <w:rPr>
          <w:rFonts w:eastAsia="Calibri" w:cs="Times New Roman"/>
          <w:sz w:val="20"/>
        </w:rPr>
        <w:t xml:space="preserve"> </w:t>
      </w:r>
      <w:proofErr w:type="spellStart"/>
      <w:r w:rsidR="00361A41">
        <w:rPr>
          <w:rFonts w:eastAsia="Calibri" w:cs="Times New Roman"/>
          <w:sz w:val="20"/>
        </w:rPr>
        <w:t>S</w:t>
      </w:r>
      <w:r>
        <w:rPr>
          <w:rFonts w:eastAsia="Calibri" w:cs="Times New Roman"/>
          <w:sz w:val="20"/>
        </w:rPr>
        <w:t>2b</w:t>
      </w:r>
      <w:proofErr w:type="spellEnd"/>
      <w:r w:rsidR="00EE7F14">
        <w:rPr>
          <w:rFonts w:eastAsia="Calibri" w:cs="Times New Roman"/>
          <w:sz w:val="20"/>
        </w:rPr>
        <w:t xml:space="preserve">. </w:t>
      </w:r>
      <w:r w:rsidR="006D34F3" w:rsidRPr="00392CC8">
        <w:rPr>
          <w:rFonts w:eastAsia="Calibri" w:cs="Times New Roman"/>
          <w:sz w:val="20"/>
        </w:rPr>
        <w:t>Maternal BMI trajectories prior to the conception of included children (for AEDC child outcomes, we used 3 maternal data points because of the survey design)</w:t>
      </w:r>
      <w:bookmarkStart w:id="0" w:name="_GoBack"/>
      <w:bookmarkEnd w:id="0"/>
    </w:p>
    <w:p w:rsidR="006D34F3" w:rsidRPr="00EA6AB9" w:rsidRDefault="006D34F3">
      <w:pPr>
        <w:rPr>
          <w:rFonts w:cs="Times New Roman"/>
        </w:rPr>
      </w:pPr>
    </w:p>
    <w:sectPr w:rsidR="006D34F3" w:rsidRPr="00EA6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F3"/>
    <w:rsid w:val="0005089A"/>
    <w:rsid w:val="000662EB"/>
    <w:rsid w:val="0012303C"/>
    <w:rsid w:val="00182F79"/>
    <w:rsid w:val="001C0A0B"/>
    <w:rsid w:val="00361A41"/>
    <w:rsid w:val="00392CC8"/>
    <w:rsid w:val="003A4A14"/>
    <w:rsid w:val="003A7B83"/>
    <w:rsid w:val="003F6C55"/>
    <w:rsid w:val="004300F3"/>
    <w:rsid w:val="004445D7"/>
    <w:rsid w:val="00451E05"/>
    <w:rsid w:val="004A6376"/>
    <w:rsid w:val="004F6D9B"/>
    <w:rsid w:val="00516FCA"/>
    <w:rsid w:val="0057373D"/>
    <w:rsid w:val="00583A12"/>
    <w:rsid w:val="00606541"/>
    <w:rsid w:val="006D34F3"/>
    <w:rsid w:val="00737C52"/>
    <w:rsid w:val="00743657"/>
    <w:rsid w:val="007517FB"/>
    <w:rsid w:val="007A3DA5"/>
    <w:rsid w:val="007F2D42"/>
    <w:rsid w:val="00800701"/>
    <w:rsid w:val="00850706"/>
    <w:rsid w:val="0089658C"/>
    <w:rsid w:val="00940FCD"/>
    <w:rsid w:val="00976588"/>
    <w:rsid w:val="00992995"/>
    <w:rsid w:val="009A4FCF"/>
    <w:rsid w:val="00A153F7"/>
    <w:rsid w:val="00A94211"/>
    <w:rsid w:val="00B33E9C"/>
    <w:rsid w:val="00B703BA"/>
    <w:rsid w:val="00B85849"/>
    <w:rsid w:val="00B85CCF"/>
    <w:rsid w:val="00BD4E6C"/>
    <w:rsid w:val="00C64A8D"/>
    <w:rsid w:val="00D05D46"/>
    <w:rsid w:val="00D834D7"/>
    <w:rsid w:val="00DA2B5C"/>
    <w:rsid w:val="00E66FB9"/>
    <w:rsid w:val="00EA6AB9"/>
    <w:rsid w:val="00EE7F14"/>
    <w:rsid w:val="00F34837"/>
    <w:rsid w:val="00F42C70"/>
    <w:rsid w:val="00F45B19"/>
    <w:rsid w:val="00F816C1"/>
    <w:rsid w:val="00FA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A913"/>
  <w15:chartTrackingRefBased/>
  <w15:docId w15:val="{507DC205-C4F6-4FEF-8B66-EC8BBA8C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AB9"/>
    <w:pPr>
      <w:spacing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F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UQ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Akilew Adane</dc:creator>
  <cp:keywords/>
  <dc:description/>
  <cp:lastModifiedBy>Akilew Adane</cp:lastModifiedBy>
  <cp:revision>25</cp:revision>
  <dcterms:created xsi:type="dcterms:W3CDTF">2017-11-22T23:48:00Z</dcterms:created>
  <dcterms:modified xsi:type="dcterms:W3CDTF">2018-06-07T22:48:00Z</dcterms:modified>
</cp:coreProperties>
</file>